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27D" w:rsidRPr="000A5B5D" w:rsidRDefault="0017027D" w:rsidP="0017027D">
      <w:pPr>
        <w:spacing w:line="360" w:lineRule="auto"/>
        <w:rPr>
          <w:b/>
          <w:bCs/>
          <w:sz w:val="32"/>
          <w:szCs w:val="32"/>
        </w:rPr>
      </w:pPr>
      <w:bookmarkStart w:id="0" w:name="_Toc300000084"/>
      <w:r w:rsidRPr="000A5B5D">
        <w:rPr>
          <w:rFonts w:cs="宋体" w:hint="eastAsia"/>
          <w:b/>
          <w:bCs/>
          <w:sz w:val="32"/>
          <w:szCs w:val="32"/>
        </w:rPr>
        <w:t>股票简称：恒逸石化</w:t>
      </w:r>
    </w:p>
    <w:p w:rsidR="0017027D" w:rsidRPr="000A5B5D" w:rsidRDefault="0017027D" w:rsidP="0017027D">
      <w:pPr>
        <w:spacing w:line="360" w:lineRule="auto"/>
        <w:rPr>
          <w:b/>
          <w:bCs/>
          <w:sz w:val="32"/>
          <w:szCs w:val="32"/>
        </w:rPr>
      </w:pPr>
      <w:r w:rsidRPr="000A5B5D">
        <w:rPr>
          <w:rFonts w:cs="宋体" w:hint="eastAsia"/>
          <w:b/>
          <w:bCs/>
          <w:sz w:val="32"/>
          <w:szCs w:val="32"/>
        </w:rPr>
        <w:t>股票代码：</w:t>
      </w:r>
      <w:r w:rsidRPr="000A5B5D">
        <w:rPr>
          <w:b/>
          <w:bCs/>
          <w:sz w:val="32"/>
          <w:szCs w:val="32"/>
        </w:rPr>
        <w:t>000703</w:t>
      </w:r>
    </w:p>
    <w:p w:rsidR="0017027D" w:rsidRPr="000A5B5D" w:rsidRDefault="0017027D" w:rsidP="0017027D">
      <w:pPr>
        <w:spacing w:line="360" w:lineRule="auto"/>
      </w:pPr>
    </w:p>
    <w:p w:rsidR="0017027D" w:rsidRPr="000A5B5D" w:rsidRDefault="0017027D" w:rsidP="0017027D">
      <w:pPr>
        <w:spacing w:line="360" w:lineRule="auto"/>
      </w:pPr>
    </w:p>
    <w:p w:rsidR="0017027D" w:rsidRPr="000A5B5D" w:rsidRDefault="0017027D" w:rsidP="0017027D">
      <w:pPr>
        <w:spacing w:line="360" w:lineRule="auto"/>
      </w:pPr>
    </w:p>
    <w:p w:rsidR="0017027D" w:rsidRPr="000A5B5D" w:rsidRDefault="0017027D" w:rsidP="0017027D">
      <w:pPr>
        <w:spacing w:line="360" w:lineRule="auto"/>
      </w:pPr>
    </w:p>
    <w:p w:rsidR="0017027D" w:rsidRPr="000A5B5D" w:rsidRDefault="0017027D" w:rsidP="0017027D">
      <w:pPr>
        <w:spacing w:line="360" w:lineRule="auto"/>
      </w:pPr>
    </w:p>
    <w:p w:rsidR="0017027D" w:rsidRPr="000A5B5D" w:rsidRDefault="0017027D" w:rsidP="0017027D"/>
    <w:p w:rsidR="0017027D" w:rsidRPr="000A5B5D" w:rsidRDefault="0024594D" w:rsidP="0017027D">
      <w:pPr>
        <w:jc w:val="center"/>
        <w:rPr>
          <w:color w:val="000000"/>
          <w:sz w:val="48"/>
          <w:szCs w:val="48"/>
        </w:rPr>
      </w:pPr>
      <w:r w:rsidRPr="000A5B5D">
        <w:rPr>
          <w:noProof/>
        </w:rPr>
        <w:drawing>
          <wp:anchor distT="0" distB="0" distL="114300" distR="114300" simplePos="0" relativeHeight="251660288" behindDoc="0" locked="0" layoutInCell="1" allowOverlap="1">
            <wp:simplePos x="0" y="0"/>
            <wp:positionH relativeFrom="column">
              <wp:posOffset>822960</wp:posOffset>
            </wp:positionH>
            <wp:positionV relativeFrom="paragraph">
              <wp:posOffset>207645</wp:posOffset>
            </wp:positionV>
            <wp:extent cx="4229100" cy="509905"/>
            <wp:effectExtent l="0" t="0" r="0" b="4445"/>
            <wp:wrapNone/>
            <wp:docPr id="92" name="Picture 5" descr="恒逸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恒逸LOGO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29100" cy="509905"/>
                    </a:xfrm>
                    <a:prstGeom prst="rect">
                      <a:avLst/>
                    </a:prstGeom>
                    <a:noFill/>
                  </pic:spPr>
                </pic:pic>
              </a:graphicData>
            </a:graphic>
            <wp14:sizeRelH relativeFrom="page">
              <wp14:pctWidth>0</wp14:pctWidth>
            </wp14:sizeRelH>
            <wp14:sizeRelV relativeFrom="page">
              <wp14:pctHeight>0</wp14:pctHeight>
            </wp14:sizeRelV>
          </wp:anchor>
        </w:drawing>
      </w:r>
    </w:p>
    <w:p w:rsidR="0017027D" w:rsidRPr="000A5B5D" w:rsidRDefault="0017027D" w:rsidP="0017027D">
      <w:pPr>
        <w:jc w:val="center"/>
      </w:pPr>
    </w:p>
    <w:p w:rsidR="0017027D" w:rsidRPr="000A5B5D" w:rsidRDefault="0017027D" w:rsidP="0017027D"/>
    <w:p w:rsidR="0017027D" w:rsidRPr="000A5B5D" w:rsidRDefault="0017027D" w:rsidP="0017027D"/>
    <w:p w:rsidR="0017027D" w:rsidRPr="000A5B5D" w:rsidRDefault="0017027D" w:rsidP="0017027D"/>
    <w:p w:rsidR="0017027D" w:rsidRPr="000A5B5D" w:rsidRDefault="0017027D" w:rsidP="0017027D">
      <w:pPr>
        <w:jc w:val="center"/>
        <w:rPr>
          <w:spacing w:val="20"/>
          <w:kern w:val="4"/>
          <w:position w:val="6"/>
        </w:rPr>
      </w:pPr>
      <w:r w:rsidRPr="000A5B5D">
        <w:rPr>
          <w:rFonts w:cs="宋体" w:hint="eastAsia"/>
          <w:b/>
          <w:bCs/>
          <w:spacing w:val="20"/>
          <w:kern w:val="4"/>
          <w:position w:val="6"/>
          <w:sz w:val="44"/>
          <w:szCs w:val="44"/>
        </w:rPr>
        <w:t>二</w:t>
      </w:r>
      <w:r w:rsidRPr="000A5B5D">
        <w:rPr>
          <w:rFonts w:hint="eastAsia"/>
          <w:b/>
          <w:bCs/>
          <w:spacing w:val="20"/>
          <w:kern w:val="4"/>
          <w:position w:val="6"/>
          <w:sz w:val="44"/>
          <w:szCs w:val="44"/>
        </w:rPr>
        <w:t>〇</w:t>
      </w:r>
      <w:r w:rsidRPr="000A5B5D">
        <w:rPr>
          <w:rFonts w:cs="宋体" w:hint="eastAsia"/>
          <w:b/>
          <w:bCs/>
          <w:spacing w:val="20"/>
          <w:kern w:val="4"/>
          <w:position w:val="6"/>
          <w:sz w:val="44"/>
          <w:szCs w:val="44"/>
        </w:rPr>
        <w:t>一五年度报告</w:t>
      </w:r>
    </w:p>
    <w:p w:rsidR="0017027D" w:rsidRPr="000A5B5D" w:rsidRDefault="0017027D" w:rsidP="0017027D">
      <w:pPr>
        <w:spacing w:line="360" w:lineRule="auto"/>
        <w:jc w:val="center"/>
        <w:outlineLvl w:val="0"/>
        <w:rPr>
          <w:b/>
          <w:bCs/>
          <w:spacing w:val="20"/>
          <w:kern w:val="4"/>
          <w:position w:val="6"/>
          <w:sz w:val="44"/>
          <w:szCs w:val="44"/>
        </w:rPr>
      </w:pPr>
    </w:p>
    <w:p w:rsidR="0017027D" w:rsidRPr="000A5B5D" w:rsidRDefault="0017027D" w:rsidP="0017027D">
      <w:pPr>
        <w:jc w:val="cente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rPr>
          <w:spacing w:val="20"/>
          <w:kern w:val="4"/>
          <w:position w:val="6"/>
        </w:rPr>
      </w:pPr>
    </w:p>
    <w:p w:rsidR="0017027D" w:rsidRPr="000A5B5D" w:rsidRDefault="0017027D" w:rsidP="0017027D">
      <w:pPr>
        <w:jc w:val="center"/>
        <w:rPr>
          <w:rFonts w:eastAsia="方正姚体"/>
          <w:sz w:val="32"/>
          <w:szCs w:val="32"/>
        </w:rPr>
      </w:pPr>
    </w:p>
    <w:p w:rsidR="0017027D" w:rsidRPr="000A5B5D" w:rsidRDefault="0017027D" w:rsidP="0017027D">
      <w:pPr>
        <w:jc w:val="center"/>
        <w:rPr>
          <w:rFonts w:cs="宋体"/>
          <w:b/>
          <w:bCs/>
          <w:sz w:val="32"/>
          <w:szCs w:val="32"/>
        </w:rPr>
      </w:pPr>
      <w:r w:rsidRPr="000A5B5D">
        <w:rPr>
          <w:rFonts w:cs="宋体" w:hint="eastAsia"/>
          <w:b/>
          <w:bCs/>
          <w:sz w:val="32"/>
          <w:szCs w:val="32"/>
        </w:rPr>
        <w:t>浙江</w:t>
      </w:r>
      <w:r w:rsidRPr="000A5B5D">
        <w:rPr>
          <w:b/>
          <w:bCs/>
          <w:sz w:val="32"/>
          <w:szCs w:val="32"/>
        </w:rPr>
        <w:t>·</w:t>
      </w:r>
      <w:r w:rsidRPr="000A5B5D">
        <w:rPr>
          <w:rFonts w:cs="宋体" w:hint="eastAsia"/>
          <w:b/>
          <w:bCs/>
          <w:sz w:val="32"/>
          <w:szCs w:val="32"/>
        </w:rPr>
        <w:t>杭州</w:t>
      </w:r>
    </w:p>
    <w:p w:rsidR="0017027D" w:rsidRPr="000A5B5D" w:rsidRDefault="0017027D" w:rsidP="0017027D">
      <w:pPr>
        <w:jc w:val="center"/>
        <w:rPr>
          <w:b/>
          <w:bCs/>
          <w:sz w:val="32"/>
          <w:szCs w:val="32"/>
        </w:rPr>
      </w:pPr>
    </w:p>
    <w:p w:rsidR="0017027D" w:rsidRPr="000A5B5D" w:rsidRDefault="0017027D" w:rsidP="0017027D">
      <w:pPr>
        <w:rPr>
          <w:b/>
          <w:bCs/>
          <w:spacing w:val="20"/>
          <w:kern w:val="4"/>
          <w:position w:val="6"/>
        </w:rPr>
      </w:pPr>
    </w:p>
    <w:p w:rsidR="0017027D" w:rsidRPr="000A5B5D" w:rsidRDefault="0017027D" w:rsidP="0017027D">
      <w:pPr>
        <w:spacing w:line="360" w:lineRule="auto"/>
        <w:jc w:val="center"/>
        <w:rPr>
          <w:b/>
          <w:bCs/>
          <w:sz w:val="32"/>
          <w:szCs w:val="32"/>
        </w:rPr>
      </w:pPr>
      <w:r w:rsidRPr="000A5B5D">
        <w:rPr>
          <w:rFonts w:cs="宋体" w:hint="eastAsia"/>
          <w:b/>
          <w:bCs/>
          <w:sz w:val="32"/>
          <w:szCs w:val="32"/>
        </w:rPr>
        <w:t>披露日期：</w:t>
      </w:r>
      <w:r w:rsidRPr="000A5B5D">
        <w:rPr>
          <w:b/>
          <w:bCs/>
          <w:sz w:val="32"/>
          <w:szCs w:val="32"/>
        </w:rPr>
        <w:t>2016</w:t>
      </w:r>
      <w:r w:rsidRPr="000A5B5D">
        <w:rPr>
          <w:rFonts w:cs="宋体" w:hint="eastAsia"/>
          <w:b/>
          <w:bCs/>
          <w:sz w:val="32"/>
          <w:szCs w:val="32"/>
        </w:rPr>
        <w:t>年</w:t>
      </w:r>
      <w:r w:rsidRPr="000A5B5D">
        <w:rPr>
          <w:b/>
          <w:bCs/>
          <w:sz w:val="32"/>
          <w:szCs w:val="32"/>
        </w:rPr>
        <w:t>4</w:t>
      </w:r>
      <w:r w:rsidRPr="000A5B5D">
        <w:rPr>
          <w:rFonts w:cs="宋体" w:hint="eastAsia"/>
          <w:b/>
          <w:bCs/>
          <w:sz w:val="32"/>
          <w:szCs w:val="32"/>
        </w:rPr>
        <w:t>月</w:t>
      </w:r>
      <w:r w:rsidRPr="000A5B5D">
        <w:rPr>
          <w:b/>
          <w:bCs/>
          <w:sz w:val="32"/>
          <w:szCs w:val="32"/>
        </w:rPr>
        <w:t>25</w:t>
      </w:r>
      <w:r w:rsidRPr="000A5B5D">
        <w:rPr>
          <w:rFonts w:cs="宋体" w:hint="eastAsia"/>
          <w:b/>
          <w:bCs/>
          <w:sz w:val="32"/>
          <w:szCs w:val="32"/>
        </w:rPr>
        <w:t>日</w:t>
      </w:r>
    </w:p>
    <w:p w:rsidR="00BC4D56" w:rsidRPr="000A5B5D" w:rsidRDefault="00BC4D56">
      <w:pPr>
        <w:pStyle w:val="a3"/>
        <w:outlineLvl w:val="0"/>
      </w:pPr>
      <w:bookmarkStart w:id="1" w:name="_Toc449101525"/>
      <w:r w:rsidRPr="000A5B5D">
        <w:rPr>
          <w:rFonts w:hint="eastAsia"/>
        </w:rPr>
        <w:lastRenderedPageBreak/>
        <w:t>第一节</w:t>
      </w:r>
      <w:r w:rsidRPr="000A5B5D">
        <w:t xml:space="preserve"> </w:t>
      </w:r>
      <w:r w:rsidRPr="000A5B5D">
        <w:rPr>
          <w:rFonts w:hint="eastAsia"/>
        </w:rPr>
        <w:t>重要提示、目录和释义</w:t>
      </w:r>
      <w:bookmarkEnd w:id="0"/>
      <w:bookmarkEnd w:id="1"/>
    </w:p>
    <w:p w:rsidR="00BC4D56" w:rsidRPr="000A5B5D" w:rsidRDefault="00BC4D56">
      <w:pPr>
        <w:spacing w:before="100" w:after="100"/>
        <w:ind w:firstLineChars="200" w:firstLine="562"/>
        <w:rPr>
          <w:b/>
          <w:bCs/>
          <w:sz w:val="28"/>
          <w:szCs w:val="28"/>
        </w:rPr>
      </w:pPr>
      <w:r w:rsidRPr="000A5B5D">
        <w:rPr>
          <w:rFonts w:hint="eastAsia"/>
          <w:b/>
          <w:bCs/>
          <w:sz w:val="28"/>
          <w:szCs w:val="28"/>
        </w:rPr>
        <w:t>本公司董事会、监事会及董事、监事、高级管理人员保证年度报告内容的真实、准确、完整，不存在虚假记载、误导性陈述或重大遗漏，并承担个别和连带的法律责任。</w:t>
      </w:r>
    </w:p>
    <w:p w:rsidR="00BC4D56" w:rsidRPr="000A5B5D" w:rsidRDefault="00BC4D56">
      <w:pPr>
        <w:spacing w:before="100" w:after="100"/>
        <w:ind w:firstLineChars="200" w:firstLine="562"/>
        <w:rPr>
          <w:b/>
          <w:bCs/>
          <w:sz w:val="28"/>
          <w:szCs w:val="28"/>
        </w:rPr>
      </w:pPr>
      <w:r w:rsidRPr="000A5B5D">
        <w:rPr>
          <w:rFonts w:hint="eastAsia"/>
          <w:b/>
          <w:bCs/>
          <w:sz w:val="28"/>
          <w:szCs w:val="28"/>
        </w:rPr>
        <w:t>公司负责人方贤水、主管会计工作负责人朱菊珍及会计机构负责人</w:t>
      </w:r>
      <w:r w:rsidRPr="000A5B5D">
        <w:rPr>
          <w:b/>
          <w:bCs/>
          <w:sz w:val="28"/>
          <w:szCs w:val="28"/>
        </w:rPr>
        <w:t>(</w:t>
      </w:r>
      <w:r w:rsidRPr="000A5B5D">
        <w:rPr>
          <w:rFonts w:hint="eastAsia"/>
          <w:b/>
          <w:bCs/>
          <w:sz w:val="28"/>
          <w:szCs w:val="28"/>
        </w:rPr>
        <w:t>会计主管人员</w:t>
      </w:r>
      <w:r w:rsidRPr="000A5B5D">
        <w:rPr>
          <w:b/>
          <w:bCs/>
          <w:sz w:val="28"/>
          <w:szCs w:val="28"/>
        </w:rPr>
        <w:t>)</w:t>
      </w:r>
      <w:r w:rsidRPr="000A5B5D">
        <w:rPr>
          <w:rFonts w:hint="eastAsia"/>
          <w:b/>
          <w:bCs/>
          <w:sz w:val="28"/>
          <w:szCs w:val="28"/>
        </w:rPr>
        <w:t>蔡萍声明：保证年度报告中财务报告的真实、准确、完整。</w:t>
      </w:r>
    </w:p>
    <w:p w:rsidR="00BC4D56" w:rsidRPr="000A5B5D" w:rsidRDefault="00BC4D56">
      <w:pPr>
        <w:spacing w:before="100" w:after="100"/>
        <w:ind w:firstLineChars="200" w:firstLine="562"/>
        <w:rPr>
          <w:b/>
          <w:bCs/>
          <w:sz w:val="28"/>
          <w:szCs w:val="28"/>
        </w:rPr>
      </w:pPr>
      <w:r w:rsidRPr="000A5B5D">
        <w:rPr>
          <w:rFonts w:hint="eastAsia"/>
          <w:b/>
          <w:bCs/>
          <w:sz w:val="28"/>
          <w:szCs w:val="28"/>
        </w:rPr>
        <w:t>除下列董事外，其他董事亲自出席了审议本次年报的董事会会议</w:t>
      </w:r>
    </w:p>
    <w:tbl>
      <w:tblPr>
        <w:tblW w:w="0" w:type="auto"/>
        <w:tblInd w:w="28" w:type="dxa"/>
        <w:tblLayout w:type="fixed"/>
        <w:tblCellMar>
          <w:left w:w="28" w:type="dxa"/>
          <w:right w:w="28" w:type="dxa"/>
        </w:tblCellMar>
        <w:tblLook w:val="0000" w:firstRow="0" w:lastRow="0" w:firstColumn="0" w:lastColumn="0" w:noHBand="0" w:noVBand="0"/>
      </w:tblPr>
      <w:tblGrid>
        <w:gridCol w:w="2935"/>
        <w:gridCol w:w="2211"/>
        <w:gridCol w:w="2211"/>
        <w:gridCol w:w="2211"/>
      </w:tblGrid>
      <w:tr w:rsidR="00BC4D56" w:rsidRPr="000A5B5D">
        <w:tc>
          <w:tcPr>
            <w:tcW w:w="293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未亲自出席董事姓名</w:t>
            </w:r>
          </w:p>
        </w:tc>
        <w:tc>
          <w:tcPr>
            <w:tcW w:w="221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未亲自出席董事职务</w:t>
            </w:r>
          </w:p>
        </w:tc>
        <w:tc>
          <w:tcPr>
            <w:tcW w:w="221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未亲自出席会议原因</w:t>
            </w:r>
          </w:p>
        </w:tc>
        <w:tc>
          <w:tcPr>
            <w:tcW w:w="221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被委托人姓名</w:t>
            </w:r>
          </w:p>
        </w:tc>
      </w:tr>
      <w:tr w:rsidR="00BC4D56" w:rsidRPr="000A5B5D">
        <w:tc>
          <w:tcPr>
            <w:tcW w:w="293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高勤红</w:t>
            </w:r>
          </w:p>
        </w:tc>
        <w:tc>
          <w:tcPr>
            <w:tcW w:w="221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董事</w:t>
            </w:r>
          </w:p>
        </w:tc>
        <w:tc>
          <w:tcPr>
            <w:tcW w:w="221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另有重要事项安排</w:t>
            </w:r>
          </w:p>
        </w:tc>
        <w:tc>
          <w:tcPr>
            <w:tcW w:w="221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朱菊珍</w:t>
            </w:r>
          </w:p>
        </w:tc>
      </w:tr>
      <w:tr w:rsidR="00F326E3" w:rsidRPr="000A5B5D" w:rsidTr="00DB5A4B">
        <w:tc>
          <w:tcPr>
            <w:tcW w:w="2935" w:type="dxa"/>
            <w:tcBorders>
              <w:top w:val="single" w:sz="4" w:space="0" w:color="auto"/>
              <w:left w:val="single" w:sz="4" w:space="0" w:color="auto"/>
              <w:bottom w:val="single" w:sz="4" w:space="0" w:color="auto"/>
              <w:right w:val="single" w:sz="4" w:space="0" w:color="auto"/>
            </w:tcBorders>
            <w:shd w:val="clear" w:color="auto" w:fill="FFFFFF"/>
          </w:tcPr>
          <w:p w:rsidR="00F326E3" w:rsidRPr="000A5B5D" w:rsidRDefault="00F326E3"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王松林</w:t>
            </w:r>
          </w:p>
        </w:tc>
        <w:tc>
          <w:tcPr>
            <w:tcW w:w="2211" w:type="dxa"/>
            <w:tcBorders>
              <w:top w:val="single" w:sz="4" w:space="0" w:color="auto"/>
              <w:left w:val="single" w:sz="4" w:space="0" w:color="auto"/>
              <w:bottom w:val="single" w:sz="4" w:space="0" w:color="auto"/>
              <w:right w:val="single" w:sz="4" w:space="0" w:color="auto"/>
            </w:tcBorders>
            <w:shd w:val="clear" w:color="auto" w:fill="FFFFFF"/>
          </w:tcPr>
          <w:p w:rsidR="00F326E3" w:rsidRPr="000A5B5D" w:rsidRDefault="00F326E3"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董事、副总经理</w:t>
            </w:r>
          </w:p>
        </w:tc>
        <w:tc>
          <w:tcPr>
            <w:tcW w:w="2211" w:type="dxa"/>
            <w:tcBorders>
              <w:top w:val="single" w:sz="4" w:space="0" w:color="auto"/>
              <w:left w:val="single" w:sz="4" w:space="0" w:color="auto"/>
              <w:bottom w:val="single" w:sz="4" w:space="0" w:color="auto"/>
              <w:right w:val="single" w:sz="4" w:space="0" w:color="auto"/>
            </w:tcBorders>
            <w:shd w:val="clear" w:color="auto" w:fill="FFFFFF"/>
          </w:tcPr>
          <w:p w:rsidR="00F326E3" w:rsidRPr="000A5B5D" w:rsidRDefault="00F326E3"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另有重要事项安排</w:t>
            </w:r>
          </w:p>
        </w:tc>
        <w:tc>
          <w:tcPr>
            <w:tcW w:w="2211" w:type="dxa"/>
            <w:tcBorders>
              <w:top w:val="single" w:sz="4" w:space="0" w:color="auto"/>
              <w:left w:val="single" w:sz="4" w:space="0" w:color="auto"/>
              <w:bottom w:val="single" w:sz="4" w:space="0" w:color="auto"/>
              <w:right w:val="single" w:sz="4" w:space="0" w:color="auto"/>
            </w:tcBorders>
            <w:shd w:val="clear" w:color="auto" w:fill="FFFFFF"/>
          </w:tcPr>
          <w:p w:rsidR="00F326E3" w:rsidRPr="000A5B5D" w:rsidRDefault="00F326E3" w:rsidP="00F326E3">
            <w:pPr>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方贤水</w:t>
            </w:r>
          </w:p>
        </w:tc>
      </w:tr>
    </w:tbl>
    <w:p w:rsidR="00BC4D56" w:rsidRPr="000A5B5D" w:rsidRDefault="00BC4D56">
      <w:pPr>
        <w:spacing w:before="100" w:after="100"/>
        <w:ind w:firstLineChars="200" w:firstLine="562"/>
        <w:rPr>
          <w:b/>
          <w:bCs/>
          <w:sz w:val="28"/>
          <w:szCs w:val="28"/>
        </w:rPr>
      </w:pPr>
      <w:r w:rsidRPr="000A5B5D">
        <w:rPr>
          <w:rFonts w:hint="eastAsia"/>
          <w:b/>
          <w:bCs/>
          <w:sz w:val="28"/>
          <w:szCs w:val="28"/>
        </w:rPr>
        <w:t>本年度报告涉及的未来计划、发展战略等前瞻性描述不构成公司对投资者的实质承诺，敬请投资者注意风险</w:t>
      </w:r>
    </w:p>
    <w:p w:rsidR="00BC4D56" w:rsidRPr="000A5B5D" w:rsidRDefault="00BC4D56">
      <w:pPr>
        <w:spacing w:before="100" w:after="100"/>
        <w:ind w:firstLineChars="200" w:firstLine="562"/>
        <w:rPr>
          <w:b/>
          <w:bCs/>
          <w:sz w:val="28"/>
          <w:szCs w:val="28"/>
        </w:rPr>
      </w:pPr>
      <w:r w:rsidRPr="000A5B5D">
        <w:rPr>
          <w:rFonts w:hint="eastAsia"/>
          <w:b/>
          <w:bCs/>
          <w:sz w:val="28"/>
          <w:szCs w:val="28"/>
        </w:rPr>
        <w:t>不存在对公司未来发展战略及经营目标的实现产生不利影响的重大风险，本报告中已披露了公司面对的风险因素及采取的应对措施，敬请查阅</w:t>
      </w:r>
      <w:r w:rsidRPr="000A5B5D">
        <w:rPr>
          <w:b/>
          <w:bCs/>
          <w:sz w:val="28"/>
          <w:szCs w:val="28"/>
        </w:rPr>
        <w:t>“</w:t>
      </w:r>
      <w:r w:rsidRPr="000A5B5D">
        <w:rPr>
          <w:rFonts w:hint="eastAsia"/>
          <w:b/>
          <w:bCs/>
          <w:sz w:val="28"/>
          <w:szCs w:val="28"/>
        </w:rPr>
        <w:t>第四节</w:t>
      </w:r>
      <w:r w:rsidRPr="000A5B5D">
        <w:rPr>
          <w:b/>
          <w:bCs/>
          <w:sz w:val="28"/>
          <w:szCs w:val="28"/>
        </w:rPr>
        <w:t>”</w:t>
      </w:r>
      <w:r w:rsidRPr="000A5B5D">
        <w:rPr>
          <w:rFonts w:hint="eastAsia"/>
          <w:b/>
          <w:bCs/>
          <w:sz w:val="28"/>
          <w:szCs w:val="28"/>
        </w:rPr>
        <w:t>中的相关内容。</w:t>
      </w:r>
    </w:p>
    <w:p w:rsidR="00BC4D56" w:rsidRPr="000A5B5D" w:rsidRDefault="00BC4D56">
      <w:pPr>
        <w:spacing w:before="100" w:after="100"/>
        <w:ind w:firstLineChars="200" w:firstLine="562"/>
        <w:rPr>
          <w:b/>
          <w:bCs/>
          <w:sz w:val="28"/>
          <w:szCs w:val="28"/>
        </w:rPr>
      </w:pPr>
      <w:r w:rsidRPr="000A5B5D">
        <w:rPr>
          <w:rFonts w:hint="eastAsia"/>
          <w:b/>
          <w:bCs/>
          <w:sz w:val="28"/>
          <w:szCs w:val="28"/>
        </w:rPr>
        <w:t>公司计划不派发现金红利，不送红股，不以公积金转增股本。</w:t>
      </w:r>
    </w:p>
    <w:p w:rsidR="00BC4D56" w:rsidRPr="000A5B5D" w:rsidRDefault="00BC4D56">
      <w:pPr>
        <w:spacing w:before="100" w:after="100"/>
        <w:ind w:firstLineChars="200" w:firstLine="562"/>
        <w:rPr>
          <w:b/>
          <w:bCs/>
          <w:sz w:val="28"/>
          <w:szCs w:val="28"/>
        </w:rPr>
        <w:sectPr w:rsidR="00BC4D56" w:rsidRPr="000A5B5D">
          <w:headerReference w:type="default" r:id="rId9"/>
          <w:footerReference w:type="default" r:id="rId10"/>
          <w:pgSz w:w="11906" w:h="16838"/>
          <w:pgMar w:top="1440" w:right="1134" w:bottom="1440" w:left="1134" w:header="851" w:footer="992" w:gutter="0"/>
          <w:cols w:space="425"/>
          <w:docGrid w:type="lines" w:linePitch="312"/>
        </w:sectPr>
      </w:pPr>
    </w:p>
    <w:p w:rsidR="00BC4D56" w:rsidRPr="000A5B5D" w:rsidRDefault="00BC4D56">
      <w:pPr>
        <w:spacing w:before="1400" w:after="1400"/>
        <w:jc w:val="center"/>
        <w:rPr>
          <w:b/>
          <w:bCs/>
          <w:sz w:val="36"/>
          <w:szCs w:val="36"/>
        </w:rPr>
      </w:pPr>
      <w:r w:rsidRPr="000A5B5D">
        <w:rPr>
          <w:rFonts w:hint="eastAsia"/>
          <w:b/>
          <w:bCs/>
          <w:sz w:val="36"/>
          <w:szCs w:val="36"/>
        </w:rPr>
        <w:lastRenderedPageBreak/>
        <w:t>目录</w:t>
      </w:r>
    </w:p>
    <w:p w:rsidR="009A62FE" w:rsidRPr="000A5B5D" w:rsidRDefault="00BC4D56" w:rsidP="009A62FE">
      <w:pPr>
        <w:pStyle w:val="11"/>
        <w:tabs>
          <w:tab w:val="right" w:leader="dot" w:pos="9628"/>
        </w:tabs>
        <w:spacing w:line="360" w:lineRule="auto"/>
        <w:rPr>
          <w:rFonts w:asciiTheme="minorEastAsia" w:eastAsiaTheme="minorEastAsia" w:hAnsiTheme="minorEastAsia"/>
          <w:noProof/>
          <w:sz w:val="24"/>
          <w:szCs w:val="24"/>
        </w:rPr>
      </w:pPr>
      <w:r w:rsidRPr="000A5B5D">
        <w:rPr>
          <w:rFonts w:eastAsia="Times New Roman"/>
          <w:b/>
          <w:bCs/>
          <w:sz w:val="24"/>
          <w:szCs w:val="24"/>
        </w:rPr>
        <w:fldChar w:fldCharType="begin"/>
      </w:r>
      <w:r w:rsidRPr="000A5B5D">
        <w:rPr>
          <w:rFonts w:eastAsia="Times New Roman"/>
          <w:b/>
          <w:bCs/>
          <w:sz w:val="24"/>
          <w:szCs w:val="24"/>
        </w:rPr>
        <w:instrText xml:space="preserve"> TOC \h \z \t "</w:instrText>
      </w:r>
      <w:r w:rsidRPr="000A5B5D">
        <w:rPr>
          <w:rFonts w:ascii="宋体" w:hAnsi="宋体" w:cs="宋体" w:hint="eastAsia"/>
          <w:b/>
          <w:bCs/>
          <w:sz w:val="24"/>
          <w:szCs w:val="24"/>
        </w:rPr>
        <w:instrText>标题</w:instrText>
      </w:r>
      <w:r w:rsidRPr="000A5B5D">
        <w:rPr>
          <w:rFonts w:eastAsia="Times New Roman"/>
          <w:b/>
          <w:bCs/>
          <w:sz w:val="24"/>
          <w:szCs w:val="24"/>
        </w:rPr>
        <w:instrText xml:space="preserve">,1" </w:instrText>
      </w:r>
      <w:r w:rsidRPr="000A5B5D">
        <w:rPr>
          <w:rFonts w:eastAsia="Times New Roman"/>
          <w:b/>
          <w:bCs/>
          <w:sz w:val="24"/>
          <w:szCs w:val="24"/>
        </w:rPr>
        <w:fldChar w:fldCharType="separate"/>
      </w:r>
      <w:hyperlink w:anchor="_Toc449101525" w:history="1">
        <w:r w:rsidR="009A62FE" w:rsidRPr="000A5B5D">
          <w:rPr>
            <w:rStyle w:val="af1"/>
            <w:rFonts w:asciiTheme="minorEastAsia" w:eastAsiaTheme="minorEastAsia" w:hAnsiTheme="minorEastAsia" w:hint="eastAsia"/>
            <w:noProof/>
            <w:sz w:val="24"/>
            <w:szCs w:val="24"/>
          </w:rPr>
          <w:t>第一节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重要提示、目录和释义</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_Toc449101525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2</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26" w:history="1">
        <w:r w:rsidR="009A62FE" w:rsidRPr="000A5B5D">
          <w:rPr>
            <w:rStyle w:val="af1"/>
            <w:rFonts w:asciiTheme="minorEastAsia" w:eastAsiaTheme="minorEastAsia" w:hAnsiTheme="minorEastAsia" w:hint="eastAsia"/>
            <w:noProof/>
            <w:sz w:val="24"/>
            <w:szCs w:val="24"/>
          </w:rPr>
          <w:t>第二节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公司简介和主要财务指标</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_Toc449101526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6</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27" w:history="1">
        <w:r w:rsidR="009A62FE" w:rsidRPr="000A5B5D">
          <w:rPr>
            <w:rStyle w:val="af1"/>
            <w:rFonts w:asciiTheme="minorEastAsia" w:eastAsiaTheme="minorEastAsia" w:hAnsiTheme="minorEastAsia" w:hint="eastAsia"/>
            <w:noProof/>
            <w:sz w:val="24"/>
            <w:szCs w:val="24"/>
          </w:rPr>
          <w:t>第三节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公司业务概要</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_Toc449101527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12</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28" w:history="1">
        <w:r w:rsidR="009A62FE" w:rsidRPr="000A5B5D">
          <w:rPr>
            <w:rStyle w:val="af1"/>
            <w:rFonts w:asciiTheme="minorEastAsia" w:eastAsiaTheme="minorEastAsia" w:hAnsiTheme="minorEastAsia" w:hint="eastAsia"/>
            <w:noProof/>
            <w:sz w:val="24"/>
            <w:szCs w:val="24"/>
          </w:rPr>
          <w:t>第四节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管理层讨论与分析</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_Toc449101528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22</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29" w:history="1">
        <w:r w:rsidR="009A62FE" w:rsidRPr="000A5B5D">
          <w:rPr>
            <w:rStyle w:val="af1"/>
            <w:rFonts w:asciiTheme="minorEastAsia" w:eastAsiaTheme="minorEastAsia" w:hAnsiTheme="minorEastAsia" w:hint="eastAsia"/>
            <w:noProof/>
            <w:sz w:val="24"/>
            <w:szCs w:val="24"/>
          </w:rPr>
          <w:t>第五节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重要事项</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_Toc449101529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47</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0" w:history="1">
        <w:r w:rsidR="009A62FE" w:rsidRPr="000A5B5D">
          <w:rPr>
            <w:rStyle w:val="af1"/>
            <w:rFonts w:asciiTheme="minorEastAsia" w:eastAsiaTheme="minorEastAsia" w:hAnsiTheme="minorEastAsia" w:hint="eastAsia"/>
            <w:noProof/>
            <w:sz w:val="24"/>
            <w:szCs w:val="24"/>
          </w:rPr>
          <w:t>第六节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股份变动及股东情况</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_Toc449101530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63</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1" w:history="1">
        <w:r w:rsidR="009A62FE" w:rsidRPr="000A5B5D">
          <w:rPr>
            <w:rStyle w:val="af1"/>
            <w:rFonts w:asciiTheme="minorEastAsia" w:eastAsiaTheme="minorEastAsia" w:hAnsiTheme="minorEastAsia" w:hint="eastAsia"/>
            <w:noProof/>
            <w:sz w:val="24"/>
            <w:szCs w:val="24"/>
          </w:rPr>
          <w:t>第七节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优先股相关情况</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_Toc449101531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74</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2" w:history="1">
        <w:r w:rsidR="009A62FE" w:rsidRPr="000A5B5D">
          <w:rPr>
            <w:rStyle w:val="af1"/>
            <w:rFonts w:asciiTheme="minorEastAsia" w:eastAsiaTheme="minorEastAsia" w:hAnsiTheme="minorEastAsia" w:hint="eastAsia"/>
            <w:noProof/>
            <w:sz w:val="24"/>
            <w:szCs w:val="24"/>
          </w:rPr>
          <w:t>第八节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董事、监事、高级管理人员和员工情况</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_Toc449101532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75</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3" w:history="1">
        <w:r w:rsidR="009A62FE" w:rsidRPr="000A5B5D">
          <w:rPr>
            <w:rStyle w:val="af1"/>
            <w:rFonts w:asciiTheme="minorEastAsia" w:eastAsiaTheme="minorEastAsia" w:hAnsiTheme="minorEastAsia" w:hint="eastAsia"/>
            <w:noProof/>
            <w:sz w:val="24"/>
            <w:szCs w:val="24"/>
          </w:rPr>
          <w:t>第九节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公司治理</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_Toc449101533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85</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4" w:history="1">
        <w:r w:rsidR="009A62FE" w:rsidRPr="000A5B5D">
          <w:rPr>
            <w:rStyle w:val="af1"/>
            <w:rFonts w:asciiTheme="minorEastAsia" w:eastAsiaTheme="minorEastAsia" w:hAnsiTheme="minorEastAsia" w:hint="eastAsia"/>
            <w:noProof/>
            <w:sz w:val="24"/>
            <w:szCs w:val="24"/>
          </w:rPr>
          <w:t>第十节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财务报告</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_Toc449101534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94</w:t>
        </w:r>
        <w:r w:rsidR="009A62FE" w:rsidRPr="000A5B5D">
          <w:rPr>
            <w:rFonts w:asciiTheme="minorEastAsia" w:eastAsiaTheme="minorEastAsia" w:hAnsiTheme="minorEastAsia"/>
            <w:noProof/>
            <w:webHidden/>
            <w:sz w:val="24"/>
            <w:szCs w:val="24"/>
          </w:rPr>
          <w:fldChar w:fldCharType="end"/>
        </w:r>
      </w:hyperlink>
    </w:p>
    <w:p w:rsidR="009A62FE" w:rsidRPr="000A5B5D" w:rsidRDefault="00AC18DF" w:rsidP="009A62FE">
      <w:pPr>
        <w:pStyle w:val="11"/>
        <w:tabs>
          <w:tab w:val="right" w:leader="dot" w:pos="9628"/>
        </w:tabs>
        <w:spacing w:line="360" w:lineRule="auto"/>
        <w:rPr>
          <w:rFonts w:asciiTheme="minorEastAsia" w:eastAsiaTheme="minorEastAsia" w:hAnsiTheme="minorEastAsia"/>
          <w:noProof/>
          <w:sz w:val="24"/>
          <w:szCs w:val="24"/>
        </w:rPr>
      </w:pPr>
      <w:hyperlink w:anchor="_Toc449101535" w:history="1">
        <w:r w:rsidR="009A62FE" w:rsidRPr="000A5B5D">
          <w:rPr>
            <w:rStyle w:val="af1"/>
            <w:rFonts w:asciiTheme="minorEastAsia" w:eastAsiaTheme="minorEastAsia" w:hAnsiTheme="minorEastAsia" w:hint="eastAsia"/>
            <w:noProof/>
            <w:sz w:val="24"/>
            <w:szCs w:val="24"/>
          </w:rPr>
          <w:t>第十一节</w:t>
        </w:r>
        <w:r w:rsidR="009A62FE" w:rsidRPr="000A5B5D">
          <w:rPr>
            <w:rStyle w:val="af1"/>
            <w:rFonts w:asciiTheme="minorEastAsia" w:eastAsiaTheme="minorEastAsia" w:hAnsiTheme="minorEastAsia"/>
            <w:noProof/>
            <w:sz w:val="24"/>
            <w:szCs w:val="24"/>
          </w:rPr>
          <w:t xml:space="preserve"> </w:t>
        </w:r>
        <w:r w:rsidR="009A62FE" w:rsidRPr="000A5B5D">
          <w:rPr>
            <w:rStyle w:val="af1"/>
            <w:rFonts w:asciiTheme="minorEastAsia" w:eastAsiaTheme="minorEastAsia" w:hAnsiTheme="minorEastAsia" w:hint="eastAsia"/>
            <w:noProof/>
            <w:sz w:val="24"/>
            <w:szCs w:val="24"/>
          </w:rPr>
          <w:t>备查文件目录</w:t>
        </w:r>
        <w:r w:rsidR="009A62FE" w:rsidRPr="000A5B5D">
          <w:rPr>
            <w:rFonts w:asciiTheme="minorEastAsia" w:eastAsiaTheme="minorEastAsia" w:hAnsiTheme="minorEastAsia"/>
            <w:noProof/>
            <w:webHidden/>
            <w:sz w:val="24"/>
            <w:szCs w:val="24"/>
          </w:rPr>
          <w:tab/>
        </w:r>
        <w:r w:rsidR="009A62FE" w:rsidRPr="000A5B5D">
          <w:rPr>
            <w:rFonts w:asciiTheme="minorEastAsia" w:eastAsiaTheme="minorEastAsia" w:hAnsiTheme="minorEastAsia"/>
            <w:noProof/>
            <w:webHidden/>
            <w:sz w:val="24"/>
            <w:szCs w:val="24"/>
          </w:rPr>
          <w:fldChar w:fldCharType="begin"/>
        </w:r>
        <w:r w:rsidR="009A62FE" w:rsidRPr="000A5B5D">
          <w:rPr>
            <w:rFonts w:asciiTheme="minorEastAsia" w:eastAsiaTheme="minorEastAsia" w:hAnsiTheme="minorEastAsia"/>
            <w:noProof/>
            <w:webHidden/>
            <w:sz w:val="24"/>
            <w:szCs w:val="24"/>
          </w:rPr>
          <w:instrText xml:space="preserve"> PAGEREF _Toc449101535 \h </w:instrText>
        </w:r>
        <w:r w:rsidR="009A62FE" w:rsidRPr="000A5B5D">
          <w:rPr>
            <w:rFonts w:asciiTheme="minorEastAsia" w:eastAsiaTheme="minorEastAsia" w:hAnsiTheme="minorEastAsia"/>
            <w:noProof/>
            <w:webHidden/>
            <w:sz w:val="24"/>
            <w:szCs w:val="24"/>
          </w:rPr>
        </w:r>
        <w:r w:rsidR="009A62FE" w:rsidRPr="000A5B5D">
          <w:rPr>
            <w:rFonts w:asciiTheme="minorEastAsia" w:eastAsiaTheme="minorEastAsia" w:hAnsiTheme="minorEastAsia"/>
            <w:noProof/>
            <w:webHidden/>
            <w:sz w:val="24"/>
            <w:szCs w:val="24"/>
          </w:rPr>
          <w:fldChar w:fldCharType="separate"/>
        </w:r>
        <w:r w:rsidR="009A62FE" w:rsidRPr="000A5B5D">
          <w:rPr>
            <w:rFonts w:asciiTheme="minorEastAsia" w:eastAsiaTheme="minorEastAsia" w:hAnsiTheme="minorEastAsia"/>
            <w:noProof/>
            <w:webHidden/>
            <w:sz w:val="24"/>
            <w:szCs w:val="24"/>
          </w:rPr>
          <w:t>191</w:t>
        </w:r>
        <w:r w:rsidR="009A62FE" w:rsidRPr="000A5B5D">
          <w:rPr>
            <w:rFonts w:asciiTheme="minorEastAsia" w:eastAsiaTheme="minorEastAsia" w:hAnsiTheme="minorEastAsia"/>
            <w:noProof/>
            <w:webHidden/>
            <w:sz w:val="24"/>
            <w:szCs w:val="24"/>
          </w:rPr>
          <w:fldChar w:fldCharType="end"/>
        </w:r>
      </w:hyperlink>
    </w:p>
    <w:p w:rsidR="00BC4D56" w:rsidRPr="000A5B5D" w:rsidRDefault="00BC4D56">
      <w:pPr>
        <w:tabs>
          <w:tab w:val="right" w:leader="dot" w:pos="9628"/>
        </w:tabs>
        <w:spacing w:before="180" w:after="180"/>
        <w:rPr>
          <w:rFonts w:eastAsia="Times New Roman"/>
        </w:rPr>
        <w:sectPr w:rsidR="00BC4D56" w:rsidRPr="000A5B5D">
          <w:pgSz w:w="11906" w:h="16838"/>
          <w:pgMar w:top="1440" w:right="1134" w:bottom="1440" w:left="1134" w:header="851" w:footer="992" w:gutter="0"/>
          <w:cols w:space="425"/>
          <w:docGrid w:type="lines" w:linePitch="312"/>
        </w:sectPr>
      </w:pPr>
      <w:r w:rsidRPr="000A5B5D">
        <w:rPr>
          <w:rFonts w:eastAsia="Times New Roman"/>
          <w:b/>
          <w:bCs/>
          <w:sz w:val="24"/>
          <w:szCs w:val="24"/>
        </w:rPr>
        <w:fldChar w:fldCharType="end"/>
      </w:r>
    </w:p>
    <w:p w:rsidR="00BC4D56" w:rsidRPr="000A5B5D" w:rsidRDefault="00BC4D56">
      <w:pPr>
        <w:spacing w:before="700" w:after="700"/>
        <w:jc w:val="center"/>
        <w:rPr>
          <w:b/>
          <w:bCs/>
          <w:sz w:val="32"/>
          <w:szCs w:val="32"/>
        </w:rPr>
      </w:pPr>
      <w:r w:rsidRPr="000A5B5D">
        <w:rPr>
          <w:rFonts w:hint="eastAsia"/>
          <w:b/>
          <w:bCs/>
          <w:sz w:val="32"/>
          <w:szCs w:val="32"/>
        </w:rPr>
        <w:lastRenderedPageBreak/>
        <w:t>释义</w:t>
      </w:r>
    </w:p>
    <w:tbl>
      <w:tblPr>
        <w:tblW w:w="0" w:type="auto"/>
        <w:tblInd w:w="28" w:type="dxa"/>
        <w:tblLayout w:type="fixed"/>
        <w:tblCellMar>
          <w:left w:w="28" w:type="dxa"/>
          <w:right w:w="28" w:type="dxa"/>
        </w:tblCellMar>
        <w:tblLook w:val="0000" w:firstRow="0" w:lastRow="0" w:firstColumn="0" w:lastColumn="0" w:noHBand="0" w:noVBand="0"/>
      </w:tblPr>
      <w:tblGrid>
        <w:gridCol w:w="3524"/>
        <w:gridCol w:w="621"/>
        <w:gridCol w:w="5424"/>
      </w:tblGrid>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释义项</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释义内容</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恒逸石化、公司、本公司</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恒逸石化股份有限公司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中国证监会、证监会</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中国证券监督管理委员会</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广西证监局</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中国证券监督管理委员会广西监管局</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深交所、交易所</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深圳证券交易所</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元、万元</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人民币元、万元</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本报告、本年度报告</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恒逸石化股份有限公司</w:t>
            </w: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年度报告</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恒逸集团</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浙江恒逸集团有限公司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鼎晖一期</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天津鼎晖股权投资一期基金（有限合伙）</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鼎晖元博</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天津鼎晖元博股权投资基金（有限合伙）</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恒逸有限、浙江恒逸</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浙江恒逸石化有限公司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恒逸投资</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杭州恒逸投资有限公司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浙江逸盛</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浙江逸盛石化有限公司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逸盛大化</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逸盛大化石化有限公司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海南逸盛</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海南逸盛石化有限公司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己内酰胺公司</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浙江巴陵恒逸己内酰胺有限责任公司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恒逸聚合物</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浙江恒逸聚合物有限公司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上海恒逸聚酯</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上海恒逸聚酯纤维有限公司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恒逸高新</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浙江恒逸高新材料有限公司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恒逸文莱实业</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恒逸实业（文莱）有限公司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PMB</w:t>
            </w:r>
            <w:r w:rsidRPr="000A5B5D">
              <w:rPr>
                <w:rFonts w:asciiTheme="minorEastAsia" w:eastAsiaTheme="minorEastAsia" w:hAnsiTheme="minorEastAsia" w:hint="eastAsia"/>
                <w:sz w:val="24"/>
                <w:szCs w:val="24"/>
              </w:rPr>
              <w:t>石油化工项目</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公司在文莱投资建设的石油化工项目</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lastRenderedPageBreak/>
              <w:t>PX</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对二甲苯，为</w:t>
            </w:r>
            <w:r w:rsidRPr="000A5B5D">
              <w:rPr>
                <w:rFonts w:asciiTheme="minorEastAsia" w:eastAsiaTheme="minorEastAsia" w:hAnsiTheme="minorEastAsia"/>
                <w:sz w:val="24"/>
                <w:szCs w:val="24"/>
              </w:rPr>
              <w:t>PTA</w:t>
            </w:r>
            <w:r w:rsidRPr="000A5B5D">
              <w:rPr>
                <w:rFonts w:asciiTheme="minorEastAsia" w:eastAsiaTheme="minorEastAsia" w:hAnsiTheme="minorEastAsia" w:hint="eastAsia"/>
                <w:sz w:val="24"/>
                <w:szCs w:val="24"/>
              </w:rPr>
              <w:t>的生产原料之一</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PTA</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精对苯二甲酸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MEG</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乙二醇</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PET</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聚对苯二甲酸乙二醇酯（简称聚酯），是由</w:t>
            </w:r>
            <w:r w:rsidRPr="000A5B5D">
              <w:rPr>
                <w:rFonts w:asciiTheme="minorEastAsia" w:eastAsiaTheme="minorEastAsia" w:hAnsiTheme="minorEastAsia"/>
                <w:sz w:val="24"/>
                <w:szCs w:val="24"/>
              </w:rPr>
              <w:t>PTA</w:t>
            </w:r>
            <w:r w:rsidRPr="000A5B5D">
              <w:rPr>
                <w:rFonts w:asciiTheme="minorEastAsia" w:eastAsiaTheme="minorEastAsia" w:hAnsiTheme="minorEastAsia" w:hint="eastAsia"/>
                <w:sz w:val="24"/>
                <w:szCs w:val="24"/>
              </w:rPr>
              <w:t>和</w:t>
            </w:r>
            <w:r w:rsidRPr="000A5B5D">
              <w:rPr>
                <w:rFonts w:asciiTheme="minorEastAsia" w:eastAsiaTheme="minorEastAsia" w:hAnsiTheme="minorEastAsia"/>
                <w:sz w:val="24"/>
                <w:szCs w:val="24"/>
              </w:rPr>
              <w:t>MEG</w:t>
            </w:r>
            <w:r w:rsidRPr="000A5B5D">
              <w:rPr>
                <w:rFonts w:asciiTheme="minorEastAsia" w:eastAsiaTheme="minorEastAsia" w:hAnsiTheme="minorEastAsia" w:hint="eastAsia"/>
                <w:sz w:val="24"/>
                <w:szCs w:val="24"/>
              </w:rPr>
              <w:t>为原料经酯化或酯交换和缩聚反应而制得的成纤高聚物，纤维级聚酯切片用于制造涤纶短纤和涤纶长丝</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POY</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涤纶预取向丝</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DTY</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拉伸变形丝，又称涤纶加弹丝，通过</w:t>
            </w:r>
            <w:r w:rsidRPr="000A5B5D">
              <w:rPr>
                <w:rFonts w:asciiTheme="minorEastAsia" w:eastAsiaTheme="minorEastAsia" w:hAnsiTheme="minorEastAsia"/>
                <w:sz w:val="24"/>
                <w:szCs w:val="24"/>
              </w:rPr>
              <w:t>POY</w:t>
            </w:r>
            <w:r w:rsidRPr="000A5B5D">
              <w:rPr>
                <w:rFonts w:asciiTheme="minorEastAsia" w:eastAsiaTheme="minorEastAsia" w:hAnsiTheme="minorEastAsia" w:hint="eastAsia"/>
                <w:sz w:val="24"/>
                <w:szCs w:val="24"/>
              </w:rPr>
              <w:t>生产加工</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FDY</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全拉伸丝，又称涤纶牵引丝</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CPL</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己内酰胺，锦纶的原料</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本报告期</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1</w:t>
            </w:r>
            <w:r w:rsidRPr="000A5B5D">
              <w:rPr>
                <w:rFonts w:asciiTheme="minorEastAsia" w:eastAsiaTheme="minorEastAsia" w:hAnsiTheme="minorEastAsia" w:hint="eastAsia"/>
                <w:sz w:val="24"/>
                <w:szCs w:val="24"/>
              </w:rPr>
              <w:t>日至</w:t>
            </w: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12</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31</w:t>
            </w:r>
            <w:r w:rsidRPr="000A5B5D">
              <w:rPr>
                <w:rFonts w:asciiTheme="minorEastAsia" w:eastAsiaTheme="minorEastAsia" w:hAnsiTheme="minorEastAsia" w:hint="eastAsia"/>
                <w:sz w:val="24"/>
                <w:szCs w:val="24"/>
              </w:rPr>
              <w:t>日</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本报告期末</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截止到</w:t>
            </w: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12</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31</w:t>
            </w:r>
            <w:r w:rsidRPr="000A5B5D">
              <w:rPr>
                <w:rFonts w:asciiTheme="minorEastAsia" w:eastAsiaTheme="minorEastAsia" w:hAnsiTheme="minorEastAsia" w:hint="eastAsia"/>
                <w:sz w:val="24"/>
                <w:szCs w:val="24"/>
              </w:rPr>
              <w:t>日</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逸盛投资</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大连逸盛投资有限公司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浙江物流</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浙江恒逸物流有限公司</w:t>
            </w:r>
          </w:p>
        </w:tc>
      </w:tr>
      <w:tr w:rsidR="00BC4D56"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宁波物流</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116B0">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116B0">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宁波恒逸物流有限公司</w:t>
            </w:r>
          </w:p>
        </w:tc>
      </w:tr>
      <w:tr w:rsidR="00E1532B"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E1532B" w:rsidRPr="000A5B5D" w:rsidRDefault="00E1532B" w:rsidP="006116B0">
            <w:pPr>
              <w:spacing w:line="360" w:lineRule="auto"/>
              <w:jc w:val="left"/>
              <w:rPr>
                <w:rFonts w:asciiTheme="minorEastAsia" w:eastAsiaTheme="minorEastAsia" w:hAnsiTheme="minorEastAsia"/>
                <w:sz w:val="24"/>
                <w:szCs w:val="24"/>
              </w:rPr>
            </w:pPr>
            <w:r w:rsidRPr="000A5B5D">
              <w:rPr>
                <w:rFonts w:ascii="宋体" w:hAnsi="宋体" w:hint="eastAsia"/>
                <w:sz w:val="24"/>
                <w:szCs w:val="24"/>
              </w:rPr>
              <w:t>佳栢国际</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E1532B" w:rsidRPr="000A5B5D" w:rsidRDefault="00AF4269" w:rsidP="006116B0">
            <w:pPr>
              <w:spacing w:line="360" w:lineRule="auto"/>
              <w:jc w:val="center"/>
              <w:rPr>
                <w:rFonts w:asciiTheme="minorEastAsia" w:eastAsiaTheme="minorEastAsia" w:hAnsiTheme="minorEastAsia"/>
                <w:sz w:val="24"/>
                <w:szCs w:val="24"/>
              </w:rPr>
            </w:pPr>
            <w:r w:rsidRPr="000A5B5D">
              <w:rPr>
                <w:rFonts w:ascii="宋体" w:hAnsi="宋体"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E1532B" w:rsidRPr="000A5B5D" w:rsidRDefault="00AF4269" w:rsidP="006116B0">
            <w:pPr>
              <w:spacing w:line="360" w:lineRule="auto"/>
              <w:jc w:val="left"/>
              <w:rPr>
                <w:rFonts w:asciiTheme="minorEastAsia" w:eastAsiaTheme="minorEastAsia" w:hAnsiTheme="minorEastAsia"/>
                <w:sz w:val="24"/>
                <w:szCs w:val="24"/>
              </w:rPr>
            </w:pPr>
            <w:r w:rsidRPr="000A5B5D">
              <w:rPr>
                <w:rFonts w:ascii="宋体" w:hAnsi="宋体" w:hint="eastAsia"/>
                <w:sz w:val="24"/>
                <w:szCs w:val="24"/>
              </w:rPr>
              <w:t>佳栢国际投资有限公司</w:t>
            </w:r>
          </w:p>
        </w:tc>
      </w:tr>
      <w:tr w:rsidR="00E1532B" w:rsidRPr="000A5B5D">
        <w:tc>
          <w:tcPr>
            <w:tcW w:w="3524" w:type="dxa"/>
            <w:tcBorders>
              <w:top w:val="single" w:sz="4" w:space="0" w:color="auto"/>
              <w:left w:val="single" w:sz="4" w:space="0" w:color="auto"/>
              <w:bottom w:val="single" w:sz="4" w:space="0" w:color="auto"/>
              <w:right w:val="single" w:sz="4" w:space="0" w:color="auto"/>
            </w:tcBorders>
            <w:shd w:val="clear" w:color="auto" w:fill="FFFFFF"/>
            <w:vAlign w:val="center"/>
          </w:tcPr>
          <w:p w:rsidR="00E1532B" w:rsidRPr="000A5B5D" w:rsidRDefault="00E1532B" w:rsidP="006116B0">
            <w:pPr>
              <w:spacing w:line="360" w:lineRule="auto"/>
              <w:jc w:val="left"/>
              <w:rPr>
                <w:rFonts w:asciiTheme="minorEastAsia" w:eastAsiaTheme="minorEastAsia" w:hAnsiTheme="minorEastAsia"/>
                <w:sz w:val="24"/>
                <w:szCs w:val="24"/>
              </w:rPr>
            </w:pPr>
            <w:r w:rsidRPr="000A5B5D">
              <w:rPr>
                <w:rFonts w:ascii="宋体" w:hAnsi="宋体" w:hint="eastAsia"/>
                <w:sz w:val="24"/>
                <w:szCs w:val="24"/>
              </w:rPr>
              <w:t>香港天逸</w:t>
            </w:r>
          </w:p>
        </w:tc>
        <w:tc>
          <w:tcPr>
            <w:tcW w:w="621" w:type="dxa"/>
            <w:tcBorders>
              <w:top w:val="single" w:sz="4" w:space="0" w:color="auto"/>
              <w:left w:val="single" w:sz="4" w:space="0" w:color="auto"/>
              <w:bottom w:val="single" w:sz="4" w:space="0" w:color="auto"/>
              <w:right w:val="single" w:sz="4" w:space="0" w:color="auto"/>
            </w:tcBorders>
            <w:shd w:val="clear" w:color="auto" w:fill="D3D3D3"/>
            <w:vAlign w:val="center"/>
          </w:tcPr>
          <w:p w:rsidR="00E1532B" w:rsidRPr="000A5B5D" w:rsidRDefault="00AF4269" w:rsidP="006116B0">
            <w:pPr>
              <w:spacing w:line="360" w:lineRule="auto"/>
              <w:jc w:val="center"/>
              <w:rPr>
                <w:rFonts w:asciiTheme="minorEastAsia" w:eastAsiaTheme="minorEastAsia" w:hAnsiTheme="minorEastAsia"/>
                <w:sz w:val="24"/>
                <w:szCs w:val="24"/>
              </w:rPr>
            </w:pPr>
            <w:r w:rsidRPr="000A5B5D">
              <w:rPr>
                <w:rFonts w:ascii="宋体" w:hAnsi="宋体" w:hint="eastAsia"/>
                <w:sz w:val="24"/>
                <w:szCs w:val="24"/>
              </w:rPr>
              <w:t>指</w:t>
            </w:r>
          </w:p>
        </w:tc>
        <w:tc>
          <w:tcPr>
            <w:tcW w:w="5424" w:type="dxa"/>
            <w:tcBorders>
              <w:top w:val="single" w:sz="4" w:space="0" w:color="auto"/>
              <w:left w:val="single" w:sz="4" w:space="0" w:color="auto"/>
              <w:bottom w:val="single" w:sz="4" w:space="0" w:color="auto"/>
              <w:right w:val="single" w:sz="4" w:space="0" w:color="auto"/>
            </w:tcBorders>
            <w:shd w:val="clear" w:color="auto" w:fill="FFFFFF"/>
            <w:vAlign w:val="center"/>
          </w:tcPr>
          <w:p w:rsidR="00E1532B" w:rsidRPr="000A5B5D" w:rsidRDefault="00E1532B" w:rsidP="006116B0">
            <w:pPr>
              <w:spacing w:line="360" w:lineRule="auto"/>
              <w:jc w:val="left"/>
              <w:rPr>
                <w:rFonts w:asciiTheme="minorEastAsia" w:eastAsiaTheme="minorEastAsia" w:hAnsiTheme="minorEastAsia"/>
                <w:sz w:val="24"/>
                <w:szCs w:val="24"/>
              </w:rPr>
            </w:pPr>
            <w:r w:rsidRPr="000A5B5D">
              <w:rPr>
                <w:rFonts w:ascii="宋体" w:hAnsi="宋体" w:hint="eastAsia"/>
                <w:sz w:val="24"/>
                <w:szCs w:val="24"/>
              </w:rPr>
              <w:t>香港天逸国际控股有限公司</w:t>
            </w:r>
          </w:p>
        </w:tc>
      </w:tr>
    </w:tbl>
    <w:p w:rsidR="00BC4D56" w:rsidRPr="000A5B5D" w:rsidRDefault="00BC4D56">
      <w:p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pPr>
      <w:bookmarkStart w:id="2" w:name="_Toc449101526"/>
      <w:r w:rsidRPr="000A5B5D">
        <w:rPr>
          <w:rFonts w:hint="eastAsia"/>
        </w:rPr>
        <w:lastRenderedPageBreak/>
        <w:t>第二节</w:t>
      </w:r>
      <w:r w:rsidRPr="000A5B5D">
        <w:t xml:space="preserve"> </w:t>
      </w:r>
      <w:r w:rsidRPr="000A5B5D">
        <w:rPr>
          <w:rFonts w:hint="eastAsia"/>
        </w:rPr>
        <w:t>公司简介和主要财务指标</w:t>
      </w:r>
      <w:bookmarkEnd w:id="2"/>
    </w:p>
    <w:p w:rsidR="00BC4D56" w:rsidRPr="000A5B5D" w:rsidRDefault="00BC4D56">
      <w:pPr>
        <w:pStyle w:val="Chapter"/>
        <w:outlineLvl w:val="1"/>
      </w:pPr>
      <w:r w:rsidRPr="000A5B5D">
        <w:rPr>
          <w:rFonts w:hint="eastAsia"/>
        </w:rPr>
        <w:t>一、公司信息</w:t>
      </w:r>
    </w:p>
    <w:tbl>
      <w:tblPr>
        <w:tblW w:w="5000" w:type="pct"/>
        <w:tblCellMar>
          <w:left w:w="28" w:type="dxa"/>
          <w:right w:w="28" w:type="dxa"/>
        </w:tblCellMar>
        <w:tblLook w:val="0000" w:firstRow="0" w:lastRow="0" w:firstColumn="0" w:lastColumn="0" w:noHBand="0" w:noVBand="0"/>
      </w:tblPr>
      <w:tblGrid>
        <w:gridCol w:w="3139"/>
        <w:gridCol w:w="2132"/>
        <w:gridCol w:w="2170"/>
        <w:gridCol w:w="2187"/>
      </w:tblGrid>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股票简称</w:t>
            </w:r>
          </w:p>
        </w:tc>
        <w:tc>
          <w:tcPr>
            <w:tcW w:w="11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rFonts w:hint="eastAsia"/>
                <w:sz w:val="24"/>
                <w:szCs w:val="24"/>
              </w:rPr>
              <w:t>恒逸石化</w:t>
            </w:r>
          </w:p>
        </w:tc>
        <w:tc>
          <w:tcPr>
            <w:tcW w:w="1127"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股票代码</w:t>
            </w:r>
          </w:p>
        </w:tc>
        <w:tc>
          <w:tcPr>
            <w:tcW w:w="113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000703</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股票上市证券交易所</w:t>
            </w:r>
          </w:p>
        </w:tc>
        <w:tc>
          <w:tcPr>
            <w:tcW w:w="3370" w:type="pct"/>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深圳证券交易所</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公司的中文名称</w:t>
            </w:r>
          </w:p>
        </w:tc>
        <w:tc>
          <w:tcPr>
            <w:tcW w:w="3370" w:type="pct"/>
            <w:gridSpan w:val="3"/>
            <w:tcBorders>
              <w:top w:val="single" w:sz="4" w:space="0" w:color="auto"/>
              <w:left w:val="single" w:sz="4" w:space="0" w:color="auto"/>
              <w:bottom w:val="single" w:sz="4" w:space="0" w:color="auto"/>
              <w:right w:val="single" w:sz="4" w:space="0" w:color="auto"/>
            </w:tcBorders>
            <w:vAlign w:val="center"/>
          </w:tcPr>
          <w:p w:rsidR="00BC4D56" w:rsidRPr="000A5B5D" w:rsidRDefault="00BC4D56" w:rsidP="00A753E2">
            <w:pPr>
              <w:spacing w:line="360" w:lineRule="auto"/>
              <w:jc w:val="left"/>
              <w:rPr>
                <w:sz w:val="24"/>
                <w:szCs w:val="24"/>
              </w:rPr>
            </w:pPr>
            <w:r w:rsidRPr="000A5B5D">
              <w:rPr>
                <w:rFonts w:hint="eastAsia"/>
                <w:sz w:val="24"/>
                <w:szCs w:val="24"/>
              </w:rPr>
              <w:t>恒逸石化股份有限公司</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公司的中文简称</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rFonts w:hint="eastAsia"/>
                <w:sz w:val="24"/>
                <w:szCs w:val="24"/>
              </w:rPr>
              <w:t>恒逸石化</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公司的外文名称（如有）</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HENGYI PETROCHEMICAL CO., LTD</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公司的外文名称缩写（如有）</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HYPC</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公司的法定代表人</w:t>
            </w:r>
          </w:p>
        </w:tc>
        <w:tc>
          <w:tcPr>
            <w:tcW w:w="3370" w:type="pct"/>
            <w:gridSpan w:val="3"/>
            <w:tcBorders>
              <w:top w:val="single" w:sz="4" w:space="0" w:color="auto"/>
              <w:left w:val="single" w:sz="4" w:space="0" w:color="auto"/>
              <w:bottom w:val="single" w:sz="4" w:space="0" w:color="auto"/>
              <w:right w:val="single" w:sz="4" w:space="0" w:color="auto"/>
            </w:tcBorders>
            <w:vAlign w:val="center"/>
          </w:tcPr>
          <w:p w:rsidR="00BC4D56" w:rsidRPr="000A5B5D" w:rsidRDefault="00BC4D56" w:rsidP="00A753E2">
            <w:pPr>
              <w:spacing w:line="360" w:lineRule="auto"/>
              <w:jc w:val="left"/>
              <w:rPr>
                <w:sz w:val="24"/>
                <w:szCs w:val="24"/>
              </w:rPr>
            </w:pPr>
            <w:r w:rsidRPr="000A5B5D">
              <w:rPr>
                <w:rFonts w:hint="eastAsia"/>
                <w:sz w:val="24"/>
                <w:szCs w:val="24"/>
              </w:rPr>
              <w:t>方贤水</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注册地址</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rFonts w:hint="eastAsia"/>
                <w:sz w:val="24"/>
                <w:szCs w:val="24"/>
              </w:rPr>
              <w:t>广西壮族自治区北海市北海大道西</w:t>
            </w:r>
            <w:r w:rsidRPr="000A5B5D">
              <w:rPr>
                <w:sz w:val="24"/>
                <w:szCs w:val="24"/>
              </w:rPr>
              <w:t>16</w:t>
            </w:r>
            <w:r w:rsidRPr="000A5B5D">
              <w:rPr>
                <w:rFonts w:hint="eastAsia"/>
                <w:sz w:val="24"/>
                <w:szCs w:val="24"/>
              </w:rPr>
              <w:t>号海富大厦第七层</w:t>
            </w:r>
            <w:r w:rsidRPr="000A5B5D">
              <w:rPr>
                <w:sz w:val="24"/>
                <w:szCs w:val="24"/>
              </w:rPr>
              <w:t>G</w:t>
            </w:r>
            <w:r w:rsidRPr="000A5B5D">
              <w:rPr>
                <w:rFonts w:hint="eastAsia"/>
                <w:sz w:val="24"/>
                <w:szCs w:val="24"/>
              </w:rPr>
              <w:t>号</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注册地址的邮政编码</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536000</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办公地址</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rFonts w:hint="eastAsia"/>
                <w:sz w:val="24"/>
                <w:szCs w:val="24"/>
              </w:rPr>
              <w:t>浙江省杭州市萧山区市心北路</w:t>
            </w:r>
            <w:r w:rsidRPr="000A5B5D">
              <w:rPr>
                <w:sz w:val="24"/>
                <w:szCs w:val="24"/>
              </w:rPr>
              <w:t>260</w:t>
            </w:r>
            <w:r w:rsidRPr="000A5B5D">
              <w:rPr>
                <w:rFonts w:hint="eastAsia"/>
                <w:sz w:val="24"/>
                <w:szCs w:val="24"/>
              </w:rPr>
              <w:t>号南岸明珠</w:t>
            </w:r>
            <w:r w:rsidRPr="000A5B5D">
              <w:rPr>
                <w:sz w:val="24"/>
                <w:szCs w:val="24"/>
              </w:rPr>
              <w:t>3</w:t>
            </w:r>
            <w:r w:rsidRPr="000A5B5D">
              <w:rPr>
                <w:rFonts w:hint="eastAsia"/>
                <w:sz w:val="24"/>
                <w:szCs w:val="24"/>
              </w:rPr>
              <w:t>栋</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办公地址的邮政编码</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311215</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公司网址</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http://www.hengyishihua.com</w:t>
            </w:r>
          </w:p>
        </w:tc>
      </w:tr>
      <w:tr w:rsidR="00BC4D56" w:rsidRPr="000A5B5D" w:rsidTr="00655739">
        <w:tc>
          <w:tcPr>
            <w:tcW w:w="163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753E2">
            <w:pPr>
              <w:spacing w:line="360" w:lineRule="auto"/>
              <w:jc w:val="left"/>
              <w:rPr>
                <w:sz w:val="24"/>
                <w:szCs w:val="24"/>
              </w:rPr>
            </w:pPr>
            <w:r w:rsidRPr="000A5B5D">
              <w:rPr>
                <w:rFonts w:hint="eastAsia"/>
                <w:sz w:val="24"/>
                <w:szCs w:val="24"/>
              </w:rPr>
              <w:t>电子信箱</w:t>
            </w:r>
          </w:p>
        </w:tc>
        <w:tc>
          <w:tcPr>
            <w:tcW w:w="33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753E2">
            <w:pPr>
              <w:spacing w:line="360" w:lineRule="auto"/>
              <w:jc w:val="left"/>
              <w:rPr>
                <w:sz w:val="24"/>
                <w:szCs w:val="24"/>
              </w:rPr>
            </w:pPr>
            <w:r w:rsidRPr="000A5B5D">
              <w:rPr>
                <w:sz w:val="24"/>
                <w:szCs w:val="24"/>
              </w:rPr>
              <w:t>hysh@hengyi.com</w:t>
            </w:r>
          </w:p>
        </w:tc>
      </w:tr>
    </w:tbl>
    <w:p w:rsidR="00BC4D56" w:rsidRPr="000A5B5D" w:rsidRDefault="00BC4D56">
      <w:pPr>
        <w:pStyle w:val="Chapter"/>
        <w:outlineLvl w:val="1"/>
      </w:pPr>
      <w:r w:rsidRPr="000A5B5D">
        <w:rPr>
          <w:rFonts w:hint="eastAsia"/>
        </w:rPr>
        <w:t>二、联系人和联系方式</w:t>
      </w:r>
    </w:p>
    <w:tbl>
      <w:tblPr>
        <w:tblW w:w="5000" w:type="pct"/>
        <w:tblCellMar>
          <w:left w:w="28" w:type="dxa"/>
          <w:right w:w="28" w:type="dxa"/>
        </w:tblCellMar>
        <w:tblLook w:val="0000" w:firstRow="0" w:lastRow="0" w:firstColumn="0" w:lastColumn="0" w:noHBand="0" w:noVBand="0"/>
      </w:tblPr>
      <w:tblGrid>
        <w:gridCol w:w="1296"/>
        <w:gridCol w:w="4082"/>
        <w:gridCol w:w="4250"/>
      </w:tblGrid>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center"/>
              <w:rPr>
                <w:sz w:val="24"/>
                <w:szCs w:val="24"/>
              </w:rPr>
            </w:pPr>
          </w:p>
        </w:tc>
        <w:tc>
          <w:tcPr>
            <w:tcW w:w="212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center"/>
              <w:rPr>
                <w:sz w:val="24"/>
                <w:szCs w:val="24"/>
              </w:rPr>
            </w:pPr>
            <w:r w:rsidRPr="000A5B5D">
              <w:rPr>
                <w:rFonts w:hint="eastAsia"/>
                <w:sz w:val="24"/>
                <w:szCs w:val="24"/>
              </w:rPr>
              <w:t>董事会秘书</w:t>
            </w:r>
          </w:p>
        </w:tc>
        <w:tc>
          <w:tcPr>
            <w:tcW w:w="2207"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center"/>
              <w:rPr>
                <w:sz w:val="24"/>
                <w:szCs w:val="24"/>
              </w:rPr>
            </w:pPr>
            <w:r w:rsidRPr="000A5B5D">
              <w:rPr>
                <w:rFonts w:hint="eastAsia"/>
                <w:sz w:val="24"/>
                <w:szCs w:val="24"/>
              </w:rPr>
              <w:t>证券事务代表</w:t>
            </w:r>
          </w:p>
        </w:tc>
      </w:tr>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left"/>
              <w:rPr>
                <w:sz w:val="24"/>
                <w:szCs w:val="24"/>
              </w:rPr>
            </w:pPr>
            <w:r w:rsidRPr="000A5B5D">
              <w:rPr>
                <w:rFonts w:hint="eastAsia"/>
                <w:sz w:val="24"/>
                <w:szCs w:val="24"/>
              </w:rPr>
              <w:t>姓名</w:t>
            </w:r>
          </w:p>
        </w:tc>
        <w:tc>
          <w:tcPr>
            <w:tcW w:w="212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郭丹</w:t>
            </w:r>
          </w:p>
        </w:tc>
        <w:tc>
          <w:tcPr>
            <w:tcW w:w="22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赵东华</w:t>
            </w:r>
          </w:p>
        </w:tc>
      </w:tr>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left"/>
              <w:rPr>
                <w:sz w:val="24"/>
                <w:szCs w:val="24"/>
              </w:rPr>
            </w:pPr>
            <w:r w:rsidRPr="000A5B5D">
              <w:rPr>
                <w:rFonts w:hint="eastAsia"/>
                <w:sz w:val="24"/>
                <w:szCs w:val="24"/>
              </w:rPr>
              <w:t>联系地址</w:t>
            </w:r>
          </w:p>
        </w:tc>
        <w:tc>
          <w:tcPr>
            <w:tcW w:w="212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浙江省杭州市萧山区市心北路</w:t>
            </w:r>
            <w:r w:rsidRPr="000A5B5D">
              <w:rPr>
                <w:sz w:val="24"/>
                <w:szCs w:val="24"/>
              </w:rPr>
              <w:t>260</w:t>
            </w:r>
            <w:r w:rsidRPr="000A5B5D">
              <w:rPr>
                <w:rFonts w:hint="eastAsia"/>
                <w:sz w:val="24"/>
                <w:szCs w:val="24"/>
              </w:rPr>
              <w:t>号南岸明珠</w:t>
            </w:r>
            <w:r w:rsidRPr="000A5B5D">
              <w:rPr>
                <w:sz w:val="24"/>
                <w:szCs w:val="24"/>
              </w:rPr>
              <w:t>3</w:t>
            </w:r>
            <w:r w:rsidRPr="000A5B5D">
              <w:rPr>
                <w:rFonts w:hint="eastAsia"/>
                <w:sz w:val="24"/>
                <w:szCs w:val="24"/>
              </w:rPr>
              <w:t>栋</w:t>
            </w:r>
            <w:r w:rsidRPr="000A5B5D">
              <w:rPr>
                <w:sz w:val="24"/>
                <w:szCs w:val="24"/>
              </w:rPr>
              <w:t>24</w:t>
            </w:r>
            <w:r w:rsidRPr="000A5B5D">
              <w:rPr>
                <w:rFonts w:hint="eastAsia"/>
                <w:sz w:val="24"/>
                <w:szCs w:val="24"/>
              </w:rPr>
              <w:t>楼董事会办公室</w:t>
            </w:r>
          </w:p>
        </w:tc>
        <w:tc>
          <w:tcPr>
            <w:tcW w:w="22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浙江省杭州市萧山区市心北路</w:t>
            </w:r>
            <w:r w:rsidRPr="000A5B5D">
              <w:rPr>
                <w:sz w:val="24"/>
                <w:szCs w:val="24"/>
              </w:rPr>
              <w:t>260</w:t>
            </w:r>
            <w:r w:rsidRPr="000A5B5D">
              <w:rPr>
                <w:rFonts w:hint="eastAsia"/>
                <w:sz w:val="24"/>
                <w:szCs w:val="24"/>
              </w:rPr>
              <w:t>号南岸明珠</w:t>
            </w:r>
            <w:r w:rsidRPr="000A5B5D">
              <w:rPr>
                <w:sz w:val="24"/>
                <w:szCs w:val="24"/>
              </w:rPr>
              <w:t>3</w:t>
            </w:r>
            <w:r w:rsidRPr="000A5B5D">
              <w:rPr>
                <w:rFonts w:hint="eastAsia"/>
                <w:sz w:val="24"/>
                <w:szCs w:val="24"/>
              </w:rPr>
              <w:t>栋</w:t>
            </w:r>
            <w:r w:rsidRPr="000A5B5D">
              <w:rPr>
                <w:sz w:val="24"/>
                <w:szCs w:val="24"/>
              </w:rPr>
              <w:t>24</w:t>
            </w:r>
            <w:r w:rsidRPr="000A5B5D">
              <w:rPr>
                <w:rFonts w:hint="eastAsia"/>
                <w:sz w:val="24"/>
                <w:szCs w:val="24"/>
              </w:rPr>
              <w:t>楼董事会办公室</w:t>
            </w:r>
          </w:p>
        </w:tc>
      </w:tr>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left"/>
              <w:rPr>
                <w:sz w:val="24"/>
                <w:szCs w:val="24"/>
              </w:rPr>
            </w:pPr>
            <w:r w:rsidRPr="000A5B5D">
              <w:rPr>
                <w:rFonts w:hint="eastAsia"/>
                <w:sz w:val="24"/>
                <w:szCs w:val="24"/>
              </w:rPr>
              <w:t>电话</w:t>
            </w:r>
          </w:p>
        </w:tc>
        <w:tc>
          <w:tcPr>
            <w:tcW w:w="212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w:t>
            </w:r>
            <w:r w:rsidRPr="000A5B5D">
              <w:rPr>
                <w:sz w:val="24"/>
                <w:szCs w:val="24"/>
              </w:rPr>
              <w:t>0571</w:t>
            </w:r>
            <w:r w:rsidRPr="000A5B5D">
              <w:rPr>
                <w:rFonts w:hint="eastAsia"/>
                <w:sz w:val="24"/>
                <w:szCs w:val="24"/>
              </w:rPr>
              <w:t>）</w:t>
            </w:r>
            <w:r w:rsidRPr="000A5B5D">
              <w:rPr>
                <w:sz w:val="24"/>
                <w:szCs w:val="24"/>
              </w:rPr>
              <w:t>83871991</w:t>
            </w:r>
          </w:p>
        </w:tc>
        <w:tc>
          <w:tcPr>
            <w:tcW w:w="22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w:t>
            </w:r>
            <w:r w:rsidRPr="000A5B5D">
              <w:rPr>
                <w:sz w:val="24"/>
                <w:szCs w:val="24"/>
              </w:rPr>
              <w:t>0571</w:t>
            </w:r>
            <w:r w:rsidRPr="000A5B5D">
              <w:rPr>
                <w:rFonts w:hint="eastAsia"/>
                <w:sz w:val="24"/>
                <w:szCs w:val="24"/>
              </w:rPr>
              <w:t>）</w:t>
            </w:r>
            <w:r w:rsidRPr="000A5B5D">
              <w:rPr>
                <w:sz w:val="24"/>
                <w:szCs w:val="24"/>
              </w:rPr>
              <w:t>83871991</w:t>
            </w:r>
          </w:p>
        </w:tc>
      </w:tr>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left"/>
              <w:rPr>
                <w:sz w:val="24"/>
                <w:szCs w:val="24"/>
              </w:rPr>
            </w:pPr>
            <w:r w:rsidRPr="000A5B5D">
              <w:rPr>
                <w:rFonts w:hint="eastAsia"/>
                <w:sz w:val="24"/>
                <w:szCs w:val="24"/>
              </w:rPr>
              <w:t>传真</w:t>
            </w:r>
          </w:p>
        </w:tc>
        <w:tc>
          <w:tcPr>
            <w:tcW w:w="212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w:t>
            </w:r>
            <w:r w:rsidRPr="000A5B5D">
              <w:rPr>
                <w:sz w:val="24"/>
                <w:szCs w:val="24"/>
              </w:rPr>
              <w:t>0571</w:t>
            </w:r>
            <w:r w:rsidRPr="000A5B5D">
              <w:rPr>
                <w:rFonts w:hint="eastAsia"/>
                <w:sz w:val="24"/>
                <w:szCs w:val="24"/>
              </w:rPr>
              <w:t>）</w:t>
            </w:r>
            <w:r w:rsidRPr="000A5B5D">
              <w:rPr>
                <w:sz w:val="24"/>
                <w:szCs w:val="24"/>
              </w:rPr>
              <w:t>83871992</w:t>
            </w:r>
          </w:p>
        </w:tc>
        <w:tc>
          <w:tcPr>
            <w:tcW w:w="22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rFonts w:hint="eastAsia"/>
                <w:sz w:val="24"/>
                <w:szCs w:val="24"/>
              </w:rPr>
              <w:t>（</w:t>
            </w:r>
            <w:r w:rsidRPr="000A5B5D">
              <w:rPr>
                <w:sz w:val="24"/>
                <w:szCs w:val="24"/>
              </w:rPr>
              <w:t>0571</w:t>
            </w:r>
            <w:r w:rsidRPr="000A5B5D">
              <w:rPr>
                <w:rFonts w:hint="eastAsia"/>
                <w:sz w:val="24"/>
                <w:szCs w:val="24"/>
              </w:rPr>
              <w:t>）</w:t>
            </w:r>
            <w:r w:rsidRPr="000A5B5D">
              <w:rPr>
                <w:sz w:val="24"/>
                <w:szCs w:val="24"/>
              </w:rPr>
              <w:t>83871992</w:t>
            </w:r>
          </w:p>
        </w:tc>
      </w:tr>
      <w:tr w:rsidR="00BC4D56" w:rsidRPr="000A5B5D" w:rsidTr="000D6874">
        <w:tc>
          <w:tcPr>
            <w:tcW w:w="67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0D6874">
            <w:pPr>
              <w:spacing w:line="360" w:lineRule="auto"/>
              <w:jc w:val="left"/>
              <w:rPr>
                <w:sz w:val="24"/>
                <w:szCs w:val="24"/>
              </w:rPr>
            </w:pPr>
            <w:r w:rsidRPr="000A5B5D">
              <w:rPr>
                <w:rFonts w:hint="eastAsia"/>
                <w:sz w:val="24"/>
                <w:szCs w:val="24"/>
              </w:rPr>
              <w:lastRenderedPageBreak/>
              <w:t>电子信箱</w:t>
            </w:r>
          </w:p>
        </w:tc>
        <w:tc>
          <w:tcPr>
            <w:tcW w:w="212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sz w:val="24"/>
                <w:szCs w:val="24"/>
              </w:rPr>
              <w:t>hysh@hengyi.com</w:t>
            </w:r>
          </w:p>
        </w:tc>
        <w:tc>
          <w:tcPr>
            <w:tcW w:w="220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D6874">
            <w:pPr>
              <w:spacing w:line="360" w:lineRule="auto"/>
              <w:jc w:val="left"/>
              <w:rPr>
                <w:sz w:val="24"/>
                <w:szCs w:val="24"/>
              </w:rPr>
            </w:pPr>
            <w:r w:rsidRPr="000A5B5D">
              <w:rPr>
                <w:sz w:val="24"/>
                <w:szCs w:val="24"/>
              </w:rPr>
              <w:t>hysh@hengyi.com</w:t>
            </w:r>
          </w:p>
        </w:tc>
      </w:tr>
    </w:tbl>
    <w:p w:rsidR="00BC4D56" w:rsidRPr="000A5B5D" w:rsidRDefault="00BC4D56">
      <w:pPr>
        <w:pStyle w:val="Chapter"/>
        <w:outlineLvl w:val="1"/>
      </w:pPr>
      <w:r w:rsidRPr="000A5B5D">
        <w:rPr>
          <w:rFonts w:hint="eastAsia"/>
        </w:rPr>
        <w:t>三、信息披露及备置地点</w:t>
      </w:r>
    </w:p>
    <w:tbl>
      <w:tblPr>
        <w:tblW w:w="0" w:type="auto"/>
        <w:tblInd w:w="28" w:type="dxa"/>
        <w:tblLayout w:type="fixed"/>
        <w:tblCellMar>
          <w:left w:w="28" w:type="dxa"/>
          <w:right w:w="28" w:type="dxa"/>
        </w:tblCellMar>
        <w:tblLook w:val="0000" w:firstRow="0" w:lastRow="0" w:firstColumn="0" w:lastColumn="0" w:noHBand="0" w:noVBand="0"/>
      </w:tblPr>
      <w:tblGrid>
        <w:gridCol w:w="3992"/>
        <w:gridCol w:w="5576"/>
      </w:tblGrid>
      <w:tr w:rsidR="00BC4D56" w:rsidRPr="000A5B5D">
        <w:tc>
          <w:tcPr>
            <w:tcW w:w="3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56CF3">
            <w:pPr>
              <w:spacing w:line="360" w:lineRule="auto"/>
              <w:jc w:val="left"/>
              <w:rPr>
                <w:sz w:val="24"/>
                <w:szCs w:val="24"/>
              </w:rPr>
            </w:pPr>
            <w:r w:rsidRPr="000A5B5D">
              <w:rPr>
                <w:rFonts w:hint="eastAsia"/>
                <w:sz w:val="24"/>
                <w:szCs w:val="24"/>
              </w:rPr>
              <w:t>公司选定的信息披露媒体的名称</w:t>
            </w:r>
          </w:p>
        </w:tc>
        <w:tc>
          <w:tcPr>
            <w:tcW w:w="55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56CF3">
            <w:pPr>
              <w:spacing w:line="360" w:lineRule="auto"/>
              <w:jc w:val="left"/>
              <w:rPr>
                <w:sz w:val="24"/>
                <w:szCs w:val="24"/>
              </w:rPr>
            </w:pPr>
            <w:r w:rsidRPr="000A5B5D">
              <w:rPr>
                <w:rFonts w:hint="eastAsia"/>
                <w:sz w:val="24"/>
                <w:szCs w:val="24"/>
              </w:rPr>
              <w:t>中国证券报、证券日报、证券时报、上海证券报</w:t>
            </w:r>
          </w:p>
        </w:tc>
      </w:tr>
      <w:tr w:rsidR="00BC4D56" w:rsidRPr="000A5B5D">
        <w:tc>
          <w:tcPr>
            <w:tcW w:w="3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56CF3">
            <w:pPr>
              <w:spacing w:line="360" w:lineRule="auto"/>
              <w:jc w:val="left"/>
              <w:rPr>
                <w:sz w:val="24"/>
                <w:szCs w:val="24"/>
              </w:rPr>
            </w:pPr>
            <w:r w:rsidRPr="000A5B5D">
              <w:rPr>
                <w:rFonts w:hint="eastAsia"/>
                <w:sz w:val="24"/>
                <w:szCs w:val="24"/>
              </w:rPr>
              <w:t>登载年度报告的中国证监会指定网站的网址</w:t>
            </w:r>
          </w:p>
        </w:tc>
        <w:tc>
          <w:tcPr>
            <w:tcW w:w="55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56CF3">
            <w:pPr>
              <w:spacing w:line="360" w:lineRule="auto"/>
              <w:jc w:val="left"/>
              <w:rPr>
                <w:sz w:val="24"/>
                <w:szCs w:val="24"/>
              </w:rPr>
            </w:pPr>
            <w:r w:rsidRPr="000A5B5D">
              <w:rPr>
                <w:rFonts w:hint="eastAsia"/>
                <w:sz w:val="24"/>
                <w:szCs w:val="24"/>
              </w:rPr>
              <w:t>巨潮资讯网（</w:t>
            </w:r>
            <w:r w:rsidRPr="000A5B5D">
              <w:rPr>
                <w:sz w:val="24"/>
                <w:szCs w:val="24"/>
              </w:rPr>
              <w:t>http://www.cninfo.com.cn/</w:t>
            </w:r>
            <w:r w:rsidRPr="000A5B5D">
              <w:rPr>
                <w:rFonts w:hint="eastAsia"/>
                <w:sz w:val="24"/>
                <w:szCs w:val="24"/>
              </w:rPr>
              <w:t>）</w:t>
            </w:r>
          </w:p>
        </w:tc>
      </w:tr>
      <w:tr w:rsidR="00BC4D56" w:rsidRPr="000A5B5D">
        <w:tc>
          <w:tcPr>
            <w:tcW w:w="3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56CF3">
            <w:pPr>
              <w:spacing w:line="360" w:lineRule="auto"/>
              <w:jc w:val="left"/>
              <w:rPr>
                <w:sz w:val="24"/>
                <w:szCs w:val="24"/>
              </w:rPr>
            </w:pPr>
            <w:r w:rsidRPr="000A5B5D">
              <w:rPr>
                <w:rFonts w:hint="eastAsia"/>
                <w:sz w:val="24"/>
                <w:szCs w:val="24"/>
              </w:rPr>
              <w:t>公司年度报告备置地点</w:t>
            </w:r>
          </w:p>
        </w:tc>
        <w:tc>
          <w:tcPr>
            <w:tcW w:w="55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56CF3">
            <w:pPr>
              <w:spacing w:line="360" w:lineRule="auto"/>
              <w:jc w:val="left"/>
              <w:rPr>
                <w:sz w:val="24"/>
                <w:szCs w:val="24"/>
              </w:rPr>
            </w:pPr>
            <w:r w:rsidRPr="000A5B5D">
              <w:rPr>
                <w:rFonts w:hint="eastAsia"/>
                <w:sz w:val="24"/>
                <w:szCs w:val="24"/>
              </w:rPr>
              <w:t>恒逸石化股份有限公司董事会办公室</w:t>
            </w:r>
          </w:p>
        </w:tc>
      </w:tr>
    </w:tbl>
    <w:p w:rsidR="00BC4D56" w:rsidRPr="000A5B5D" w:rsidRDefault="00BC4D56">
      <w:pPr>
        <w:pStyle w:val="Chapter"/>
        <w:outlineLvl w:val="1"/>
      </w:pPr>
      <w:r w:rsidRPr="000A5B5D">
        <w:rPr>
          <w:rFonts w:hint="eastAsia"/>
        </w:rPr>
        <w:t>四、注册变更情况</w:t>
      </w:r>
    </w:p>
    <w:tbl>
      <w:tblPr>
        <w:tblW w:w="0" w:type="auto"/>
        <w:tblInd w:w="28" w:type="dxa"/>
        <w:tblLayout w:type="fixed"/>
        <w:tblCellMar>
          <w:left w:w="28" w:type="dxa"/>
          <w:right w:w="28" w:type="dxa"/>
        </w:tblCellMar>
        <w:tblLook w:val="0000" w:firstRow="0" w:lastRow="0" w:firstColumn="0" w:lastColumn="0" w:noHBand="0" w:noVBand="0"/>
      </w:tblPr>
      <w:tblGrid>
        <w:gridCol w:w="1701"/>
        <w:gridCol w:w="7867"/>
      </w:tblGrid>
      <w:tr w:rsidR="00BC4D56" w:rsidRPr="000A5B5D" w:rsidTr="002F46A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726CA">
            <w:pPr>
              <w:spacing w:line="360" w:lineRule="auto"/>
              <w:jc w:val="left"/>
              <w:rPr>
                <w:sz w:val="24"/>
                <w:szCs w:val="24"/>
              </w:rPr>
            </w:pPr>
            <w:r w:rsidRPr="000A5B5D">
              <w:rPr>
                <w:rFonts w:hint="eastAsia"/>
                <w:sz w:val="24"/>
                <w:szCs w:val="24"/>
              </w:rPr>
              <w:t>组织机构代码</w:t>
            </w:r>
          </w:p>
        </w:tc>
        <w:tc>
          <w:tcPr>
            <w:tcW w:w="78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726CA">
            <w:pPr>
              <w:spacing w:line="360" w:lineRule="auto"/>
              <w:jc w:val="left"/>
              <w:rPr>
                <w:sz w:val="24"/>
                <w:szCs w:val="24"/>
              </w:rPr>
            </w:pPr>
            <w:r w:rsidRPr="000A5B5D">
              <w:rPr>
                <w:sz w:val="24"/>
                <w:szCs w:val="24"/>
              </w:rPr>
              <w:t>19822966-X</w:t>
            </w:r>
          </w:p>
        </w:tc>
      </w:tr>
      <w:tr w:rsidR="00BC4D56" w:rsidRPr="000A5B5D" w:rsidTr="002F46A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726CA">
            <w:pPr>
              <w:spacing w:line="360" w:lineRule="auto"/>
              <w:jc w:val="left"/>
              <w:rPr>
                <w:sz w:val="24"/>
                <w:szCs w:val="24"/>
              </w:rPr>
            </w:pPr>
            <w:r w:rsidRPr="000A5B5D">
              <w:rPr>
                <w:rFonts w:hint="eastAsia"/>
                <w:sz w:val="24"/>
                <w:szCs w:val="24"/>
              </w:rPr>
              <w:t>公司上市以来主营业务的变化情况（如有）</w:t>
            </w:r>
          </w:p>
        </w:tc>
        <w:tc>
          <w:tcPr>
            <w:tcW w:w="78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726CA">
            <w:pPr>
              <w:spacing w:line="360" w:lineRule="auto"/>
              <w:jc w:val="left"/>
              <w:rPr>
                <w:sz w:val="24"/>
                <w:szCs w:val="24"/>
              </w:rPr>
            </w:pPr>
            <w:r w:rsidRPr="000A5B5D">
              <w:rPr>
                <w:rFonts w:hint="eastAsia"/>
                <w:sz w:val="24"/>
                <w:szCs w:val="24"/>
              </w:rPr>
              <w:t>恒逸石化股份有限公司的前身是</w:t>
            </w:r>
            <w:r w:rsidRPr="000A5B5D">
              <w:rPr>
                <w:sz w:val="24"/>
                <w:szCs w:val="24"/>
              </w:rPr>
              <w:t>“</w:t>
            </w:r>
            <w:r w:rsidRPr="000A5B5D">
              <w:rPr>
                <w:rFonts w:hint="eastAsia"/>
                <w:sz w:val="24"/>
                <w:szCs w:val="24"/>
              </w:rPr>
              <w:t>北海四川国际经济开发招商中心（股份）有限公司</w:t>
            </w:r>
            <w:r w:rsidRPr="000A5B5D">
              <w:rPr>
                <w:sz w:val="24"/>
                <w:szCs w:val="24"/>
              </w:rPr>
              <w:t>”</w:t>
            </w:r>
            <w:r w:rsidRPr="000A5B5D">
              <w:rPr>
                <w:rFonts w:hint="eastAsia"/>
                <w:sz w:val="24"/>
                <w:szCs w:val="24"/>
              </w:rPr>
              <w:t>。</w:t>
            </w:r>
            <w:r w:rsidRPr="000A5B5D">
              <w:rPr>
                <w:sz w:val="24"/>
                <w:szCs w:val="24"/>
              </w:rPr>
              <w:t>1990</w:t>
            </w:r>
            <w:r w:rsidRPr="000A5B5D">
              <w:rPr>
                <w:rFonts w:hint="eastAsia"/>
                <w:sz w:val="24"/>
                <w:szCs w:val="24"/>
              </w:rPr>
              <w:t>年</w:t>
            </w:r>
            <w:r w:rsidRPr="000A5B5D">
              <w:rPr>
                <w:sz w:val="24"/>
                <w:szCs w:val="24"/>
              </w:rPr>
              <w:t>5</w:t>
            </w:r>
            <w:r w:rsidRPr="000A5B5D">
              <w:rPr>
                <w:rFonts w:hint="eastAsia"/>
                <w:sz w:val="24"/>
                <w:szCs w:val="24"/>
              </w:rPr>
              <w:t>月</w:t>
            </w:r>
            <w:r w:rsidRPr="000A5B5D">
              <w:rPr>
                <w:sz w:val="24"/>
                <w:szCs w:val="24"/>
              </w:rPr>
              <w:t>8</w:t>
            </w:r>
            <w:r w:rsidRPr="000A5B5D">
              <w:rPr>
                <w:rFonts w:hint="eastAsia"/>
                <w:sz w:val="24"/>
                <w:szCs w:val="24"/>
              </w:rPr>
              <w:t>日，公司在北海市工商行政管理局注册登记，经营范围：房地产开发经营、商业贸易、进出口贸易、船务运输、城市信用、酒店、旅游服务、工程设计、工程承建、城市能源、实业开发。</w:t>
            </w:r>
            <w:r w:rsidRPr="000A5B5D">
              <w:rPr>
                <w:sz w:val="24"/>
                <w:szCs w:val="24"/>
              </w:rPr>
              <w:t>1996</w:t>
            </w:r>
            <w:r w:rsidRPr="000A5B5D">
              <w:rPr>
                <w:rFonts w:hint="eastAsia"/>
                <w:sz w:val="24"/>
                <w:szCs w:val="24"/>
              </w:rPr>
              <w:t>年</w:t>
            </w:r>
            <w:r w:rsidRPr="000A5B5D">
              <w:rPr>
                <w:sz w:val="24"/>
                <w:szCs w:val="24"/>
              </w:rPr>
              <w:t>3</w:t>
            </w:r>
            <w:r w:rsidRPr="000A5B5D">
              <w:rPr>
                <w:rFonts w:hint="eastAsia"/>
                <w:sz w:val="24"/>
                <w:szCs w:val="24"/>
              </w:rPr>
              <w:t>月，</w:t>
            </w:r>
            <w:r w:rsidRPr="000A5B5D">
              <w:rPr>
                <w:sz w:val="24"/>
                <w:szCs w:val="24"/>
              </w:rPr>
              <w:t>“</w:t>
            </w:r>
            <w:r w:rsidRPr="000A5B5D">
              <w:rPr>
                <w:rFonts w:hint="eastAsia"/>
                <w:sz w:val="24"/>
                <w:szCs w:val="24"/>
              </w:rPr>
              <w:t>北海四川国际经济开发招商中心（股份）有限公司</w:t>
            </w:r>
            <w:r w:rsidRPr="000A5B5D">
              <w:rPr>
                <w:sz w:val="24"/>
                <w:szCs w:val="24"/>
              </w:rPr>
              <w:t>”</w:t>
            </w:r>
            <w:r w:rsidRPr="000A5B5D">
              <w:rPr>
                <w:rFonts w:hint="eastAsia"/>
                <w:sz w:val="24"/>
                <w:szCs w:val="24"/>
              </w:rPr>
              <w:t>更名为</w:t>
            </w:r>
            <w:r w:rsidRPr="000A5B5D">
              <w:rPr>
                <w:sz w:val="24"/>
                <w:szCs w:val="24"/>
              </w:rPr>
              <w:t>“</w:t>
            </w:r>
            <w:r w:rsidRPr="000A5B5D">
              <w:rPr>
                <w:rFonts w:hint="eastAsia"/>
                <w:sz w:val="24"/>
                <w:szCs w:val="24"/>
              </w:rPr>
              <w:t>北海国际招商股份有限公司</w:t>
            </w:r>
            <w:r w:rsidRPr="000A5B5D">
              <w:rPr>
                <w:sz w:val="24"/>
                <w:szCs w:val="24"/>
              </w:rPr>
              <w:t>”</w:t>
            </w:r>
            <w:r w:rsidRPr="000A5B5D">
              <w:rPr>
                <w:rFonts w:hint="eastAsia"/>
                <w:sz w:val="24"/>
                <w:szCs w:val="24"/>
              </w:rPr>
              <w:t>，经营范围不变。</w:t>
            </w:r>
            <w:r w:rsidRPr="000A5B5D">
              <w:rPr>
                <w:sz w:val="24"/>
                <w:szCs w:val="24"/>
              </w:rPr>
              <w:t>2001</w:t>
            </w:r>
            <w:r w:rsidRPr="000A5B5D">
              <w:rPr>
                <w:rFonts w:hint="eastAsia"/>
                <w:sz w:val="24"/>
                <w:szCs w:val="24"/>
              </w:rPr>
              <w:t>年</w:t>
            </w:r>
            <w:r w:rsidRPr="000A5B5D">
              <w:rPr>
                <w:sz w:val="24"/>
                <w:szCs w:val="24"/>
              </w:rPr>
              <w:t>5</w:t>
            </w:r>
            <w:r w:rsidRPr="000A5B5D">
              <w:rPr>
                <w:rFonts w:hint="eastAsia"/>
                <w:sz w:val="24"/>
                <w:szCs w:val="24"/>
              </w:rPr>
              <w:t>月</w:t>
            </w:r>
            <w:r w:rsidRPr="000A5B5D">
              <w:rPr>
                <w:sz w:val="24"/>
                <w:szCs w:val="24"/>
              </w:rPr>
              <w:t>8</w:t>
            </w:r>
            <w:r w:rsidRPr="000A5B5D">
              <w:rPr>
                <w:rFonts w:hint="eastAsia"/>
                <w:sz w:val="24"/>
                <w:szCs w:val="24"/>
              </w:rPr>
              <w:t>日公司将名称由</w:t>
            </w:r>
            <w:r w:rsidRPr="000A5B5D">
              <w:rPr>
                <w:sz w:val="24"/>
                <w:szCs w:val="24"/>
              </w:rPr>
              <w:t>“</w:t>
            </w:r>
            <w:r w:rsidRPr="000A5B5D">
              <w:rPr>
                <w:rFonts w:hint="eastAsia"/>
                <w:sz w:val="24"/>
                <w:szCs w:val="24"/>
              </w:rPr>
              <w:t>北海国际招商股份有限公司</w:t>
            </w:r>
            <w:r w:rsidRPr="000A5B5D">
              <w:rPr>
                <w:sz w:val="24"/>
                <w:szCs w:val="24"/>
              </w:rPr>
              <w:t>”</w:t>
            </w:r>
            <w:r w:rsidRPr="000A5B5D">
              <w:rPr>
                <w:rFonts w:hint="eastAsia"/>
                <w:sz w:val="24"/>
                <w:szCs w:val="24"/>
              </w:rPr>
              <w:t>更名为</w:t>
            </w:r>
            <w:r w:rsidRPr="000A5B5D">
              <w:rPr>
                <w:sz w:val="24"/>
                <w:szCs w:val="24"/>
              </w:rPr>
              <w:t>“</w:t>
            </w:r>
            <w:r w:rsidRPr="000A5B5D">
              <w:rPr>
                <w:rFonts w:hint="eastAsia"/>
                <w:sz w:val="24"/>
                <w:szCs w:val="24"/>
              </w:rPr>
              <w:t>世纪光华科技股份有限公司</w:t>
            </w:r>
            <w:r w:rsidRPr="000A5B5D">
              <w:rPr>
                <w:sz w:val="24"/>
                <w:szCs w:val="24"/>
              </w:rPr>
              <w:t>”</w:t>
            </w:r>
            <w:r w:rsidRPr="000A5B5D">
              <w:rPr>
                <w:rFonts w:hint="eastAsia"/>
                <w:sz w:val="24"/>
                <w:szCs w:val="24"/>
              </w:rPr>
              <w:t>，主营业务变更为：电子系统工程及通信产品的研究及科技开发；对房地产、雷达整机及维修备件、电子通信产品、彩印包装等行业的投资。</w:t>
            </w:r>
            <w:r w:rsidRPr="000A5B5D">
              <w:rPr>
                <w:sz w:val="24"/>
                <w:szCs w:val="24"/>
              </w:rPr>
              <w:t>2011</w:t>
            </w:r>
            <w:r w:rsidRPr="000A5B5D">
              <w:rPr>
                <w:rFonts w:hint="eastAsia"/>
                <w:sz w:val="24"/>
                <w:szCs w:val="24"/>
              </w:rPr>
              <w:t>年</w:t>
            </w:r>
            <w:r w:rsidRPr="000A5B5D">
              <w:rPr>
                <w:sz w:val="24"/>
                <w:szCs w:val="24"/>
              </w:rPr>
              <w:t>5</w:t>
            </w:r>
            <w:r w:rsidRPr="000A5B5D">
              <w:rPr>
                <w:rFonts w:hint="eastAsia"/>
                <w:sz w:val="24"/>
                <w:szCs w:val="24"/>
              </w:rPr>
              <w:t>月</w:t>
            </w:r>
            <w:r w:rsidRPr="000A5B5D">
              <w:rPr>
                <w:sz w:val="24"/>
                <w:szCs w:val="24"/>
              </w:rPr>
              <w:t>31</w:t>
            </w:r>
            <w:r w:rsidRPr="000A5B5D">
              <w:rPr>
                <w:rFonts w:hint="eastAsia"/>
                <w:sz w:val="24"/>
                <w:szCs w:val="24"/>
              </w:rPr>
              <w:t>日，公司名称由</w:t>
            </w:r>
            <w:r w:rsidRPr="000A5B5D">
              <w:rPr>
                <w:sz w:val="24"/>
                <w:szCs w:val="24"/>
              </w:rPr>
              <w:t>"</w:t>
            </w:r>
            <w:r w:rsidRPr="000A5B5D">
              <w:rPr>
                <w:rFonts w:hint="eastAsia"/>
                <w:sz w:val="24"/>
                <w:szCs w:val="24"/>
              </w:rPr>
              <w:t>世纪光华科技股份有限公司</w:t>
            </w:r>
            <w:r w:rsidRPr="000A5B5D">
              <w:rPr>
                <w:sz w:val="24"/>
                <w:szCs w:val="24"/>
              </w:rPr>
              <w:t>"</w:t>
            </w:r>
            <w:r w:rsidRPr="000A5B5D">
              <w:rPr>
                <w:rFonts w:hint="eastAsia"/>
                <w:sz w:val="24"/>
                <w:szCs w:val="24"/>
              </w:rPr>
              <w:t>变更为</w:t>
            </w:r>
            <w:r w:rsidRPr="000A5B5D">
              <w:rPr>
                <w:sz w:val="24"/>
                <w:szCs w:val="24"/>
              </w:rPr>
              <w:t>"</w:t>
            </w:r>
            <w:r w:rsidRPr="000A5B5D">
              <w:rPr>
                <w:rFonts w:hint="eastAsia"/>
                <w:sz w:val="24"/>
                <w:szCs w:val="24"/>
              </w:rPr>
              <w:t>恒逸石化股份有限公司</w:t>
            </w:r>
            <w:r w:rsidRPr="000A5B5D">
              <w:rPr>
                <w:sz w:val="24"/>
                <w:szCs w:val="24"/>
              </w:rPr>
              <w:t>"</w:t>
            </w:r>
            <w:r w:rsidRPr="000A5B5D">
              <w:rPr>
                <w:rFonts w:hint="eastAsia"/>
                <w:sz w:val="24"/>
                <w:szCs w:val="24"/>
              </w:rPr>
              <w:t>。公司主营业务：对石化行业的投资；有色金属、建筑材料和机电产品及配件；货运代理；经营本企业及本企业成员单位自产产品和生产、科研所需的原材料、机械设备、仪器仪表、零配件及相关进出口业务。</w:t>
            </w:r>
          </w:p>
        </w:tc>
      </w:tr>
      <w:tr w:rsidR="00BC4D56" w:rsidRPr="000A5B5D" w:rsidTr="002F46A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726CA">
            <w:pPr>
              <w:spacing w:line="360" w:lineRule="auto"/>
              <w:jc w:val="left"/>
              <w:rPr>
                <w:sz w:val="24"/>
                <w:szCs w:val="24"/>
              </w:rPr>
            </w:pPr>
            <w:r w:rsidRPr="000A5B5D">
              <w:rPr>
                <w:rFonts w:hint="eastAsia"/>
                <w:sz w:val="24"/>
                <w:szCs w:val="24"/>
              </w:rPr>
              <w:t>历次控股股东的变更情况（如有）</w:t>
            </w:r>
          </w:p>
        </w:tc>
        <w:tc>
          <w:tcPr>
            <w:tcW w:w="78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726CA">
            <w:pPr>
              <w:spacing w:line="360" w:lineRule="auto"/>
              <w:jc w:val="left"/>
              <w:rPr>
                <w:sz w:val="24"/>
                <w:szCs w:val="24"/>
              </w:rPr>
            </w:pPr>
            <w:r w:rsidRPr="000A5B5D">
              <w:rPr>
                <w:sz w:val="24"/>
                <w:szCs w:val="24"/>
              </w:rPr>
              <w:t>1990</w:t>
            </w:r>
            <w:r w:rsidRPr="000A5B5D">
              <w:rPr>
                <w:rFonts w:hint="eastAsia"/>
                <w:sz w:val="24"/>
                <w:szCs w:val="24"/>
              </w:rPr>
              <w:t>年</w:t>
            </w:r>
            <w:r w:rsidRPr="000A5B5D">
              <w:rPr>
                <w:sz w:val="24"/>
                <w:szCs w:val="24"/>
              </w:rPr>
              <w:t>2</w:t>
            </w:r>
            <w:r w:rsidRPr="000A5B5D">
              <w:rPr>
                <w:rFonts w:hint="eastAsia"/>
                <w:sz w:val="24"/>
                <w:szCs w:val="24"/>
              </w:rPr>
              <w:t>月</w:t>
            </w:r>
            <w:r w:rsidRPr="000A5B5D">
              <w:rPr>
                <w:sz w:val="24"/>
                <w:szCs w:val="24"/>
              </w:rPr>
              <w:t>10</w:t>
            </w:r>
            <w:r w:rsidRPr="000A5B5D">
              <w:rPr>
                <w:rFonts w:hint="eastAsia"/>
                <w:sz w:val="24"/>
                <w:szCs w:val="24"/>
              </w:rPr>
              <w:t>日，四川省石油总公司、中国烟草总公司四川公司、四川省成都全兴酒厂、四川省长江企业（集团）股份有限公司、成都钢铁厂、海南成都企业（集团）股份有限公司，成都三利商贸有限责任公司、成都市银建房地产开发公司、成都中银经济发展中心、四川省建设信托投资公司南充办事处、中国工商银行成都市信托投资公司、四川省德阳进出口公</w:t>
            </w:r>
            <w:r w:rsidRPr="000A5B5D">
              <w:rPr>
                <w:rFonts w:hint="eastAsia"/>
                <w:sz w:val="24"/>
                <w:szCs w:val="24"/>
              </w:rPr>
              <w:lastRenderedPageBreak/>
              <w:t>司和南宁桂银综合服务公司等</w:t>
            </w:r>
            <w:r w:rsidRPr="000A5B5D">
              <w:rPr>
                <w:sz w:val="24"/>
                <w:szCs w:val="24"/>
              </w:rPr>
              <w:t>13</w:t>
            </w:r>
            <w:r w:rsidRPr="000A5B5D">
              <w:rPr>
                <w:rFonts w:hint="eastAsia"/>
                <w:sz w:val="24"/>
                <w:szCs w:val="24"/>
              </w:rPr>
              <w:t>家企业共同发起组建</w:t>
            </w:r>
            <w:r w:rsidRPr="000A5B5D">
              <w:rPr>
                <w:sz w:val="24"/>
                <w:szCs w:val="24"/>
              </w:rPr>
              <w:t>“</w:t>
            </w:r>
            <w:r w:rsidRPr="000A5B5D">
              <w:rPr>
                <w:rFonts w:hint="eastAsia"/>
                <w:sz w:val="24"/>
                <w:szCs w:val="24"/>
              </w:rPr>
              <w:t>北海四川国际经济开发招商中心（股份）有限公司</w:t>
            </w:r>
            <w:r w:rsidRPr="000A5B5D">
              <w:rPr>
                <w:sz w:val="24"/>
                <w:szCs w:val="24"/>
              </w:rPr>
              <w:t>”</w:t>
            </w:r>
            <w:r w:rsidRPr="000A5B5D">
              <w:rPr>
                <w:rFonts w:hint="eastAsia"/>
                <w:sz w:val="24"/>
                <w:szCs w:val="24"/>
              </w:rPr>
              <w:t>。</w:t>
            </w:r>
            <w:r w:rsidRPr="000A5B5D">
              <w:rPr>
                <w:sz w:val="24"/>
                <w:szCs w:val="24"/>
              </w:rPr>
              <w:t>1996</w:t>
            </w:r>
            <w:r w:rsidRPr="000A5B5D">
              <w:rPr>
                <w:rFonts w:hint="eastAsia"/>
                <w:sz w:val="24"/>
                <w:szCs w:val="24"/>
              </w:rPr>
              <w:t>年</w:t>
            </w:r>
            <w:r w:rsidRPr="000A5B5D">
              <w:rPr>
                <w:sz w:val="24"/>
                <w:szCs w:val="24"/>
              </w:rPr>
              <w:t>3</w:t>
            </w:r>
            <w:r w:rsidRPr="000A5B5D">
              <w:rPr>
                <w:rFonts w:hint="eastAsia"/>
                <w:sz w:val="24"/>
                <w:szCs w:val="24"/>
              </w:rPr>
              <w:t>月，</w:t>
            </w:r>
            <w:r w:rsidRPr="000A5B5D">
              <w:rPr>
                <w:sz w:val="24"/>
                <w:szCs w:val="24"/>
              </w:rPr>
              <w:t>“</w:t>
            </w:r>
            <w:r w:rsidRPr="000A5B5D">
              <w:rPr>
                <w:rFonts w:hint="eastAsia"/>
                <w:sz w:val="24"/>
                <w:szCs w:val="24"/>
              </w:rPr>
              <w:t>北海四川国际经济开发招商中心（股份）有限公司</w:t>
            </w:r>
            <w:r w:rsidRPr="000A5B5D">
              <w:rPr>
                <w:sz w:val="24"/>
                <w:szCs w:val="24"/>
              </w:rPr>
              <w:t>”</w:t>
            </w:r>
            <w:r w:rsidRPr="000A5B5D">
              <w:rPr>
                <w:rFonts w:hint="eastAsia"/>
                <w:sz w:val="24"/>
                <w:szCs w:val="24"/>
              </w:rPr>
              <w:t>更名为</w:t>
            </w:r>
            <w:r w:rsidRPr="000A5B5D">
              <w:rPr>
                <w:sz w:val="24"/>
                <w:szCs w:val="24"/>
              </w:rPr>
              <w:t>“</w:t>
            </w:r>
            <w:r w:rsidRPr="000A5B5D">
              <w:rPr>
                <w:rFonts w:hint="eastAsia"/>
                <w:sz w:val="24"/>
                <w:szCs w:val="24"/>
              </w:rPr>
              <w:t>北海国际招商股份有限公司</w:t>
            </w:r>
            <w:r w:rsidRPr="000A5B5D">
              <w:rPr>
                <w:sz w:val="24"/>
                <w:szCs w:val="24"/>
              </w:rPr>
              <w:t>”</w:t>
            </w:r>
            <w:r w:rsidRPr="000A5B5D">
              <w:rPr>
                <w:rFonts w:hint="eastAsia"/>
                <w:sz w:val="24"/>
                <w:szCs w:val="24"/>
              </w:rPr>
              <w:t>，</w:t>
            </w:r>
            <w:r w:rsidRPr="000A5B5D">
              <w:rPr>
                <w:sz w:val="24"/>
                <w:szCs w:val="24"/>
              </w:rPr>
              <w:t>2001</w:t>
            </w:r>
            <w:r w:rsidRPr="000A5B5D">
              <w:rPr>
                <w:rFonts w:hint="eastAsia"/>
                <w:sz w:val="24"/>
                <w:szCs w:val="24"/>
              </w:rPr>
              <w:t>年</w:t>
            </w:r>
            <w:r w:rsidRPr="000A5B5D">
              <w:rPr>
                <w:sz w:val="24"/>
                <w:szCs w:val="24"/>
              </w:rPr>
              <w:t>5</w:t>
            </w:r>
            <w:r w:rsidRPr="000A5B5D">
              <w:rPr>
                <w:rFonts w:hint="eastAsia"/>
                <w:sz w:val="24"/>
                <w:szCs w:val="24"/>
              </w:rPr>
              <w:t>月</w:t>
            </w:r>
            <w:r w:rsidRPr="000A5B5D">
              <w:rPr>
                <w:sz w:val="24"/>
                <w:szCs w:val="24"/>
              </w:rPr>
              <w:t>8</w:t>
            </w:r>
            <w:r w:rsidRPr="000A5B5D">
              <w:rPr>
                <w:rFonts w:hint="eastAsia"/>
                <w:sz w:val="24"/>
                <w:szCs w:val="24"/>
              </w:rPr>
              <w:t>日，</w:t>
            </w:r>
            <w:r w:rsidRPr="000A5B5D">
              <w:rPr>
                <w:sz w:val="24"/>
                <w:szCs w:val="24"/>
              </w:rPr>
              <w:t>“</w:t>
            </w:r>
            <w:r w:rsidRPr="000A5B5D">
              <w:rPr>
                <w:rFonts w:hint="eastAsia"/>
                <w:sz w:val="24"/>
                <w:szCs w:val="24"/>
              </w:rPr>
              <w:t>北海国际招商股份有限公司</w:t>
            </w:r>
            <w:r w:rsidRPr="000A5B5D">
              <w:rPr>
                <w:sz w:val="24"/>
                <w:szCs w:val="24"/>
              </w:rPr>
              <w:t>“</w:t>
            </w:r>
            <w:r w:rsidRPr="000A5B5D">
              <w:rPr>
                <w:rFonts w:hint="eastAsia"/>
                <w:sz w:val="24"/>
                <w:szCs w:val="24"/>
              </w:rPr>
              <w:t>更名为</w:t>
            </w:r>
            <w:r w:rsidRPr="000A5B5D">
              <w:rPr>
                <w:sz w:val="24"/>
                <w:szCs w:val="24"/>
              </w:rPr>
              <w:t>“</w:t>
            </w:r>
            <w:r w:rsidRPr="000A5B5D">
              <w:rPr>
                <w:rFonts w:hint="eastAsia"/>
                <w:sz w:val="24"/>
                <w:szCs w:val="24"/>
              </w:rPr>
              <w:t>世纪光华科技股份有限公司</w:t>
            </w:r>
            <w:r w:rsidRPr="000A5B5D">
              <w:rPr>
                <w:sz w:val="24"/>
                <w:szCs w:val="24"/>
              </w:rPr>
              <w:t>”</w:t>
            </w:r>
            <w:r w:rsidRPr="000A5B5D">
              <w:rPr>
                <w:rFonts w:hint="eastAsia"/>
                <w:sz w:val="24"/>
                <w:szCs w:val="24"/>
              </w:rPr>
              <w:t>。</w:t>
            </w:r>
            <w:r w:rsidRPr="000A5B5D">
              <w:rPr>
                <w:sz w:val="24"/>
                <w:szCs w:val="24"/>
              </w:rPr>
              <w:t xml:space="preserve">2005 </w:t>
            </w:r>
            <w:r w:rsidRPr="000A5B5D">
              <w:rPr>
                <w:rFonts w:hint="eastAsia"/>
                <w:sz w:val="24"/>
                <w:szCs w:val="24"/>
              </w:rPr>
              <w:t>年</w:t>
            </w:r>
            <w:r w:rsidRPr="000A5B5D">
              <w:rPr>
                <w:sz w:val="24"/>
                <w:szCs w:val="24"/>
              </w:rPr>
              <w:t xml:space="preserve">12 </w:t>
            </w:r>
            <w:r w:rsidRPr="000A5B5D">
              <w:rPr>
                <w:rFonts w:hint="eastAsia"/>
                <w:sz w:val="24"/>
                <w:szCs w:val="24"/>
              </w:rPr>
              <w:t>月</w:t>
            </w:r>
            <w:r w:rsidRPr="000A5B5D">
              <w:rPr>
                <w:sz w:val="24"/>
                <w:szCs w:val="24"/>
              </w:rPr>
              <w:t xml:space="preserve">27 </w:t>
            </w:r>
            <w:r w:rsidRPr="000A5B5D">
              <w:rPr>
                <w:rFonts w:hint="eastAsia"/>
                <w:sz w:val="24"/>
                <w:szCs w:val="24"/>
              </w:rPr>
              <w:t>日，上市公司股东河南九龙水电集团有限公司与汇诚投资签订了《股份转让协议》，河南九龙水电集团有限公司将所持有的本公司</w:t>
            </w:r>
            <w:r w:rsidRPr="000A5B5D">
              <w:rPr>
                <w:sz w:val="24"/>
                <w:szCs w:val="24"/>
              </w:rPr>
              <w:t xml:space="preserve">30,575,284 </w:t>
            </w:r>
            <w:r w:rsidRPr="000A5B5D">
              <w:rPr>
                <w:rFonts w:hint="eastAsia"/>
                <w:sz w:val="24"/>
                <w:szCs w:val="24"/>
              </w:rPr>
              <w:t>股社会法人股（占本公司总股本的</w:t>
            </w:r>
            <w:r w:rsidRPr="000A5B5D">
              <w:rPr>
                <w:sz w:val="24"/>
                <w:szCs w:val="24"/>
              </w:rPr>
              <w:t>28.68%</w:t>
            </w:r>
            <w:r w:rsidRPr="000A5B5D">
              <w:rPr>
                <w:rFonts w:hint="eastAsia"/>
                <w:sz w:val="24"/>
                <w:szCs w:val="24"/>
              </w:rPr>
              <w:t>）转让给汇诚投资，汇诚投资成为世纪光华的第一大股东。</w:t>
            </w:r>
            <w:r w:rsidRPr="000A5B5D">
              <w:rPr>
                <w:sz w:val="24"/>
                <w:szCs w:val="24"/>
              </w:rPr>
              <w:t>2011</w:t>
            </w:r>
            <w:r w:rsidRPr="000A5B5D">
              <w:rPr>
                <w:rFonts w:hint="eastAsia"/>
                <w:sz w:val="24"/>
                <w:szCs w:val="24"/>
              </w:rPr>
              <w:t>年</w:t>
            </w:r>
            <w:r w:rsidRPr="000A5B5D">
              <w:rPr>
                <w:sz w:val="24"/>
                <w:szCs w:val="24"/>
              </w:rPr>
              <w:t>5</w:t>
            </w:r>
            <w:r w:rsidRPr="000A5B5D">
              <w:rPr>
                <w:rFonts w:hint="eastAsia"/>
                <w:sz w:val="24"/>
                <w:szCs w:val="24"/>
              </w:rPr>
              <w:t>月</w:t>
            </w:r>
            <w:r w:rsidRPr="000A5B5D">
              <w:rPr>
                <w:sz w:val="24"/>
                <w:szCs w:val="24"/>
              </w:rPr>
              <w:t>31</w:t>
            </w:r>
            <w:r w:rsidRPr="000A5B5D">
              <w:rPr>
                <w:rFonts w:hint="eastAsia"/>
                <w:sz w:val="24"/>
                <w:szCs w:val="24"/>
              </w:rPr>
              <w:t>日，公司名称由</w:t>
            </w:r>
            <w:r w:rsidRPr="000A5B5D">
              <w:rPr>
                <w:sz w:val="24"/>
                <w:szCs w:val="24"/>
              </w:rPr>
              <w:t>“</w:t>
            </w:r>
            <w:r w:rsidRPr="000A5B5D">
              <w:rPr>
                <w:rFonts w:hint="eastAsia"/>
                <w:sz w:val="24"/>
                <w:szCs w:val="24"/>
              </w:rPr>
              <w:t>世纪光华科技股份有限公司</w:t>
            </w:r>
            <w:r w:rsidRPr="000A5B5D">
              <w:rPr>
                <w:sz w:val="24"/>
                <w:szCs w:val="24"/>
              </w:rPr>
              <w:t>”</w:t>
            </w:r>
            <w:r w:rsidRPr="000A5B5D">
              <w:rPr>
                <w:rFonts w:hint="eastAsia"/>
                <w:sz w:val="24"/>
                <w:szCs w:val="24"/>
              </w:rPr>
              <w:t>变更为</w:t>
            </w:r>
            <w:r w:rsidRPr="000A5B5D">
              <w:rPr>
                <w:sz w:val="24"/>
                <w:szCs w:val="24"/>
              </w:rPr>
              <w:t>“</w:t>
            </w:r>
            <w:r w:rsidRPr="000A5B5D">
              <w:rPr>
                <w:rFonts w:hint="eastAsia"/>
                <w:sz w:val="24"/>
                <w:szCs w:val="24"/>
              </w:rPr>
              <w:t>恒逸石化股份有限公司</w:t>
            </w:r>
            <w:r w:rsidRPr="000A5B5D">
              <w:rPr>
                <w:sz w:val="24"/>
                <w:szCs w:val="24"/>
              </w:rPr>
              <w:t>”</w:t>
            </w:r>
            <w:r w:rsidRPr="000A5B5D">
              <w:rPr>
                <w:rFonts w:hint="eastAsia"/>
                <w:sz w:val="24"/>
                <w:szCs w:val="24"/>
              </w:rPr>
              <w:t>。公司控股股东变更为浙江恒逸集团有限公司。</w:t>
            </w:r>
          </w:p>
        </w:tc>
      </w:tr>
    </w:tbl>
    <w:p w:rsidR="00BC4D56" w:rsidRPr="000A5B5D" w:rsidRDefault="00BC4D56">
      <w:pPr>
        <w:pStyle w:val="Chapter"/>
        <w:outlineLvl w:val="1"/>
      </w:pPr>
      <w:r w:rsidRPr="000A5B5D">
        <w:rPr>
          <w:rFonts w:hint="eastAsia"/>
        </w:rPr>
        <w:lastRenderedPageBreak/>
        <w:t>五、其他有关资料</w:t>
      </w:r>
    </w:p>
    <w:p w:rsidR="00BC4D56" w:rsidRPr="000A5B5D" w:rsidRDefault="00BC4D56" w:rsidP="009E6D6A">
      <w:pPr>
        <w:spacing w:line="360" w:lineRule="auto"/>
        <w:jc w:val="left"/>
        <w:rPr>
          <w:sz w:val="24"/>
          <w:szCs w:val="24"/>
        </w:rPr>
      </w:pPr>
      <w:r w:rsidRPr="000A5B5D">
        <w:rPr>
          <w:rFonts w:hint="eastAsia"/>
          <w:sz w:val="24"/>
          <w:szCs w:val="24"/>
        </w:rPr>
        <w:t>公司聘请的会计师事务所</w:t>
      </w:r>
    </w:p>
    <w:tbl>
      <w:tblPr>
        <w:tblW w:w="0" w:type="auto"/>
        <w:tblInd w:w="28" w:type="dxa"/>
        <w:tblLayout w:type="fixed"/>
        <w:tblCellMar>
          <w:left w:w="28" w:type="dxa"/>
          <w:right w:w="28" w:type="dxa"/>
        </w:tblCellMar>
        <w:tblLook w:val="0000" w:firstRow="0" w:lastRow="0" w:firstColumn="0" w:lastColumn="0" w:noHBand="0" w:noVBand="0"/>
      </w:tblPr>
      <w:tblGrid>
        <w:gridCol w:w="2694"/>
        <w:gridCol w:w="6874"/>
      </w:tblGrid>
      <w:tr w:rsidR="00BC4D56" w:rsidRPr="000A5B5D" w:rsidTr="009E6D6A">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4"/>
                <w:szCs w:val="24"/>
              </w:rPr>
            </w:pPr>
            <w:r w:rsidRPr="000A5B5D">
              <w:rPr>
                <w:rFonts w:hint="eastAsia"/>
                <w:sz w:val="24"/>
                <w:szCs w:val="24"/>
              </w:rPr>
              <w:t>会计师事务所名称</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sz w:val="24"/>
                <w:szCs w:val="24"/>
              </w:rPr>
            </w:pPr>
            <w:r w:rsidRPr="000A5B5D">
              <w:rPr>
                <w:rFonts w:hint="eastAsia"/>
                <w:sz w:val="24"/>
                <w:szCs w:val="24"/>
              </w:rPr>
              <w:t>瑞华会计师事务所（特殊普通合伙）</w:t>
            </w:r>
          </w:p>
        </w:tc>
      </w:tr>
      <w:tr w:rsidR="00BC4D56" w:rsidRPr="000A5B5D" w:rsidTr="009E6D6A">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4"/>
                <w:szCs w:val="24"/>
              </w:rPr>
            </w:pPr>
            <w:r w:rsidRPr="000A5B5D">
              <w:rPr>
                <w:rFonts w:hint="eastAsia"/>
                <w:sz w:val="24"/>
                <w:szCs w:val="24"/>
              </w:rPr>
              <w:t>会计师事务所办公地址</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sz w:val="24"/>
                <w:szCs w:val="24"/>
              </w:rPr>
            </w:pPr>
            <w:r w:rsidRPr="000A5B5D">
              <w:rPr>
                <w:rFonts w:hint="eastAsia"/>
                <w:sz w:val="24"/>
                <w:szCs w:val="24"/>
              </w:rPr>
              <w:t>北京市东城区永定门西滨河路</w:t>
            </w:r>
            <w:r w:rsidRPr="000A5B5D">
              <w:rPr>
                <w:sz w:val="24"/>
                <w:szCs w:val="24"/>
              </w:rPr>
              <w:t>8</w:t>
            </w:r>
            <w:r w:rsidRPr="000A5B5D">
              <w:rPr>
                <w:rFonts w:hint="eastAsia"/>
                <w:sz w:val="24"/>
                <w:szCs w:val="24"/>
              </w:rPr>
              <w:t>号院</w:t>
            </w:r>
            <w:r w:rsidRPr="000A5B5D">
              <w:rPr>
                <w:sz w:val="24"/>
                <w:szCs w:val="24"/>
              </w:rPr>
              <w:t>7</w:t>
            </w:r>
            <w:r w:rsidRPr="000A5B5D">
              <w:rPr>
                <w:rFonts w:hint="eastAsia"/>
                <w:sz w:val="24"/>
                <w:szCs w:val="24"/>
              </w:rPr>
              <w:t>号楼中海地产广场西塔</w:t>
            </w:r>
            <w:r w:rsidRPr="000A5B5D">
              <w:rPr>
                <w:sz w:val="24"/>
                <w:szCs w:val="24"/>
              </w:rPr>
              <w:t>10</w:t>
            </w:r>
            <w:r w:rsidRPr="000A5B5D">
              <w:rPr>
                <w:rFonts w:hint="eastAsia"/>
                <w:sz w:val="24"/>
                <w:szCs w:val="24"/>
              </w:rPr>
              <w:t>层</w:t>
            </w:r>
          </w:p>
        </w:tc>
      </w:tr>
      <w:tr w:rsidR="00BC4D56" w:rsidRPr="000A5B5D" w:rsidTr="009E6D6A">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4"/>
                <w:szCs w:val="24"/>
              </w:rPr>
            </w:pPr>
            <w:r w:rsidRPr="000A5B5D">
              <w:rPr>
                <w:rFonts w:hint="eastAsia"/>
                <w:sz w:val="24"/>
                <w:szCs w:val="24"/>
              </w:rPr>
              <w:t>签字会计师姓名</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sz w:val="24"/>
                <w:szCs w:val="24"/>
              </w:rPr>
            </w:pPr>
            <w:r w:rsidRPr="000A5B5D">
              <w:rPr>
                <w:rFonts w:hint="eastAsia"/>
                <w:sz w:val="24"/>
                <w:szCs w:val="24"/>
              </w:rPr>
              <w:t>刘洪跃、王志伟</w:t>
            </w:r>
          </w:p>
        </w:tc>
      </w:tr>
    </w:tbl>
    <w:p w:rsidR="00BC4D56" w:rsidRPr="000A5B5D" w:rsidRDefault="00BC4D56" w:rsidP="009E6D6A">
      <w:pPr>
        <w:spacing w:line="360" w:lineRule="auto"/>
        <w:jc w:val="left"/>
        <w:rPr>
          <w:sz w:val="24"/>
          <w:szCs w:val="24"/>
        </w:rPr>
      </w:pPr>
      <w:r w:rsidRPr="000A5B5D">
        <w:rPr>
          <w:rFonts w:hint="eastAsia"/>
          <w:sz w:val="24"/>
          <w:szCs w:val="24"/>
        </w:rPr>
        <w:t>公司聘请的报告期内履行持续督导职责的保荐机构</w:t>
      </w:r>
    </w:p>
    <w:tbl>
      <w:tblPr>
        <w:tblW w:w="0" w:type="auto"/>
        <w:tblInd w:w="28" w:type="dxa"/>
        <w:tblCellMar>
          <w:left w:w="28" w:type="dxa"/>
          <w:right w:w="28" w:type="dxa"/>
        </w:tblCellMar>
        <w:tblLook w:val="0000" w:firstRow="0" w:lastRow="0" w:firstColumn="0" w:lastColumn="0" w:noHBand="0" w:noVBand="0"/>
      </w:tblPr>
      <w:tblGrid>
        <w:gridCol w:w="1831"/>
        <w:gridCol w:w="3517"/>
        <w:gridCol w:w="2069"/>
        <w:gridCol w:w="2183"/>
      </w:tblGrid>
      <w:tr w:rsidR="00BC4D56" w:rsidRPr="000A5B5D" w:rsidTr="009E6D6A">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保荐机构名称</w:t>
            </w:r>
          </w:p>
        </w:tc>
        <w:tc>
          <w:tcPr>
            <w:tcW w:w="354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保荐机构办公地址</w:t>
            </w:r>
          </w:p>
        </w:tc>
        <w:tc>
          <w:tcPr>
            <w:tcW w:w="208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保荐代表人姓名</w:t>
            </w:r>
          </w:p>
        </w:tc>
        <w:tc>
          <w:tcPr>
            <w:tcW w:w="219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持续督导期间</w:t>
            </w:r>
          </w:p>
        </w:tc>
      </w:tr>
      <w:tr w:rsidR="00BC4D56" w:rsidRPr="000A5B5D" w:rsidTr="009E6D6A">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国信证券股份有限公司</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北京市西城区金融街兴盛街</w:t>
            </w:r>
            <w:r w:rsidRPr="000A5B5D">
              <w:rPr>
                <w:rFonts w:asciiTheme="minorEastAsia" w:eastAsiaTheme="minorEastAsia" w:hAnsiTheme="minorEastAsia"/>
                <w:sz w:val="24"/>
                <w:szCs w:val="24"/>
              </w:rPr>
              <w:t>6</w:t>
            </w:r>
            <w:r w:rsidRPr="000A5B5D">
              <w:rPr>
                <w:rFonts w:asciiTheme="minorEastAsia" w:eastAsiaTheme="minorEastAsia" w:hAnsiTheme="minorEastAsia" w:hint="eastAsia"/>
                <w:sz w:val="24"/>
                <w:szCs w:val="24"/>
              </w:rPr>
              <w:t>号国信证券大厦</w:t>
            </w:r>
            <w:r w:rsidRPr="000A5B5D">
              <w:rPr>
                <w:rFonts w:asciiTheme="minorEastAsia" w:eastAsiaTheme="minorEastAsia" w:hAnsiTheme="minorEastAsia"/>
                <w:sz w:val="24"/>
                <w:szCs w:val="24"/>
              </w:rPr>
              <w:t>6</w:t>
            </w:r>
            <w:r w:rsidRPr="000A5B5D">
              <w:rPr>
                <w:rFonts w:asciiTheme="minorEastAsia" w:eastAsiaTheme="minorEastAsia" w:hAnsiTheme="minorEastAsia" w:hint="eastAsia"/>
                <w:sz w:val="24"/>
                <w:szCs w:val="24"/>
              </w:rPr>
              <w:t>层</w:t>
            </w:r>
          </w:p>
        </w:tc>
        <w:tc>
          <w:tcPr>
            <w:tcW w:w="20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孙建华、苏勋智</w:t>
            </w:r>
          </w:p>
        </w:tc>
        <w:tc>
          <w:tcPr>
            <w:tcW w:w="219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11</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-2016</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11</w:t>
            </w:r>
            <w:r w:rsidRPr="000A5B5D">
              <w:rPr>
                <w:rFonts w:asciiTheme="minorEastAsia" w:eastAsiaTheme="minorEastAsia" w:hAnsiTheme="minorEastAsia" w:hint="eastAsia"/>
                <w:sz w:val="24"/>
                <w:szCs w:val="24"/>
              </w:rPr>
              <w:t>月</w:t>
            </w:r>
          </w:p>
        </w:tc>
      </w:tr>
    </w:tbl>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公司聘请的报告期内履行持续督导职责的财务顾问</w:t>
      </w:r>
    </w:p>
    <w:p w:rsidR="00BC4D56" w:rsidRPr="000A5B5D" w:rsidRDefault="00BC4D56" w:rsidP="009E6D6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适用</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不适用</w:t>
      </w:r>
      <w:r w:rsidRPr="000A5B5D">
        <w:rPr>
          <w:rFonts w:asciiTheme="minorEastAsia" w:eastAsiaTheme="minorEastAsia" w:hAnsiTheme="minorEastAsia"/>
          <w:sz w:val="24"/>
          <w:szCs w:val="24"/>
        </w:rPr>
        <w:t xml:space="preserve"> </w:t>
      </w:r>
    </w:p>
    <w:p w:rsidR="00BC4D56" w:rsidRPr="000A5B5D" w:rsidRDefault="00BC4D56">
      <w:pPr>
        <w:pStyle w:val="Chapter"/>
        <w:outlineLvl w:val="1"/>
      </w:pPr>
      <w:r w:rsidRPr="000A5B5D">
        <w:rPr>
          <w:rFonts w:hint="eastAsia"/>
        </w:rPr>
        <w:t>六、主要会计数据和财务指标</w:t>
      </w:r>
    </w:p>
    <w:p w:rsidR="00BC4D56" w:rsidRPr="000A5B5D" w:rsidRDefault="00BC4D56" w:rsidP="009E6D6A">
      <w:pPr>
        <w:spacing w:line="360" w:lineRule="auto"/>
        <w:jc w:val="left"/>
        <w:rPr>
          <w:sz w:val="24"/>
          <w:szCs w:val="24"/>
        </w:rPr>
      </w:pPr>
      <w:r w:rsidRPr="000A5B5D">
        <w:rPr>
          <w:rFonts w:hint="eastAsia"/>
          <w:sz w:val="24"/>
          <w:szCs w:val="24"/>
        </w:rPr>
        <w:t>公司是否因会计政策变更及会计差错更正等追溯调整或重述以前年度会计数据</w:t>
      </w:r>
    </w:p>
    <w:p w:rsidR="00BC4D56" w:rsidRPr="000A5B5D" w:rsidRDefault="00BC4D56" w:rsidP="009E6D6A">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tbl>
      <w:tblPr>
        <w:tblW w:w="9781" w:type="dxa"/>
        <w:tblInd w:w="28" w:type="dxa"/>
        <w:tblLayout w:type="fixed"/>
        <w:tblCellMar>
          <w:left w:w="28" w:type="dxa"/>
          <w:right w:w="28" w:type="dxa"/>
        </w:tblCellMar>
        <w:tblLook w:val="0000" w:firstRow="0" w:lastRow="0" w:firstColumn="0" w:lastColumn="0" w:noHBand="0" w:noVBand="0"/>
      </w:tblPr>
      <w:tblGrid>
        <w:gridCol w:w="2621"/>
        <w:gridCol w:w="1738"/>
        <w:gridCol w:w="1737"/>
        <w:gridCol w:w="1984"/>
        <w:gridCol w:w="1701"/>
      </w:tblGrid>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p>
        </w:tc>
        <w:tc>
          <w:tcPr>
            <w:tcW w:w="17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2015</w:t>
            </w:r>
            <w:r w:rsidRPr="000A5B5D">
              <w:rPr>
                <w:rFonts w:hint="eastAsia"/>
                <w:sz w:val="21"/>
                <w:szCs w:val="21"/>
              </w:rPr>
              <w:t>年</w:t>
            </w:r>
          </w:p>
        </w:tc>
        <w:tc>
          <w:tcPr>
            <w:tcW w:w="173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2014</w:t>
            </w:r>
            <w:r w:rsidRPr="000A5B5D">
              <w:rPr>
                <w:rFonts w:hint="eastAsia"/>
                <w:sz w:val="21"/>
                <w:szCs w:val="21"/>
              </w:rPr>
              <w:t>年</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rFonts w:hint="eastAsia"/>
                <w:sz w:val="21"/>
                <w:szCs w:val="21"/>
              </w:rPr>
              <w:t>本年比上年增减</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2013</w:t>
            </w:r>
            <w:r w:rsidRPr="000A5B5D">
              <w:rPr>
                <w:rFonts w:hint="eastAsia"/>
                <w:sz w:val="21"/>
                <w:szCs w:val="21"/>
              </w:rPr>
              <w:t>年</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营业收入（元）</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30,317,706,675.17</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28,062,542,927.07</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8.04%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30,750,609,390.47</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归属于上市公司股东的净利润（元）</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184,605,841.36</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-352,682,419.34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152.34%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426,933,201.17</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归属于上市公司股东的扣除非经常性损益的净利润（元）</w:t>
            </w:r>
          </w:p>
        </w:tc>
        <w:tc>
          <w:tcPr>
            <w:tcW w:w="1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-428,222,158.80</w:t>
            </w:r>
          </w:p>
        </w:tc>
        <w:tc>
          <w:tcPr>
            <w:tcW w:w="173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-270,567,336.13</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-58.27%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365,406,241.02</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经营活动产生的现金流量净额（元）</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410,187,424.77</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1,880,793,971.80</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-78.19%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187,569,520.73</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基本每股收益（元</w:t>
            </w:r>
            <w:r w:rsidRPr="000A5B5D">
              <w:rPr>
                <w:sz w:val="21"/>
                <w:szCs w:val="21"/>
              </w:rPr>
              <w:t>/</w:t>
            </w:r>
            <w:r w:rsidRPr="000A5B5D">
              <w:rPr>
                <w:rFonts w:hint="eastAsia"/>
                <w:sz w:val="21"/>
                <w:szCs w:val="21"/>
              </w:rPr>
              <w:t>股）</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0.16</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-0.31</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151.61%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0.37</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稀释每股收益（元</w:t>
            </w:r>
            <w:r w:rsidRPr="000A5B5D">
              <w:rPr>
                <w:sz w:val="21"/>
                <w:szCs w:val="21"/>
              </w:rPr>
              <w:t>/</w:t>
            </w:r>
            <w:r w:rsidRPr="000A5B5D">
              <w:rPr>
                <w:rFonts w:hint="eastAsia"/>
                <w:sz w:val="21"/>
                <w:szCs w:val="21"/>
              </w:rPr>
              <w:t>股）</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0.16</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-0.31</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151.61%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0.37</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加权平均净资产收益率</w:t>
            </w:r>
          </w:p>
        </w:tc>
        <w:tc>
          <w:tcPr>
            <w:tcW w:w="1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3.55%</w:t>
            </w:r>
          </w:p>
        </w:tc>
        <w:tc>
          <w:tcPr>
            <w:tcW w:w="173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-6.74%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152.67%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7.94%</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p>
        </w:tc>
        <w:tc>
          <w:tcPr>
            <w:tcW w:w="17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2015</w:t>
            </w:r>
            <w:r w:rsidRPr="000A5B5D">
              <w:rPr>
                <w:rFonts w:hint="eastAsia"/>
                <w:sz w:val="21"/>
                <w:szCs w:val="21"/>
              </w:rPr>
              <w:t>年末</w:t>
            </w:r>
          </w:p>
        </w:tc>
        <w:tc>
          <w:tcPr>
            <w:tcW w:w="173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2014</w:t>
            </w:r>
            <w:r w:rsidRPr="000A5B5D">
              <w:rPr>
                <w:rFonts w:hint="eastAsia"/>
                <w:sz w:val="21"/>
                <w:szCs w:val="21"/>
              </w:rPr>
              <w:t>年末</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rFonts w:hint="eastAsia"/>
                <w:sz w:val="21"/>
                <w:szCs w:val="21"/>
              </w:rPr>
              <w:t>本年末比上年末增减</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center"/>
              <w:rPr>
                <w:sz w:val="21"/>
                <w:szCs w:val="21"/>
              </w:rPr>
            </w:pPr>
            <w:r w:rsidRPr="000A5B5D">
              <w:rPr>
                <w:sz w:val="21"/>
                <w:szCs w:val="21"/>
              </w:rPr>
              <w:t>2013</w:t>
            </w:r>
            <w:r w:rsidRPr="000A5B5D">
              <w:rPr>
                <w:rFonts w:hint="eastAsia"/>
                <w:sz w:val="21"/>
                <w:szCs w:val="21"/>
              </w:rPr>
              <w:t>年末</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总资产（元）</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25,208,754,881.38</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26,732,500,713.81</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-5.70%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23,805,537,463.84</w:t>
            </w:r>
          </w:p>
        </w:tc>
      </w:tr>
      <w:tr w:rsidR="00BC4D56" w:rsidRPr="000A5B5D" w:rsidTr="009E6D6A">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E6D6A">
            <w:pPr>
              <w:spacing w:line="360" w:lineRule="auto"/>
              <w:jc w:val="left"/>
              <w:rPr>
                <w:sz w:val="21"/>
                <w:szCs w:val="21"/>
              </w:rPr>
            </w:pPr>
            <w:r w:rsidRPr="000A5B5D">
              <w:rPr>
                <w:rFonts w:hint="eastAsia"/>
                <w:sz w:val="21"/>
                <w:szCs w:val="21"/>
              </w:rPr>
              <w:t>归属于上市公司股东的净资产（元）</w:t>
            </w:r>
          </w:p>
        </w:tc>
        <w:tc>
          <w:tcPr>
            <w:tcW w:w="173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6,252,367,470.65</w:t>
            </w:r>
          </w:p>
        </w:tc>
        <w:tc>
          <w:tcPr>
            <w:tcW w:w="17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E6D6A">
            <w:pPr>
              <w:spacing w:line="360" w:lineRule="auto"/>
              <w:jc w:val="right"/>
              <w:rPr>
                <w:sz w:val="21"/>
                <w:szCs w:val="21"/>
              </w:rPr>
            </w:pPr>
            <w:r w:rsidRPr="000A5B5D">
              <w:rPr>
                <w:sz w:val="21"/>
                <w:szCs w:val="21"/>
              </w:rPr>
              <w:t>5,028,824,912.17</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24.33%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E6D6A">
            <w:pPr>
              <w:spacing w:line="360" w:lineRule="auto"/>
              <w:jc w:val="right"/>
              <w:rPr>
                <w:sz w:val="21"/>
                <w:szCs w:val="21"/>
              </w:rPr>
            </w:pPr>
            <w:r w:rsidRPr="000A5B5D">
              <w:rPr>
                <w:sz w:val="21"/>
                <w:szCs w:val="21"/>
              </w:rPr>
              <w:t>5,476,875,468.83</w:t>
            </w:r>
          </w:p>
        </w:tc>
      </w:tr>
    </w:tbl>
    <w:p w:rsidR="00BC4D56" w:rsidRPr="000A5B5D" w:rsidRDefault="00BC4D56">
      <w:pPr>
        <w:pStyle w:val="Chapter"/>
        <w:outlineLvl w:val="1"/>
      </w:pPr>
      <w:r w:rsidRPr="000A5B5D">
        <w:rPr>
          <w:rFonts w:hint="eastAsia"/>
        </w:rPr>
        <w:t>七、境内外会计准则下会计数据差异</w:t>
      </w:r>
    </w:p>
    <w:p w:rsidR="00BC4D56" w:rsidRPr="000A5B5D" w:rsidRDefault="00BC4D56" w:rsidP="009E6D6A">
      <w:pPr>
        <w:pStyle w:val="Section"/>
        <w:spacing w:line="360" w:lineRule="auto"/>
        <w:outlineLvl w:val="2"/>
        <w:rPr>
          <w:sz w:val="24"/>
          <w:szCs w:val="24"/>
        </w:rPr>
      </w:pPr>
      <w:r w:rsidRPr="000A5B5D">
        <w:rPr>
          <w:sz w:val="24"/>
          <w:szCs w:val="24"/>
        </w:rPr>
        <w:t>1</w:t>
      </w:r>
      <w:r w:rsidRPr="000A5B5D">
        <w:rPr>
          <w:rFonts w:hint="eastAsia"/>
          <w:sz w:val="24"/>
          <w:szCs w:val="24"/>
        </w:rPr>
        <w:t>、同时按照国际会计准则与按照中国会计准则披露的财务报告中净利润和净资产差异情况</w:t>
      </w:r>
    </w:p>
    <w:p w:rsidR="00BC4D56" w:rsidRPr="000A5B5D" w:rsidRDefault="00BC4D56" w:rsidP="009E6D6A">
      <w:pPr>
        <w:spacing w:line="360" w:lineRule="auto"/>
        <w:ind w:firstLineChars="200" w:firstLine="480"/>
        <w:jc w:val="left"/>
        <w:rPr>
          <w:sz w:val="24"/>
          <w:szCs w:val="24"/>
        </w:rPr>
      </w:pPr>
      <w:r w:rsidRPr="000A5B5D">
        <w:rPr>
          <w:rFonts w:hint="eastAsia"/>
          <w:sz w:val="24"/>
          <w:szCs w:val="24"/>
        </w:rPr>
        <w:t>公司报告期不存在按照国际会计准则与按照中国会计准则披露的财务报告中净利润和净资产差异情况。</w:t>
      </w:r>
    </w:p>
    <w:p w:rsidR="00BC4D56" w:rsidRPr="000A5B5D" w:rsidRDefault="00BC4D56" w:rsidP="009E6D6A">
      <w:pPr>
        <w:pStyle w:val="Section"/>
        <w:spacing w:line="360" w:lineRule="auto"/>
        <w:outlineLvl w:val="2"/>
        <w:rPr>
          <w:sz w:val="24"/>
          <w:szCs w:val="24"/>
        </w:rPr>
      </w:pPr>
      <w:r w:rsidRPr="000A5B5D">
        <w:rPr>
          <w:sz w:val="24"/>
          <w:szCs w:val="24"/>
        </w:rPr>
        <w:t>2</w:t>
      </w:r>
      <w:r w:rsidRPr="000A5B5D">
        <w:rPr>
          <w:rFonts w:hint="eastAsia"/>
          <w:sz w:val="24"/>
          <w:szCs w:val="24"/>
        </w:rPr>
        <w:t>、同时按照境外会计准则与按照中国会计准则披露的财务报告中净利润和净资产差异情况</w:t>
      </w:r>
    </w:p>
    <w:p w:rsidR="00BC4D56" w:rsidRPr="000A5B5D" w:rsidRDefault="00BC4D56" w:rsidP="009E6D6A">
      <w:pPr>
        <w:spacing w:line="360" w:lineRule="auto"/>
        <w:ind w:firstLineChars="200" w:firstLine="480"/>
        <w:jc w:val="left"/>
        <w:rPr>
          <w:sz w:val="24"/>
          <w:szCs w:val="24"/>
        </w:rPr>
      </w:pPr>
      <w:r w:rsidRPr="000A5B5D">
        <w:rPr>
          <w:rFonts w:hint="eastAsia"/>
          <w:sz w:val="24"/>
          <w:szCs w:val="24"/>
        </w:rPr>
        <w:t>公司报告期不存在按照境外会计准则与按照中国会计准则披露的财务报告中净利润和净资产差异情况。</w:t>
      </w:r>
    </w:p>
    <w:p w:rsidR="00BC4D56" w:rsidRPr="000A5B5D" w:rsidRDefault="00BC4D56">
      <w:pPr>
        <w:pStyle w:val="Chapter"/>
        <w:outlineLvl w:val="1"/>
      </w:pPr>
      <w:r w:rsidRPr="000A5B5D">
        <w:rPr>
          <w:rFonts w:hint="eastAsia"/>
        </w:rPr>
        <w:lastRenderedPageBreak/>
        <w:t>八、分季度主要财务指标</w:t>
      </w:r>
    </w:p>
    <w:p w:rsidR="00BC4D56" w:rsidRPr="000A5B5D" w:rsidRDefault="00BC4D56">
      <w:pPr>
        <w:jc w:val="right"/>
      </w:pPr>
      <w:r w:rsidRPr="000A5B5D">
        <w:rPr>
          <w:rFonts w:hint="eastAsia"/>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621"/>
        <w:gridCol w:w="1740"/>
        <w:gridCol w:w="1739"/>
        <w:gridCol w:w="1739"/>
        <w:gridCol w:w="1730"/>
      </w:tblGrid>
      <w:tr w:rsidR="00BC4D56" w:rsidRPr="000A5B5D">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center"/>
              <w:rPr>
                <w:sz w:val="21"/>
                <w:szCs w:val="21"/>
              </w:rPr>
            </w:pPr>
          </w:p>
        </w:tc>
        <w:tc>
          <w:tcPr>
            <w:tcW w:w="174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center"/>
              <w:rPr>
                <w:sz w:val="21"/>
                <w:szCs w:val="21"/>
              </w:rPr>
            </w:pPr>
            <w:r w:rsidRPr="000A5B5D">
              <w:rPr>
                <w:rFonts w:hint="eastAsia"/>
                <w:sz w:val="21"/>
                <w:szCs w:val="21"/>
              </w:rPr>
              <w:t>第一季度</w:t>
            </w:r>
          </w:p>
        </w:tc>
        <w:tc>
          <w:tcPr>
            <w:tcW w:w="173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center"/>
              <w:rPr>
                <w:sz w:val="21"/>
                <w:szCs w:val="21"/>
              </w:rPr>
            </w:pPr>
            <w:r w:rsidRPr="000A5B5D">
              <w:rPr>
                <w:rFonts w:hint="eastAsia"/>
                <w:sz w:val="21"/>
                <w:szCs w:val="21"/>
              </w:rPr>
              <w:t>第二季度</w:t>
            </w:r>
          </w:p>
        </w:tc>
        <w:tc>
          <w:tcPr>
            <w:tcW w:w="173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center"/>
              <w:rPr>
                <w:sz w:val="21"/>
                <w:szCs w:val="21"/>
              </w:rPr>
            </w:pPr>
            <w:r w:rsidRPr="000A5B5D">
              <w:rPr>
                <w:rFonts w:hint="eastAsia"/>
                <w:sz w:val="21"/>
                <w:szCs w:val="21"/>
              </w:rPr>
              <w:t>第三季度</w:t>
            </w:r>
          </w:p>
        </w:tc>
        <w:tc>
          <w:tcPr>
            <w:tcW w:w="173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center"/>
              <w:rPr>
                <w:sz w:val="21"/>
                <w:szCs w:val="21"/>
              </w:rPr>
            </w:pPr>
            <w:r w:rsidRPr="000A5B5D">
              <w:rPr>
                <w:rFonts w:hint="eastAsia"/>
                <w:sz w:val="21"/>
                <w:szCs w:val="21"/>
              </w:rPr>
              <w:t>第四季度</w:t>
            </w:r>
          </w:p>
        </w:tc>
      </w:tr>
      <w:tr w:rsidR="00BC4D56" w:rsidRPr="000A5B5D">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left"/>
              <w:rPr>
                <w:sz w:val="21"/>
                <w:szCs w:val="21"/>
              </w:rPr>
            </w:pPr>
            <w:r w:rsidRPr="000A5B5D">
              <w:rPr>
                <w:rFonts w:hint="eastAsia"/>
                <w:sz w:val="21"/>
                <w:szCs w:val="21"/>
              </w:rPr>
              <w:t>营业收入</w:t>
            </w:r>
          </w:p>
        </w:tc>
        <w:tc>
          <w:tcPr>
            <w:tcW w:w="174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5,982,009,064.61</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8,784,664,432.51</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7,432,777,256.59</w:t>
            </w: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8,118,255,921.46</w:t>
            </w:r>
          </w:p>
        </w:tc>
      </w:tr>
      <w:tr w:rsidR="00BC4D56" w:rsidRPr="000A5B5D">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left"/>
              <w:rPr>
                <w:sz w:val="21"/>
                <w:szCs w:val="21"/>
              </w:rPr>
            </w:pPr>
            <w:r w:rsidRPr="000A5B5D">
              <w:rPr>
                <w:rFonts w:hint="eastAsia"/>
                <w:sz w:val="21"/>
                <w:szCs w:val="21"/>
              </w:rPr>
              <w:t>归属于上市公司股东的净利润</w:t>
            </w:r>
          </w:p>
        </w:tc>
        <w:tc>
          <w:tcPr>
            <w:tcW w:w="174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51,539,514.87</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58,802,257.24</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-100,541,972.13</w:t>
            </w: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174,806,041.38</w:t>
            </w:r>
          </w:p>
        </w:tc>
      </w:tr>
      <w:tr w:rsidR="00BC4D56" w:rsidRPr="000A5B5D">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left"/>
              <w:rPr>
                <w:sz w:val="21"/>
                <w:szCs w:val="21"/>
              </w:rPr>
            </w:pPr>
            <w:r w:rsidRPr="000A5B5D">
              <w:rPr>
                <w:rFonts w:hint="eastAsia"/>
                <w:sz w:val="21"/>
                <w:szCs w:val="21"/>
              </w:rPr>
              <w:t>归属于上市公司股东的扣除非经常性损益的净利润</w:t>
            </w:r>
          </w:p>
        </w:tc>
        <w:tc>
          <w:tcPr>
            <w:tcW w:w="174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26,656,300.45</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80,157,943.19</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-112,633,412.87</w:t>
            </w: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-422,402,989.57</w:t>
            </w:r>
          </w:p>
        </w:tc>
      </w:tr>
      <w:tr w:rsidR="00BC4D56" w:rsidRPr="000A5B5D">
        <w:tc>
          <w:tcPr>
            <w:tcW w:w="26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F081C">
            <w:pPr>
              <w:spacing w:line="360" w:lineRule="auto"/>
              <w:jc w:val="left"/>
              <w:rPr>
                <w:sz w:val="21"/>
                <w:szCs w:val="21"/>
              </w:rPr>
            </w:pPr>
            <w:r w:rsidRPr="000A5B5D">
              <w:rPr>
                <w:rFonts w:hint="eastAsia"/>
                <w:sz w:val="21"/>
                <w:szCs w:val="21"/>
              </w:rPr>
              <w:t>经营活动产生的现金流量净额</w:t>
            </w:r>
          </w:p>
        </w:tc>
        <w:tc>
          <w:tcPr>
            <w:tcW w:w="174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116,473,647.00</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1,293,566,912.69</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347,906,564.53</w:t>
            </w: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F081C">
            <w:pPr>
              <w:spacing w:line="360" w:lineRule="auto"/>
              <w:jc w:val="right"/>
              <w:rPr>
                <w:sz w:val="21"/>
                <w:szCs w:val="21"/>
              </w:rPr>
            </w:pPr>
            <w:r w:rsidRPr="000A5B5D">
              <w:rPr>
                <w:sz w:val="21"/>
                <w:szCs w:val="21"/>
              </w:rPr>
              <w:t>-1,347,759,699.45</w:t>
            </w:r>
          </w:p>
        </w:tc>
      </w:tr>
    </w:tbl>
    <w:p w:rsidR="00BC4D56" w:rsidRPr="000A5B5D" w:rsidRDefault="00BC4D56" w:rsidP="007F081C">
      <w:pPr>
        <w:spacing w:line="360" w:lineRule="auto"/>
        <w:jc w:val="left"/>
        <w:rPr>
          <w:sz w:val="24"/>
          <w:szCs w:val="24"/>
        </w:rPr>
      </w:pPr>
      <w:r w:rsidRPr="000A5B5D">
        <w:rPr>
          <w:rFonts w:hint="eastAsia"/>
          <w:sz w:val="24"/>
          <w:szCs w:val="24"/>
        </w:rPr>
        <w:t>上述财务指标或其加总数是否与公司已披露季度报告、半年度报告相关财务指标存在重大差异</w:t>
      </w:r>
    </w:p>
    <w:p w:rsidR="00BC4D56" w:rsidRPr="000A5B5D" w:rsidRDefault="00BC4D56" w:rsidP="007F081C">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pPr>
        <w:pStyle w:val="Chapter"/>
        <w:outlineLvl w:val="1"/>
      </w:pPr>
      <w:r w:rsidRPr="000A5B5D">
        <w:rPr>
          <w:rFonts w:hint="eastAsia"/>
        </w:rPr>
        <w:t>九、非经常性损益项目及金额</w:t>
      </w:r>
    </w:p>
    <w:p w:rsidR="00BC4D56" w:rsidRPr="000A5B5D" w:rsidRDefault="00BC4D56" w:rsidP="008B2709">
      <w:pPr>
        <w:wordWrap w:val="0"/>
        <w:spacing w:line="360" w:lineRule="auto"/>
        <w:jc w:val="right"/>
        <w:rPr>
          <w:sz w:val="24"/>
          <w:szCs w:val="24"/>
        </w:rPr>
      </w:pPr>
      <w:r w:rsidRPr="000A5B5D">
        <w:rPr>
          <w:rFonts w:hint="eastAsia"/>
          <w:sz w:val="24"/>
          <w:szCs w:val="24"/>
        </w:rPr>
        <w:t>单位：元</w:t>
      </w:r>
      <w:r w:rsidR="008B2709"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3969"/>
        <w:gridCol w:w="1701"/>
        <w:gridCol w:w="1701"/>
        <w:gridCol w:w="1560"/>
        <w:gridCol w:w="637"/>
      </w:tblGrid>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rFonts w:hint="eastAsia"/>
                <w:sz w:val="24"/>
                <w:szCs w:val="24"/>
              </w:rPr>
              <w:t>项目</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sz w:val="24"/>
                <w:szCs w:val="24"/>
              </w:rPr>
              <w:t>2015</w:t>
            </w:r>
            <w:r w:rsidRPr="000A5B5D">
              <w:rPr>
                <w:rFonts w:hint="eastAsia"/>
                <w:sz w:val="24"/>
                <w:szCs w:val="24"/>
              </w:rPr>
              <w:t>年金额</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sz w:val="24"/>
                <w:szCs w:val="24"/>
              </w:rPr>
              <w:t>2014</w:t>
            </w:r>
            <w:r w:rsidRPr="000A5B5D">
              <w:rPr>
                <w:rFonts w:hint="eastAsia"/>
                <w:sz w:val="24"/>
                <w:szCs w:val="24"/>
              </w:rPr>
              <w:t>年金额</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sz w:val="24"/>
                <w:szCs w:val="24"/>
              </w:rPr>
              <w:t>2013</w:t>
            </w:r>
            <w:r w:rsidRPr="000A5B5D">
              <w:rPr>
                <w:rFonts w:hint="eastAsia"/>
                <w:sz w:val="24"/>
                <w:szCs w:val="24"/>
              </w:rPr>
              <w:t>年金额</w:t>
            </w:r>
          </w:p>
        </w:tc>
        <w:tc>
          <w:tcPr>
            <w:tcW w:w="63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rFonts w:hint="eastAsia"/>
                <w:sz w:val="24"/>
                <w:szCs w:val="24"/>
              </w:rPr>
              <w:t>说明</w:t>
            </w: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非流动资产处置损益（包括已计提资产减值准备的冲销部分）</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-2,086,167.12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-17,599,992.38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4,921,917.45</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241DFD" w:rsidP="008B2709">
            <w:pPr>
              <w:spacing w:line="360" w:lineRule="auto"/>
              <w:jc w:val="left"/>
              <w:rPr>
                <w:sz w:val="24"/>
                <w:szCs w:val="24"/>
              </w:rPr>
            </w:pPr>
            <w:r w:rsidRPr="000A5B5D">
              <w:rPr>
                <w:rFonts w:hint="eastAsia"/>
                <w:sz w:val="24"/>
                <w:szCs w:val="24"/>
              </w:rPr>
              <w:t>偶发</w:t>
            </w:r>
            <w:r w:rsidR="00BC4D56" w:rsidRPr="000A5B5D">
              <w:rPr>
                <w:rFonts w:hint="eastAsia"/>
                <w:sz w:val="24"/>
                <w:szCs w:val="24"/>
              </w:rPr>
              <w:t>的税收返还、减免</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36,885,663.16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计入当期损益的政府补助（与企业业务密切相关，按照国家统一标准定额或定量享受的政府补助除外）</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28,794,757.38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28,787,983.68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26,212,201.49</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除同公司正常经营业务相关的有效套期保值业务外，持有交易性金融资产、交易性金融负债产生的公允价值变动损益，以及处置交易性金融资</w:t>
            </w:r>
            <w:r w:rsidRPr="000A5B5D">
              <w:rPr>
                <w:rFonts w:hint="eastAsia"/>
                <w:sz w:val="24"/>
                <w:szCs w:val="24"/>
              </w:rPr>
              <w:lastRenderedPageBreak/>
              <w:t>产、交易性金融负债和可供出售金融资产取得的投资收益</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lastRenderedPageBreak/>
              <w:t>57,448,974.67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-114,662,179.31</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30,914,143.30</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对外委托贷款取得的损益</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45,433,422.21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876,088.89</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除上述各项之外的其他营业外收入和支出</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-320,453.58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2,423,556.14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12,566,798.56</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其他符合非经常性损益定义的损益项目</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520,827,713.20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减：所得税影响额</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41,306,579.02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-18,497,384.07</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6,340,994.62</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 xml:space="preserve">　　少数股东权益影响额（税后）</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32,849,330.74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437,924.30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6,747,106.03</w:t>
            </w:r>
          </w:p>
        </w:tc>
        <w:tc>
          <w:tcPr>
            <w:tcW w:w="637"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left"/>
              <w:rPr>
                <w:sz w:val="24"/>
                <w:szCs w:val="24"/>
              </w:rPr>
            </w:pPr>
          </w:p>
        </w:tc>
      </w:tr>
      <w:tr w:rsidR="00BC4D56" w:rsidRPr="000A5B5D" w:rsidTr="004A348D">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left"/>
              <w:rPr>
                <w:sz w:val="24"/>
                <w:szCs w:val="24"/>
              </w:rPr>
            </w:pPr>
            <w:r w:rsidRPr="000A5B5D">
              <w:rPr>
                <w:rFonts w:hint="eastAsia"/>
                <w:sz w:val="24"/>
                <w:szCs w:val="24"/>
              </w:rPr>
              <w:t>合计</w:t>
            </w:r>
          </w:p>
        </w:tc>
        <w:tc>
          <w:tcPr>
            <w:tcW w:w="1701"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2709">
            <w:pPr>
              <w:spacing w:line="360" w:lineRule="auto"/>
              <w:jc w:val="right"/>
              <w:rPr>
                <w:sz w:val="24"/>
                <w:szCs w:val="24"/>
              </w:rPr>
            </w:pPr>
            <w:r w:rsidRPr="000A5B5D">
              <w:rPr>
                <w:sz w:val="24"/>
                <w:szCs w:val="24"/>
              </w:rPr>
              <w:t>612,828,000.16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-82,115,083.21</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2709">
            <w:pPr>
              <w:spacing w:line="360" w:lineRule="auto"/>
              <w:jc w:val="right"/>
              <w:rPr>
                <w:sz w:val="24"/>
                <w:szCs w:val="24"/>
              </w:rPr>
            </w:pPr>
            <w:r w:rsidRPr="000A5B5D">
              <w:rPr>
                <w:sz w:val="24"/>
                <w:szCs w:val="24"/>
              </w:rPr>
              <w:t>61,526,960.15</w:t>
            </w:r>
          </w:p>
        </w:tc>
        <w:tc>
          <w:tcPr>
            <w:tcW w:w="63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2709">
            <w:pPr>
              <w:spacing w:line="360" w:lineRule="auto"/>
              <w:jc w:val="center"/>
              <w:rPr>
                <w:sz w:val="24"/>
                <w:szCs w:val="24"/>
              </w:rPr>
            </w:pPr>
            <w:r w:rsidRPr="000A5B5D">
              <w:rPr>
                <w:sz w:val="24"/>
                <w:szCs w:val="24"/>
              </w:rPr>
              <w:t>--</w:t>
            </w:r>
          </w:p>
        </w:tc>
      </w:tr>
    </w:tbl>
    <w:p w:rsidR="00BC4D56" w:rsidRPr="000A5B5D" w:rsidRDefault="00BC4D56" w:rsidP="008B2709">
      <w:pPr>
        <w:spacing w:line="360" w:lineRule="auto"/>
        <w:jc w:val="left"/>
        <w:rPr>
          <w:sz w:val="24"/>
          <w:szCs w:val="24"/>
        </w:rPr>
      </w:pPr>
      <w:r w:rsidRPr="000A5B5D">
        <w:rPr>
          <w:rFonts w:hint="eastAsia"/>
          <w:sz w:val="24"/>
          <w:szCs w:val="24"/>
        </w:rPr>
        <w:t>对公司根据《公开发行证券的公司信息披露解释性公告第</w:t>
      </w:r>
      <w:r w:rsidRPr="000A5B5D">
        <w:rPr>
          <w:sz w:val="24"/>
          <w:szCs w:val="24"/>
        </w:rPr>
        <w:t>1</w:t>
      </w:r>
      <w:r w:rsidRPr="000A5B5D">
        <w:rPr>
          <w:rFonts w:hint="eastAsia"/>
          <w:sz w:val="24"/>
          <w:szCs w:val="24"/>
        </w:rPr>
        <w:t>号</w:t>
      </w:r>
      <w:r w:rsidRPr="000A5B5D">
        <w:rPr>
          <w:sz w:val="24"/>
          <w:szCs w:val="24"/>
        </w:rPr>
        <w:t>——</w:t>
      </w:r>
      <w:r w:rsidRPr="000A5B5D">
        <w:rPr>
          <w:rFonts w:hint="eastAsia"/>
          <w:sz w:val="24"/>
          <w:szCs w:val="24"/>
        </w:rPr>
        <w:t>非经常性损益》定义界定的非经常性损益项目，以及把《公开发行证券的公司信息披露解释性公告第</w:t>
      </w:r>
      <w:r w:rsidRPr="000A5B5D">
        <w:rPr>
          <w:sz w:val="24"/>
          <w:szCs w:val="24"/>
        </w:rPr>
        <w:t>1</w:t>
      </w:r>
      <w:r w:rsidRPr="000A5B5D">
        <w:rPr>
          <w:rFonts w:hint="eastAsia"/>
          <w:sz w:val="24"/>
          <w:szCs w:val="24"/>
        </w:rPr>
        <w:t>号</w:t>
      </w:r>
      <w:r w:rsidRPr="000A5B5D">
        <w:rPr>
          <w:sz w:val="24"/>
          <w:szCs w:val="24"/>
        </w:rPr>
        <w:t>——</w:t>
      </w:r>
      <w:r w:rsidRPr="000A5B5D">
        <w:rPr>
          <w:rFonts w:hint="eastAsia"/>
          <w:sz w:val="24"/>
          <w:szCs w:val="24"/>
        </w:rPr>
        <w:t>非经常性损益》中列举的非经常性损益项目界定为经常性损益的项目，应说明原因</w:t>
      </w:r>
    </w:p>
    <w:p w:rsidR="00BC4D56" w:rsidRPr="000A5B5D" w:rsidRDefault="00BC4D56" w:rsidP="008B2709">
      <w:pPr>
        <w:spacing w:line="360" w:lineRule="auto"/>
        <w:ind w:firstLineChars="200" w:firstLine="480"/>
        <w:jc w:val="left"/>
        <w:rPr>
          <w:sz w:val="24"/>
          <w:szCs w:val="24"/>
        </w:rPr>
      </w:pPr>
      <w:r w:rsidRPr="000A5B5D">
        <w:rPr>
          <w:rFonts w:hint="eastAsia"/>
          <w:sz w:val="24"/>
          <w:szCs w:val="24"/>
        </w:rPr>
        <w:t>公司报告期不存在将根据《公开发行证券的公司信息披露解释性公告第</w:t>
      </w:r>
      <w:r w:rsidRPr="000A5B5D">
        <w:rPr>
          <w:sz w:val="24"/>
          <w:szCs w:val="24"/>
        </w:rPr>
        <w:t>1</w:t>
      </w:r>
      <w:r w:rsidRPr="000A5B5D">
        <w:rPr>
          <w:rFonts w:hint="eastAsia"/>
          <w:sz w:val="24"/>
          <w:szCs w:val="24"/>
        </w:rPr>
        <w:t>号</w:t>
      </w:r>
      <w:r w:rsidRPr="000A5B5D">
        <w:rPr>
          <w:sz w:val="24"/>
          <w:szCs w:val="24"/>
        </w:rPr>
        <w:t>——</w:t>
      </w:r>
      <w:r w:rsidRPr="000A5B5D">
        <w:rPr>
          <w:rFonts w:hint="eastAsia"/>
          <w:sz w:val="24"/>
          <w:szCs w:val="24"/>
        </w:rPr>
        <w:t>非经常性损益》定义、列举的非经常性损益项目界定为经常性损益的项目的情形。</w:t>
      </w:r>
    </w:p>
    <w:p w:rsidR="00BC4D56" w:rsidRPr="000A5B5D" w:rsidRDefault="00BC4D56" w:rsidP="008B2709">
      <w:pPr>
        <w:spacing w:line="360" w:lineRule="auto"/>
        <w:jc w:val="left"/>
        <w:rPr>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pPr>
      <w:bookmarkStart w:id="3" w:name="_Toc449101527"/>
      <w:r w:rsidRPr="000A5B5D">
        <w:rPr>
          <w:rFonts w:hint="eastAsia"/>
        </w:rPr>
        <w:lastRenderedPageBreak/>
        <w:t>第三节</w:t>
      </w:r>
      <w:r w:rsidRPr="000A5B5D">
        <w:t xml:space="preserve"> </w:t>
      </w:r>
      <w:r w:rsidRPr="000A5B5D">
        <w:rPr>
          <w:rFonts w:hint="eastAsia"/>
        </w:rPr>
        <w:t>公司业务概要</w:t>
      </w:r>
      <w:bookmarkEnd w:id="3"/>
    </w:p>
    <w:p w:rsidR="00BC4D56" w:rsidRPr="000A5B5D" w:rsidRDefault="00BC4D56">
      <w:pPr>
        <w:pStyle w:val="Chapter"/>
        <w:outlineLvl w:val="1"/>
      </w:pPr>
      <w:r w:rsidRPr="000A5B5D">
        <w:rPr>
          <w:rFonts w:hint="eastAsia"/>
        </w:rPr>
        <w:t>一、报告期内公司从事的主要业务</w:t>
      </w:r>
    </w:p>
    <w:p w:rsidR="00BC4D56" w:rsidRPr="000A5B5D" w:rsidRDefault="00BC4D56" w:rsidP="00852E5D">
      <w:pPr>
        <w:autoSpaceDE w:val="0"/>
        <w:autoSpaceDN w:val="0"/>
        <w:adjustRightInd w:val="0"/>
        <w:spacing w:before="0" w:after="0" w:line="360" w:lineRule="auto"/>
        <w:jc w:val="left"/>
        <w:rPr>
          <w:rFonts w:asciiTheme="minorEastAsia" w:eastAsiaTheme="minorEastAsia" w:hAnsiTheme="minorEastAsia"/>
          <w:b/>
          <w:bCs/>
          <w:kern w:val="0"/>
          <w:sz w:val="24"/>
          <w:szCs w:val="24"/>
          <w:lang w:val="zh-CN"/>
        </w:rPr>
      </w:pPr>
      <w:r w:rsidRPr="000A5B5D">
        <w:rPr>
          <w:rFonts w:asciiTheme="minorEastAsia" w:eastAsiaTheme="minorEastAsia" w:hAnsiTheme="minorEastAsia" w:cs="宋体" w:hint="eastAsia"/>
          <w:b/>
          <w:bCs/>
          <w:kern w:val="0"/>
          <w:sz w:val="24"/>
          <w:szCs w:val="24"/>
          <w:lang w:val="zh-CN"/>
        </w:rPr>
        <w:t>（一）报告期内公司从事的主要业务概述</w:t>
      </w:r>
    </w:p>
    <w:p w:rsidR="00BC4D56" w:rsidRPr="000A5B5D" w:rsidRDefault="00BC4D56" w:rsidP="00852E5D">
      <w:pPr>
        <w:autoSpaceDE w:val="0"/>
        <w:autoSpaceDN w:val="0"/>
        <w:adjustRightInd w:val="0"/>
        <w:spacing w:before="0" w:after="0" w:line="360" w:lineRule="auto"/>
        <w:ind w:firstLine="562"/>
        <w:jc w:val="left"/>
        <w:rPr>
          <w:rFonts w:asciiTheme="minorEastAsia" w:eastAsiaTheme="minorEastAsia" w:hAnsiTheme="minorEastAsia"/>
          <w:b/>
          <w:kern w:val="0"/>
          <w:sz w:val="24"/>
          <w:lang w:val="zh-CN"/>
        </w:rPr>
      </w:pPr>
      <w:r w:rsidRPr="000A5B5D">
        <w:rPr>
          <w:rFonts w:asciiTheme="minorEastAsia" w:eastAsiaTheme="minorEastAsia" w:hAnsiTheme="minorEastAsia"/>
          <w:b/>
          <w:kern w:val="0"/>
          <w:sz w:val="24"/>
          <w:lang w:val="zh-CN"/>
        </w:rPr>
        <w:t>1</w:t>
      </w:r>
      <w:r w:rsidRPr="000A5B5D">
        <w:rPr>
          <w:rFonts w:asciiTheme="minorEastAsia" w:eastAsiaTheme="minorEastAsia" w:hAnsiTheme="minorEastAsia" w:cs="宋体" w:hint="eastAsia"/>
          <w:b/>
          <w:kern w:val="0"/>
          <w:sz w:val="24"/>
          <w:lang w:val="zh-CN"/>
        </w:rPr>
        <w:t>、公司业务概述</w:t>
      </w:r>
    </w:p>
    <w:p w:rsidR="00BC4D56" w:rsidRPr="000A5B5D" w:rsidRDefault="00BC4D56" w:rsidP="00852E5D">
      <w:pPr>
        <w:autoSpaceDE w:val="0"/>
        <w:autoSpaceDN w:val="0"/>
        <w:adjustRightInd w:val="0"/>
        <w:spacing w:before="0" w:after="0" w:line="360" w:lineRule="auto"/>
        <w:ind w:firstLine="560"/>
        <w:jc w:val="left"/>
        <w:rPr>
          <w:rFonts w:asciiTheme="minorEastAsia" w:eastAsiaTheme="minorEastAsia" w:hAnsiTheme="minorEastAsia"/>
          <w:kern w:val="0"/>
          <w:sz w:val="24"/>
          <w:lang w:val="zh-CN"/>
        </w:rPr>
      </w:pPr>
      <w:r w:rsidRPr="000A5B5D">
        <w:rPr>
          <w:rFonts w:asciiTheme="minorEastAsia" w:eastAsiaTheme="minorEastAsia" w:hAnsiTheme="minorEastAsia" w:cs="宋体" w:hint="eastAsia"/>
          <w:kern w:val="0"/>
          <w:sz w:val="24"/>
          <w:lang w:val="zh-CN"/>
        </w:rPr>
        <w:t>公司主要从事石油化工产业及金融投资业务，逐步形成</w:t>
      </w:r>
      <w:r w:rsidRPr="000A5B5D">
        <w:rPr>
          <w:rFonts w:asciiTheme="minorEastAsia" w:eastAsiaTheme="minorEastAsia" w:hAnsiTheme="minorEastAsia"/>
          <w:kern w:val="0"/>
          <w:sz w:val="24"/>
          <w:lang w:val="zh-CN"/>
        </w:rPr>
        <w:t>“</w:t>
      </w:r>
      <w:r w:rsidRPr="000A5B5D">
        <w:rPr>
          <w:rFonts w:asciiTheme="minorEastAsia" w:eastAsiaTheme="minorEastAsia" w:hAnsiTheme="minorEastAsia" w:cs="宋体" w:hint="eastAsia"/>
          <w:kern w:val="0"/>
          <w:sz w:val="24"/>
          <w:lang w:val="zh-CN"/>
        </w:rPr>
        <w:t>石化</w:t>
      </w:r>
      <w:r w:rsidRPr="000A5B5D">
        <w:rPr>
          <w:rFonts w:asciiTheme="minorEastAsia" w:eastAsiaTheme="minorEastAsia" w:hAnsiTheme="minorEastAsia"/>
          <w:kern w:val="0"/>
          <w:sz w:val="24"/>
          <w:lang w:val="zh-CN"/>
        </w:rPr>
        <w:t>+</w:t>
      </w:r>
      <w:r w:rsidRPr="000A5B5D">
        <w:rPr>
          <w:rFonts w:asciiTheme="minorEastAsia" w:eastAsiaTheme="minorEastAsia" w:hAnsiTheme="minorEastAsia" w:cs="宋体" w:hint="eastAsia"/>
          <w:kern w:val="0"/>
          <w:sz w:val="24"/>
          <w:lang w:val="zh-CN"/>
        </w:rPr>
        <w:t>金融</w:t>
      </w:r>
      <w:r w:rsidRPr="000A5B5D">
        <w:rPr>
          <w:rFonts w:asciiTheme="minorEastAsia" w:eastAsiaTheme="minorEastAsia" w:hAnsiTheme="minorEastAsia"/>
          <w:kern w:val="0"/>
          <w:sz w:val="24"/>
          <w:lang w:val="zh-CN"/>
        </w:rPr>
        <w:t>”</w:t>
      </w:r>
      <w:r w:rsidRPr="000A5B5D">
        <w:rPr>
          <w:rFonts w:asciiTheme="minorEastAsia" w:eastAsiaTheme="minorEastAsia" w:hAnsiTheme="minorEastAsia" w:cs="宋体" w:hint="eastAsia"/>
          <w:kern w:val="0"/>
          <w:sz w:val="24"/>
          <w:lang w:val="zh-CN"/>
        </w:rPr>
        <w:t>双驱动的发展模式。目前主要石化产品包括精对苯二甲酸（</w:t>
      </w:r>
      <w:r w:rsidRPr="000A5B5D">
        <w:rPr>
          <w:rFonts w:asciiTheme="minorEastAsia" w:eastAsiaTheme="minorEastAsia" w:hAnsiTheme="minorEastAsia"/>
          <w:kern w:val="0"/>
          <w:sz w:val="24"/>
          <w:lang w:val="zh-CN"/>
        </w:rPr>
        <w:t>PTA</w:t>
      </w:r>
      <w:r w:rsidRPr="000A5B5D">
        <w:rPr>
          <w:rFonts w:asciiTheme="minorEastAsia" w:eastAsiaTheme="minorEastAsia" w:hAnsiTheme="minorEastAsia" w:cs="宋体" w:hint="eastAsia"/>
          <w:kern w:val="0"/>
          <w:sz w:val="24"/>
          <w:lang w:val="zh-CN"/>
        </w:rPr>
        <w:t>）、己内酰胺（</w:t>
      </w:r>
      <w:r w:rsidRPr="000A5B5D">
        <w:rPr>
          <w:rFonts w:asciiTheme="minorEastAsia" w:eastAsiaTheme="minorEastAsia" w:hAnsiTheme="minorEastAsia"/>
          <w:kern w:val="0"/>
          <w:sz w:val="24"/>
          <w:lang w:val="zh-CN"/>
        </w:rPr>
        <w:t>CPL</w:t>
      </w:r>
      <w:r w:rsidRPr="000A5B5D">
        <w:rPr>
          <w:rFonts w:asciiTheme="minorEastAsia" w:eastAsiaTheme="minorEastAsia" w:hAnsiTheme="minorEastAsia" w:cs="宋体" w:hint="eastAsia"/>
          <w:kern w:val="0"/>
          <w:sz w:val="24"/>
          <w:lang w:val="zh-CN"/>
        </w:rPr>
        <w:t>）、聚酯（</w:t>
      </w:r>
      <w:r w:rsidRPr="000A5B5D">
        <w:rPr>
          <w:rFonts w:asciiTheme="minorEastAsia" w:eastAsiaTheme="minorEastAsia" w:hAnsiTheme="minorEastAsia"/>
          <w:kern w:val="0"/>
          <w:sz w:val="24"/>
          <w:lang w:val="zh-CN"/>
        </w:rPr>
        <w:t>PET</w:t>
      </w:r>
      <w:r w:rsidRPr="000A5B5D">
        <w:rPr>
          <w:rFonts w:asciiTheme="minorEastAsia" w:eastAsiaTheme="minorEastAsia" w:hAnsiTheme="minorEastAsia" w:cs="宋体" w:hint="eastAsia"/>
          <w:kern w:val="0"/>
          <w:sz w:val="24"/>
          <w:lang w:val="zh-CN"/>
        </w:rPr>
        <w:t>）切片、聚酯（</w:t>
      </w:r>
      <w:r w:rsidRPr="000A5B5D">
        <w:rPr>
          <w:rFonts w:asciiTheme="minorEastAsia" w:eastAsiaTheme="minorEastAsia" w:hAnsiTheme="minorEastAsia"/>
          <w:kern w:val="0"/>
          <w:sz w:val="24"/>
          <w:lang w:val="zh-CN"/>
        </w:rPr>
        <w:t>PET</w:t>
      </w:r>
      <w:r w:rsidRPr="000A5B5D">
        <w:rPr>
          <w:rFonts w:asciiTheme="minorEastAsia" w:eastAsiaTheme="minorEastAsia" w:hAnsiTheme="minorEastAsia" w:cs="宋体" w:hint="eastAsia"/>
          <w:kern w:val="0"/>
          <w:sz w:val="24"/>
          <w:lang w:val="zh-CN"/>
        </w:rPr>
        <w:t>）瓶片、涤纶预取向丝（</w:t>
      </w:r>
      <w:r w:rsidRPr="000A5B5D">
        <w:rPr>
          <w:rFonts w:asciiTheme="minorEastAsia" w:eastAsiaTheme="minorEastAsia" w:hAnsiTheme="minorEastAsia"/>
          <w:kern w:val="0"/>
          <w:sz w:val="24"/>
          <w:lang w:val="zh-CN"/>
        </w:rPr>
        <w:t>POY</w:t>
      </w:r>
      <w:r w:rsidRPr="000A5B5D">
        <w:rPr>
          <w:rFonts w:asciiTheme="minorEastAsia" w:eastAsiaTheme="minorEastAsia" w:hAnsiTheme="minorEastAsia" w:cs="宋体" w:hint="eastAsia"/>
          <w:kern w:val="0"/>
          <w:sz w:val="24"/>
          <w:lang w:val="zh-CN"/>
        </w:rPr>
        <w:t>）、涤纶全牵伸丝（</w:t>
      </w:r>
      <w:r w:rsidRPr="000A5B5D">
        <w:rPr>
          <w:rFonts w:asciiTheme="minorEastAsia" w:eastAsiaTheme="minorEastAsia" w:hAnsiTheme="minorEastAsia"/>
          <w:kern w:val="0"/>
          <w:sz w:val="24"/>
          <w:lang w:val="zh-CN"/>
        </w:rPr>
        <w:t>FDY</w:t>
      </w:r>
      <w:r w:rsidRPr="000A5B5D">
        <w:rPr>
          <w:rFonts w:asciiTheme="minorEastAsia" w:eastAsiaTheme="minorEastAsia" w:hAnsiTheme="minorEastAsia" w:cs="宋体" w:hint="eastAsia"/>
          <w:kern w:val="0"/>
          <w:sz w:val="24"/>
          <w:lang w:val="zh-CN"/>
        </w:rPr>
        <w:t>）、涤纶加弹丝（</w:t>
      </w:r>
      <w:r w:rsidRPr="000A5B5D">
        <w:rPr>
          <w:rFonts w:asciiTheme="minorEastAsia" w:eastAsiaTheme="minorEastAsia" w:hAnsiTheme="minorEastAsia"/>
          <w:kern w:val="0"/>
          <w:sz w:val="24"/>
          <w:lang w:val="zh-CN"/>
        </w:rPr>
        <w:t>DTY</w:t>
      </w:r>
      <w:r w:rsidRPr="000A5B5D">
        <w:rPr>
          <w:rFonts w:asciiTheme="minorEastAsia" w:eastAsiaTheme="minorEastAsia" w:hAnsiTheme="minorEastAsia" w:cs="宋体" w:hint="eastAsia"/>
          <w:kern w:val="0"/>
          <w:sz w:val="24"/>
          <w:lang w:val="zh-CN"/>
        </w:rPr>
        <w:t>）。未来几年，在石化产业发展方面，公司将重点投资建设文莱</w:t>
      </w:r>
      <w:r w:rsidRPr="000A5B5D">
        <w:rPr>
          <w:rFonts w:asciiTheme="minorEastAsia" w:eastAsiaTheme="minorEastAsia" w:hAnsiTheme="minorEastAsia"/>
          <w:kern w:val="0"/>
          <w:sz w:val="24"/>
          <w:lang w:val="zh-CN"/>
        </w:rPr>
        <w:t>PMB</w:t>
      </w:r>
      <w:r w:rsidRPr="000A5B5D">
        <w:rPr>
          <w:rFonts w:asciiTheme="minorEastAsia" w:eastAsiaTheme="minorEastAsia" w:hAnsiTheme="minorEastAsia" w:cs="宋体" w:hint="eastAsia"/>
          <w:kern w:val="0"/>
          <w:sz w:val="24"/>
          <w:lang w:val="zh-CN"/>
        </w:rPr>
        <w:t>石油化工项目，力争实现原油</w:t>
      </w:r>
      <w:r w:rsidRPr="000A5B5D">
        <w:rPr>
          <w:rFonts w:asciiTheme="minorEastAsia" w:eastAsiaTheme="minorEastAsia" w:hAnsiTheme="minorEastAsia"/>
          <w:kern w:val="0"/>
          <w:sz w:val="24"/>
          <w:lang w:val="zh-CN"/>
        </w:rPr>
        <w:t>-PX-PTA-</w:t>
      </w:r>
      <w:r w:rsidRPr="000A5B5D">
        <w:rPr>
          <w:rFonts w:asciiTheme="minorEastAsia" w:eastAsiaTheme="minorEastAsia" w:hAnsiTheme="minorEastAsia" w:cs="宋体" w:hint="eastAsia"/>
          <w:kern w:val="0"/>
          <w:sz w:val="24"/>
          <w:lang w:val="zh-CN"/>
        </w:rPr>
        <w:t>聚酯纤维全产业链发展格局，提升公司整体盈利能力。</w:t>
      </w:r>
    </w:p>
    <w:p w:rsidR="00BC4D56" w:rsidRPr="000A5B5D" w:rsidRDefault="00BC4D56" w:rsidP="00852E5D">
      <w:pPr>
        <w:autoSpaceDE w:val="0"/>
        <w:autoSpaceDN w:val="0"/>
        <w:adjustRightInd w:val="0"/>
        <w:spacing w:before="0" w:after="0" w:line="360" w:lineRule="auto"/>
        <w:ind w:firstLine="560"/>
        <w:jc w:val="left"/>
        <w:rPr>
          <w:rFonts w:asciiTheme="minorEastAsia" w:eastAsiaTheme="minorEastAsia" w:hAnsiTheme="minorEastAsia"/>
          <w:kern w:val="0"/>
          <w:sz w:val="24"/>
          <w:lang w:val="zh-CN"/>
        </w:rPr>
      </w:pPr>
      <w:r w:rsidRPr="000A5B5D">
        <w:rPr>
          <w:rFonts w:asciiTheme="minorEastAsia" w:eastAsiaTheme="minorEastAsia" w:hAnsiTheme="minorEastAsia" w:cs="宋体" w:hint="eastAsia"/>
          <w:kern w:val="0"/>
          <w:sz w:val="24"/>
          <w:lang w:val="zh-CN"/>
        </w:rPr>
        <w:t>本报告期末，金融投资业务主要为浙商银行股权。公司及所属企业共计持有浙商银行股份</w:t>
      </w:r>
      <w:r w:rsidRPr="000A5B5D">
        <w:rPr>
          <w:rFonts w:asciiTheme="minorEastAsia" w:eastAsiaTheme="minorEastAsia" w:hAnsiTheme="minorEastAsia"/>
          <w:kern w:val="0"/>
          <w:sz w:val="24"/>
          <w:lang w:val="zh-CN"/>
        </w:rPr>
        <w:t>748,069,283</w:t>
      </w:r>
      <w:r w:rsidRPr="000A5B5D">
        <w:rPr>
          <w:rFonts w:asciiTheme="minorEastAsia" w:eastAsiaTheme="minorEastAsia" w:hAnsiTheme="minorEastAsia" w:cs="宋体" w:hint="eastAsia"/>
          <w:kern w:val="0"/>
          <w:sz w:val="24"/>
          <w:lang w:val="zh-CN"/>
        </w:rPr>
        <w:t>股，持股比例</w:t>
      </w:r>
      <w:r w:rsidRPr="000A5B5D">
        <w:rPr>
          <w:rFonts w:asciiTheme="minorEastAsia" w:eastAsiaTheme="minorEastAsia" w:hAnsiTheme="minorEastAsia"/>
          <w:kern w:val="0"/>
          <w:sz w:val="24"/>
          <w:lang w:val="zh-CN"/>
        </w:rPr>
        <w:t>5.16%</w:t>
      </w:r>
      <w:r w:rsidRPr="000A5B5D">
        <w:rPr>
          <w:rFonts w:asciiTheme="minorEastAsia" w:eastAsiaTheme="minorEastAsia" w:hAnsiTheme="minorEastAsia" w:cs="宋体" w:hint="eastAsia"/>
          <w:kern w:val="0"/>
          <w:sz w:val="24"/>
          <w:lang w:val="zh-CN"/>
        </w:rPr>
        <w:t>。浙商银行已于</w:t>
      </w:r>
      <w:r w:rsidRPr="000A5B5D">
        <w:rPr>
          <w:rFonts w:asciiTheme="minorEastAsia" w:eastAsiaTheme="minorEastAsia" w:hAnsiTheme="minorEastAsia"/>
          <w:kern w:val="0"/>
          <w:sz w:val="24"/>
          <w:lang w:val="zh-CN"/>
        </w:rPr>
        <w:t>2016</w:t>
      </w:r>
      <w:r w:rsidRPr="000A5B5D">
        <w:rPr>
          <w:rFonts w:asciiTheme="minorEastAsia" w:eastAsiaTheme="minorEastAsia" w:hAnsiTheme="minorEastAsia" w:cs="宋体" w:hint="eastAsia"/>
          <w:kern w:val="0"/>
          <w:sz w:val="24"/>
          <w:lang w:val="zh-CN"/>
        </w:rPr>
        <w:t>年</w:t>
      </w:r>
      <w:r w:rsidRPr="000A5B5D">
        <w:rPr>
          <w:rFonts w:asciiTheme="minorEastAsia" w:eastAsiaTheme="minorEastAsia" w:hAnsiTheme="minorEastAsia"/>
          <w:kern w:val="0"/>
          <w:sz w:val="24"/>
          <w:lang w:val="zh-CN"/>
        </w:rPr>
        <w:t>3</w:t>
      </w:r>
      <w:r w:rsidRPr="000A5B5D">
        <w:rPr>
          <w:rFonts w:asciiTheme="minorEastAsia" w:eastAsiaTheme="minorEastAsia" w:hAnsiTheme="minorEastAsia" w:cs="宋体" w:hint="eastAsia"/>
          <w:kern w:val="0"/>
          <w:sz w:val="24"/>
          <w:lang w:val="zh-CN"/>
        </w:rPr>
        <w:t>月</w:t>
      </w:r>
      <w:r w:rsidRPr="000A5B5D">
        <w:rPr>
          <w:rFonts w:asciiTheme="minorEastAsia" w:eastAsiaTheme="minorEastAsia" w:hAnsiTheme="minorEastAsia"/>
          <w:kern w:val="0"/>
          <w:sz w:val="24"/>
          <w:lang w:val="zh-CN"/>
        </w:rPr>
        <w:t>30</w:t>
      </w:r>
      <w:r w:rsidRPr="000A5B5D">
        <w:rPr>
          <w:rFonts w:asciiTheme="minorEastAsia" w:eastAsiaTheme="minorEastAsia" w:hAnsiTheme="minorEastAsia" w:cs="宋体" w:hint="eastAsia"/>
          <w:kern w:val="0"/>
          <w:sz w:val="24"/>
          <w:lang w:val="zh-CN"/>
        </w:rPr>
        <w:t>日在香港联交所主板挂牌上市，股票代码</w:t>
      </w:r>
      <w:r w:rsidRPr="000A5B5D">
        <w:rPr>
          <w:rFonts w:asciiTheme="minorEastAsia" w:eastAsiaTheme="minorEastAsia" w:hAnsiTheme="minorEastAsia"/>
          <w:kern w:val="0"/>
          <w:sz w:val="24"/>
          <w:lang w:val="zh-CN"/>
        </w:rPr>
        <w:t>02016</w:t>
      </w:r>
      <w:r w:rsidRPr="000A5B5D">
        <w:rPr>
          <w:rFonts w:asciiTheme="minorEastAsia" w:eastAsiaTheme="minorEastAsia" w:hAnsiTheme="minorEastAsia" w:cs="宋体" w:hint="eastAsia"/>
          <w:kern w:val="0"/>
          <w:sz w:val="24"/>
          <w:lang w:val="zh-CN"/>
        </w:rPr>
        <w:t>。</w:t>
      </w:r>
    </w:p>
    <w:p w:rsidR="00BC4D56" w:rsidRPr="000A5B5D" w:rsidRDefault="00BC4D56" w:rsidP="00852E5D">
      <w:pPr>
        <w:autoSpaceDE w:val="0"/>
        <w:autoSpaceDN w:val="0"/>
        <w:adjustRightInd w:val="0"/>
        <w:spacing w:before="0" w:after="0" w:line="360" w:lineRule="auto"/>
        <w:ind w:firstLine="560"/>
        <w:jc w:val="left"/>
        <w:rPr>
          <w:rFonts w:asciiTheme="minorEastAsia" w:eastAsiaTheme="minorEastAsia" w:hAnsiTheme="minorEastAsia"/>
          <w:kern w:val="0"/>
          <w:sz w:val="24"/>
          <w:lang w:val="zh-CN"/>
        </w:rPr>
      </w:pPr>
      <w:r w:rsidRPr="000A5B5D">
        <w:rPr>
          <w:rFonts w:asciiTheme="minorEastAsia" w:eastAsiaTheme="minorEastAsia" w:hAnsiTheme="minorEastAsia" w:cs="宋体" w:hint="eastAsia"/>
          <w:kern w:val="0"/>
          <w:sz w:val="24"/>
          <w:lang w:val="zh-CN"/>
        </w:rPr>
        <w:t>未来几年，在金融业务领域方面，公司将充分利用互联网、大数据应用和石化产业积累的资源优势发展供应链金融，促进公司</w:t>
      </w:r>
      <w:r w:rsidRPr="000A5B5D">
        <w:rPr>
          <w:rFonts w:asciiTheme="minorEastAsia" w:eastAsiaTheme="minorEastAsia" w:hAnsiTheme="minorEastAsia"/>
          <w:kern w:val="0"/>
          <w:sz w:val="24"/>
          <w:lang w:val="zh-CN"/>
        </w:rPr>
        <w:t>“1+1</w:t>
      </w:r>
      <w:r w:rsidRPr="000A5B5D">
        <w:rPr>
          <w:rFonts w:asciiTheme="minorEastAsia" w:eastAsiaTheme="minorEastAsia" w:hAnsiTheme="minorEastAsia" w:hint="eastAsia"/>
          <w:kern w:val="0"/>
          <w:sz w:val="24"/>
          <w:lang w:val="zh-CN"/>
        </w:rPr>
        <w:t>≥</w:t>
      </w:r>
      <w:r w:rsidRPr="000A5B5D">
        <w:rPr>
          <w:rFonts w:asciiTheme="minorEastAsia" w:eastAsiaTheme="minorEastAsia" w:hAnsiTheme="minorEastAsia"/>
          <w:kern w:val="0"/>
          <w:sz w:val="24"/>
          <w:lang w:val="zh-CN"/>
        </w:rPr>
        <w:t>2</w:t>
      </w:r>
      <w:r w:rsidRPr="000A5B5D">
        <w:rPr>
          <w:rFonts w:asciiTheme="minorEastAsia" w:eastAsiaTheme="minorEastAsia" w:hAnsiTheme="minorEastAsia" w:hint="eastAsia"/>
          <w:kern w:val="0"/>
          <w:sz w:val="24"/>
          <w:lang w:val="zh-CN"/>
        </w:rPr>
        <w:t>”</w:t>
      </w:r>
      <w:r w:rsidRPr="000A5B5D">
        <w:rPr>
          <w:rFonts w:asciiTheme="minorEastAsia" w:eastAsiaTheme="minorEastAsia" w:hAnsiTheme="minorEastAsia" w:cs="宋体" w:hint="eastAsia"/>
          <w:kern w:val="0"/>
          <w:sz w:val="24"/>
          <w:lang w:val="zh-CN"/>
        </w:rPr>
        <w:t>效应的形成。</w:t>
      </w:r>
    </w:p>
    <w:p w:rsidR="00BC4D56" w:rsidRPr="000A5B5D" w:rsidRDefault="00BC4D56" w:rsidP="00852E5D">
      <w:pPr>
        <w:autoSpaceDE w:val="0"/>
        <w:autoSpaceDN w:val="0"/>
        <w:adjustRightInd w:val="0"/>
        <w:spacing w:before="0" w:after="0" w:line="360" w:lineRule="auto"/>
        <w:jc w:val="center"/>
        <w:rPr>
          <w:rFonts w:eastAsia="Times New Roman"/>
          <w:kern w:val="0"/>
          <w:sz w:val="24"/>
          <w:lang w:val="zh-CN"/>
        </w:rPr>
      </w:pPr>
      <w:r w:rsidRPr="000A5B5D">
        <w:rPr>
          <w:rFonts w:ascii="宋体" w:hAnsi="宋体" w:cs="宋体" w:hint="eastAsia"/>
          <w:kern w:val="0"/>
          <w:sz w:val="24"/>
          <w:lang w:val="zh-CN"/>
        </w:rPr>
        <w:t>图：公司所处石化化纤产业链布局</w:t>
      </w:r>
    </w:p>
    <w:p w:rsidR="00BC4D56" w:rsidRPr="000A5B5D" w:rsidRDefault="0024594D" w:rsidP="00852E5D">
      <w:pPr>
        <w:autoSpaceDE w:val="0"/>
        <w:autoSpaceDN w:val="0"/>
        <w:adjustRightInd w:val="0"/>
        <w:spacing w:line="360" w:lineRule="auto"/>
        <w:jc w:val="center"/>
        <w:rPr>
          <w:rFonts w:eastAsia="Times New Roman"/>
          <w:kern w:val="0"/>
          <w:lang w:val="zh-CN"/>
        </w:rPr>
      </w:pPr>
      <w:r w:rsidRPr="000A5B5D">
        <w:rPr>
          <w:noProof/>
        </w:rPr>
        <w:lastRenderedPageBreak/>
        <mc:AlternateContent>
          <mc:Choice Requires="wpg">
            <w:drawing>
              <wp:inline distT="0" distB="0" distL="0" distR="0">
                <wp:extent cx="6099810" cy="6370320"/>
                <wp:effectExtent l="0" t="0" r="15240" b="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9810" cy="6370320"/>
                          <a:chOff x="1800" y="1548"/>
                          <a:chExt cx="7963" cy="7903"/>
                        </a:xfrm>
                      </wpg:grpSpPr>
                      <wpg:grpSp>
                        <wpg:cNvPr id="10" name="Group 3"/>
                        <wpg:cNvGrpSpPr>
                          <a:grpSpLocks/>
                        </wpg:cNvGrpSpPr>
                        <wpg:grpSpPr bwMode="auto">
                          <a:xfrm>
                            <a:off x="1800" y="1548"/>
                            <a:ext cx="7963" cy="7903"/>
                            <a:chOff x="2070" y="3515"/>
                            <a:chExt cx="8370" cy="9812"/>
                          </a:xfrm>
                        </wpg:grpSpPr>
                        <wpg:grpSp>
                          <wpg:cNvPr id="11" name="Group 3"/>
                          <wpg:cNvGrpSpPr>
                            <a:grpSpLocks/>
                          </wpg:cNvGrpSpPr>
                          <wpg:grpSpPr bwMode="auto">
                            <a:xfrm>
                              <a:off x="2070" y="3515"/>
                              <a:ext cx="630" cy="9812"/>
                              <a:chOff x="2070" y="3515"/>
                              <a:chExt cx="630" cy="9812"/>
                            </a:xfrm>
                          </wpg:grpSpPr>
                          <wps:wsp>
                            <wps:cNvPr id="12" name="Line 4"/>
                            <wps:cNvCnPr>
                              <a:cxnSpLocks noChangeShapeType="1"/>
                            </wps:cNvCnPr>
                            <wps:spPr bwMode="auto">
                              <a:xfrm>
                                <a:off x="2520" y="12048"/>
                                <a:ext cx="0" cy="1092"/>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cNvPr id="13" name="Group 5"/>
                            <wpg:cNvGrpSpPr>
                              <a:grpSpLocks/>
                            </wpg:cNvGrpSpPr>
                            <wpg:grpSpPr bwMode="auto">
                              <a:xfrm>
                                <a:off x="2070" y="3515"/>
                                <a:ext cx="630" cy="9812"/>
                                <a:chOff x="2070" y="3515"/>
                                <a:chExt cx="630" cy="9812"/>
                              </a:xfrm>
                            </wpg:grpSpPr>
                            <wps:wsp>
                              <wps:cNvPr id="14" name="Line 6"/>
                              <wps:cNvCnPr>
                                <a:cxnSpLocks noChangeShapeType="1"/>
                              </wps:cNvCnPr>
                              <wps:spPr bwMode="auto">
                                <a:xfrm>
                                  <a:off x="2520" y="3515"/>
                                  <a:ext cx="0" cy="1669"/>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5" name="Line 7"/>
                              <wps:cNvCnPr>
                                <a:cxnSpLocks noChangeShapeType="1"/>
                              </wps:cNvCnPr>
                              <wps:spPr bwMode="auto">
                                <a:xfrm>
                                  <a:off x="2520" y="5184"/>
                                  <a:ext cx="0" cy="1716"/>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6" name="Line 8"/>
                              <wps:cNvCnPr>
                                <a:cxnSpLocks noChangeShapeType="1"/>
                              </wps:cNvCnPr>
                              <wps:spPr bwMode="auto">
                                <a:xfrm>
                                  <a:off x="2520" y="6900"/>
                                  <a:ext cx="0" cy="5148"/>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7" name="Rectangle 9"/>
                              <wps:cNvSpPr>
                                <a:spLocks noChangeArrowheads="1"/>
                              </wps:cNvSpPr>
                              <wps:spPr bwMode="auto">
                                <a:xfrm>
                                  <a:off x="2070" y="3619"/>
                                  <a:ext cx="630" cy="1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pPr>
                                      <w:jc w:val="center"/>
                                      <w:rPr>
                                        <w:color w:val="333399"/>
                                      </w:rPr>
                                    </w:pPr>
                                    <w:r>
                                      <w:rPr>
                                        <w:rFonts w:cs="宋体" w:hint="eastAsia"/>
                                        <w:color w:val="333399"/>
                                      </w:rPr>
                                      <w:t>炼油行业</w:t>
                                    </w:r>
                                  </w:p>
                                </w:txbxContent>
                              </wps:txbx>
                              <wps:bodyPr rot="0" vert="eaVert" wrap="square" lIns="91440" tIns="45720" rIns="91440" bIns="45720" anchor="t" anchorCtr="0" upright="1">
                                <a:noAutofit/>
                              </wps:bodyPr>
                            </wps:wsp>
                            <wps:wsp>
                              <wps:cNvPr id="18" name="Rectangle 10"/>
                              <wps:cNvSpPr>
                                <a:spLocks noChangeArrowheads="1"/>
                              </wps:cNvSpPr>
                              <wps:spPr bwMode="auto">
                                <a:xfrm>
                                  <a:off x="2070" y="5496"/>
                                  <a:ext cx="630" cy="1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pPr>
                                      <w:jc w:val="center"/>
                                      <w:rPr>
                                        <w:color w:val="333399"/>
                                      </w:rPr>
                                    </w:pPr>
                                    <w:r>
                                      <w:rPr>
                                        <w:rFonts w:cs="宋体" w:hint="eastAsia"/>
                                        <w:color w:val="333399"/>
                                      </w:rPr>
                                      <w:t>石油化工</w:t>
                                    </w:r>
                                  </w:p>
                                </w:txbxContent>
                              </wps:txbx>
                              <wps:bodyPr rot="0" vert="eaVert" wrap="square" lIns="91440" tIns="45720" rIns="91440" bIns="45720" anchor="t" anchorCtr="0" upright="1">
                                <a:noAutofit/>
                              </wps:bodyPr>
                            </wps:wsp>
                            <wps:wsp>
                              <wps:cNvPr id="19" name="Rectangle 11"/>
                              <wps:cNvSpPr>
                                <a:spLocks noChangeArrowheads="1"/>
                              </wps:cNvSpPr>
                              <wps:spPr bwMode="auto">
                                <a:xfrm>
                                  <a:off x="2070" y="8148"/>
                                  <a:ext cx="630" cy="1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pPr>
                                      <w:jc w:val="center"/>
                                      <w:rPr>
                                        <w:color w:val="333399"/>
                                      </w:rPr>
                                    </w:pPr>
                                    <w:r>
                                      <w:rPr>
                                        <w:rFonts w:cs="宋体" w:hint="eastAsia"/>
                                        <w:color w:val="333399"/>
                                      </w:rPr>
                                      <w:t>化学纤维制造</w:t>
                                    </w:r>
                                  </w:p>
                                </w:txbxContent>
                              </wps:txbx>
                              <wps:bodyPr rot="0" vert="eaVert" wrap="square" lIns="91440" tIns="45720" rIns="91440" bIns="45720" anchor="t" anchorCtr="0" upright="1">
                                <a:noAutofit/>
                              </wps:bodyPr>
                            </wps:wsp>
                            <wps:wsp>
                              <wps:cNvPr id="20" name="Rectangle 12"/>
                              <wps:cNvSpPr>
                                <a:spLocks noChangeArrowheads="1"/>
                              </wps:cNvSpPr>
                              <wps:spPr bwMode="auto">
                                <a:xfrm>
                                  <a:off x="2070" y="12047"/>
                                  <a:ext cx="630" cy="1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pPr>
                                      <w:jc w:val="center"/>
                                      <w:rPr>
                                        <w:color w:val="333399"/>
                                      </w:rPr>
                                    </w:pPr>
                                    <w:r>
                                      <w:rPr>
                                        <w:rFonts w:cs="宋体" w:hint="eastAsia"/>
                                        <w:color w:val="333399"/>
                                      </w:rPr>
                                      <w:t>纺织行业</w:t>
                                    </w:r>
                                  </w:p>
                                </w:txbxContent>
                              </wps:txbx>
                              <wps:bodyPr rot="0" vert="eaVert" wrap="square" lIns="91440" tIns="45720" rIns="91440" bIns="45720" anchor="t" anchorCtr="0" upright="1">
                                <a:noAutofit/>
                              </wps:bodyPr>
                            </wps:wsp>
                          </wpg:grpSp>
                        </wpg:grpSp>
                        <wpg:grpSp>
                          <wpg:cNvPr id="21" name="Group 13"/>
                          <wpg:cNvGrpSpPr>
                            <a:grpSpLocks/>
                          </wpg:cNvGrpSpPr>
                          <wpg:grpSpPr bwMode="auto">
                            <a:xfrm>
                              <a:off x="2160" y="3619"/>
                              <a:ext cx="8280" cy="9441"/>
                              <a:chOff x="2160" y="3619"/>
                              <a:chExt cx="8280" cy="9441"/>
                            </a:xfrm>
                          </wpg:grpSpPr>
                          <wps:wsp>
                            <wps:cNvPr id="22" name="Line 16"/>
                            <wps:cNvCnPr>
                              <a:cxnSpLocks noChangeShapeType="1"/>
                            </wps:cNvCnPr>
                            <wps:spPr bwMode="auto">
                              <a:xfrm>
                                <a:off x="2160" y="12068"/>
                                <a:ext cx="8280" cy="0"/>
                              </a:xfrm>
                              <a:prstGeom prst="line">
                                <a:avLst/>
                              </a:prstGeom>
                              <a:noFill/>
                              <a:ln w="19050">
                                <a:solidFill>
                                  <a:srgbClr val="666699"/>
                                </a:solidFill>
                                <a:prstDash val="dash"/>
                                <a:round/>
                                <a:headEnd/>
                                <a:tailEnd/>
                              </a:ln>
                              <a:extLst>
                                <a:ext uri="{909E8E84-426E-40DD-AFC4-6F175D3DCCD1}">
                                  <a14:hiddenFill xmlns:a14="http://schemas.microsoft.com/office/drawing/2010/main">
                                    <a:noFill/>
                                  </a14:hiddenFill>
                                </a:ext>
                              </a:extLst>
                            </wps:spPr>
                            <wps:bodyPr/>
                          </wps:wsp>
                          <wps:wsp>
                            <wps:cNvPr id="23" name="Rectangle 17"/>
                            <wps:cNvSpPr>
                              <a:spLocks noChangeArrowheads="1"/>
                            </wps:cNvSpPr>
                            <wps:spPr bwMode="auto">
                              <a:xfrm>
                                <a:off x="3240" y="12204"/>
                                <a:ext cx="540" cy="312"/>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p>
                              </w:txbxContent>
                            </wps:txbx>
                            <wps:bodyPr rot="0" vert="horz" wrap="square" lIns="91440" tIns="45720" rIns="91440" bIns="45720" anchor="t" anchorCtr="0" upright="1">
                              <a:noAutofit/>
                            </wps:bodyPr>
                          </wps:wsp>
                          <wps:wsp>
                            <wps:cNvPr id="24" name="Rectangle 18"/>
                            <wps:cNvSpPr>
                              <a:spLocks noChangeArrowheads="1"/>
                            </wps:cNvSpPr>
                            <wps:spPr bwMode="auto">
                              <a:xfrm>
                                <a:off x="2823" y="12513"/>
                                <a:ext cx="1530"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r>
                                    <w:rPr>
                                      <w:rFonts w:cs="宋体" w:hint="eastAsia"/>
                                    </w:rPr>
                                    <w:t>公司经营业务</w:t>
                                  </w:r>
                                </w:p>
                              </w:txbxContent>
                            </wps:txbx>
                            <wps:bodyPr rot="0" vert="horz" wrap="square" lIns="91440" tIns="45720" rIns="91440" bIns="45720" anchor="t" anchorCtr="0" upright="1">
                              <a:noAutofit/>
                            </wps:bodyPr>
                          </wps:wsp>
                          <wpg:grpSp>
                            <wpg:cNvPr id="25" name="Group 22"/>
                            <wpg:cNvGrpSpPr>
                              <a:grpSpLocks/>
                            </wpg:cNvGrpSpPr>
                            <wpg:grpSpPr bwMode="auto">
                              <a:xfrm>
                                <a:off x="2160" y="3619"/>
                                <a:ext cx="8280" cy="8349"/>
                                <a:chOff x="2160" y="3619"/>
                                <a:chExt cx="8280" cy="8349"/>
                              </a:xfrm>
                            </wpg:grpSpPr>
                            <wps:wsp>
                              <wps:cNvPr id="26" name="Line 43"/>
                              <wps:cNvCnPr>
                                <a:cxnSpLocks noChangeShapeType="1"/>
                              </wps:cNvCnPr>
                              <wps:spPr bwMode="auto">
                                <a:xfrm>
                                  <a:off x="4320" y="6588"/>
                                  <a:ext cx="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55"/>
                              <wps:cNvCnPr>
                                <a:cxnSpLocks noChangeShapeType="1"/>
                              </wps:cNvCnPr>
                              <wps:spPr bwMode="auto">
                                <a:xfrm>
                                  <a:off x="8640" y="11112"/>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44"/>
                              <wps:cNvCnPr>
                                <a:cxnSpLocks noChangeShapeType="1"/>
                              </wps:cNvCnPr>
                              <wps:spPr bwMode="auto">
                                <a:xfrm>
                                  <a:off x="4320" y="7680"/>
                                  <a:ext cx="0"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Rectangle 23"/>
                              <wps:cNvSpPr>
                                <a:spLocks noChangeArrowheads="1"/>
                              </wps:cNvSpPr>
                              <wps:spPr bwMode="auto">
                                <a:xfrm>
                                  <a:off x="3420" y="5340"/>
                                  <a:ext cx="1620" cy="468"/>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苯</w:t>
                                    </w:r>
                                  </w:p>
                                </w:txbxContent>
                              </wps:txbx>
                              <wps:bodyPr rot="0" vert="horz" wrap="square" lIns="91440" tIns="45720" rIns="91440" bIns="45720" anchor="t" anchorCtr="0" upright="1">
                                <a:noAutofit/>
                              </wps:bodyPr>
                            </wps:wsp>
                            <wps:wsp>
                              <wps:cNvPr id="30" name="Rectangle 24"/>
                              <wps:cNvSpPr>
                                <a:spLocks noChangeArrowheads="1"/>
                              </wps:cNvSpPr>
                              <wps:spPr bwMode="auto">
                                <a:xfrm>
                                  <a:off x="3420" y="6120"/>
                                  <a:ext cx="1620" cy="624"/>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己内酰胺</w:t>
                                    </w:r>
                                    <w:r>
                                      <w:rPr>
                                        <w:color w:val="FFFFFF"/>
                                      </w:rPr>
                                      <w:t>CPL</w:t>
                                    </w:r>
                                  </w:p>
                                </w:txbxContent>
                              </wps:txbx>
                              <wps:bodyPr rot="0" vert="horz" wrap="square" lIns="91440" tIns="45720" rIns="91440" bIns="45720" anchor="t" anchorCtr="0" upright="1">
                                <a:noAutofit/>
                              </wps:bodyPr>
                            </wps:wsp>
                            <wps:wsp>
                              <wps:cNvPr id="31" name="Rectangle 25"/>
                              <wps:cNvSpPr>
                                <a:spLocks noChangeArrowheads="1"/>
                              </wps:cNvSpPr>
                              <wps:spPr bwMode="auto">
                                <a:xfrm>
                                  <a:off x="3420" y="7212"/>
                                  <a:ext cx="1620" cy="565"/>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聚酰胺</w:t>
                                    </w:r>
                                    <w:r>
                                      <w:rPr>
                                        <w:color w:val="FFFFFF"/>
                                      </w:rPr>
                                      <w:t>PA</w:t>
                                    </w:r>
                                  </w:p>
                                </w:txbxContent>
                              </wps:txbx>
                              <wps:bodyPr rot="0" vert="horz" wrap="square" lIns="91440" tIns="45720" rIns="91440" bIns="45720" anchor="t" anchorCtr="0" upright="1">
                                <a:noAutofit/>
                              </wps:bodyPr>
                            </wps:wsp>
                            <wps:wsp>
                              <wps:cNvPr id="64" name="Rectangle 26"/>
                              <wps:cNvSpPr>
                                <a:spLocks noChangeArrowheads="1"/>
                              </wps:cNvSpPr>
                              <wps:spPr bwMode="auto">
                                <a:xfrm>
                                  <a:off x="3420" y="8148"/>
                                  <a:ext cx="1620" cy="538"/>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尼龙切片</w:t>
                                    </w:r>
                                  </w:p>
                                </w:txbxContent>
                              </wps:txbx>
                              <wps:bodyPr rot="0" vert="horz" wrap="square" lIns="91440" tIns="45720" rIns="91440" bIns="45720" anchor="t" anchorCtr="0" upright="1">
                                <a:noAutofit/>
                              </wps:bodyPr>
                            </wps:wsp>
                            <wps:wsp>
                              <wps:cNvPr id="65" name="Rectangle 28"/>
                              <wps:cNvSpPr>
                                <a:spLocks noChangeArrowheads="1"/>
                              </wps:cNvSpPr>
                              <wps:spPr bwMode="auto">
                                <a:xfrm>
                                  <a:off x="5220" y="8148"/>
                                  <a:ext cx="1620" cy="538"/>
                                </a:xfrm>
                                <a:prstGeom prst="rect">
                                  <a:avLst/>
                                </a:prstGeom>
                                <a:solidFill>
                                  <a:srgbClr val="00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薄膜级切片</w:t>
                                    </w:r>
                                  </w:p>
                                </w:txbxContent>
                              </wps:txbx>
                              <wps:bodyPr rot="0" vert="horz" wrap="square" lIns="91440" tIns="45720" rIns="91440" bIns="45720" anchor="t" anchorCtr="0" upright="1">
                                <a:noAutofit/>
                              </wps:bodyPr>
                            </wps:wsp>
                            <wps:wsp>
                              <wps:cNvPr id="66" name="Rectangle 29"/>
                              <wps:cNvSpPr>
                                <a:spLocks noChangeArrowheads="1"/>
                              </wps:cNvSpPr>
                              <wps:spPr bwMode="auto">
                                <a:xfrm>
                                  <a:off x="7020" y="8148"/>
                                  <a:ext cx="1620" cy="538"/>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瓶级切片</w:t>
                                    </w:r>
                                  </w:p>
                                </w:txbxContent>
                              </wps:txbx>
                              <wps:bodyPr rot="0" vert="horz" wrap="square" lIns="91440" tIns="45720" rIns="91440" bIns="45720" anchor="t" anchorCtr="0" upright="1">
                                <a:noAutofit/>
                              </wps:bodyPr>
                            </wps:wsp>
                            <wps:wsp>
                              <wps:cNvPr id="67" name="Rectangle 30"/>
                              <wps:cNvSpPr>
                                <a:spLocks noChangeArrowheads="1"/>
                              </wps:cNvSpPr>
                              <wps:spPr bwMode="auto">
                                <a:xfrm>
                                  <a:off x="8820" y="8148"/>
                                  <a:ext cx="1620" cy="538"/>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纤维级切片</w:t>
                                    </w:r>
                                  </w:p>
                                </w:txbxContent>
                              </wps:txbx>
                              <wps:bodyPr rot="0" vert="horz" wrap="square" lIns="91440" tIns="45720" rIns="91440" bIns="45720" anchor="t" anchorCtr="0" upright="1">
                                <a:noAutofit/>
                              </wps:bodyPr>
                            </wps:wsp>
                            <wps:wsp>
                              <wps:cNvPr id="68" name="Rectangle 31"/>
                              <wps:cNvSpPr>
                                <a:spLocks noChangeArrowheads="1"/>
                              </wps:cNvSpPr>
                              <wps:spPr bwMode="auto">
                                <a:xfrm>
                                  <a:off x="3163" y="9204"/>
                                  <a:ext cx="622" cy="1248"/>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锦纶长丝</w:t>
                                    </w:r>
                                  </w:p>
                                </w:txbxContent>
                              </wps:txbx>
                              <wps:bodyPr rot="0" vert="eaVert" wrap="square" lIns="91440" tIns="45720" rIns="91440" bIns="45720" anchor="t" anchorCtr="0" upright="1">
                                <a:noAutofit/>
                              </wps:bodyPr>
                            </wps:wsp>
                            <wps:wsp>
                              <wps:cNvPr id="69" name="Rectangle 32"/>
                              <wps:cNvSpPr>
                                <a:spLocks noChangeArrowheads="1"/>
                              </wps:cNvSpPr>
                              <wps:spPr bwMode="auto">
                                <a:xfrm>
                                  <a:off x="4063" y="9204"/>
                                  <a:ext cx="622" cy="1248"/>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锦纶短丝</w:t>
                                    </w:r>
                                  </w:p>
                                </w:txbxContent>
                              </wps:txbx>
                              <wps:bodyPr rot="0" vert="eaVert" wrap="square" lIns="91440" tIns="45720" rIns="91440" bIns="45720" anchor="t" anchorCtr="0" upright="1">
                                <a:noAutofit/>
                              </wps:bodyPr>
                            </wps:wsp>
                            <wps:wsp>
                              <wps:cNvPr id="32" name="Rectangle 33"/>
                              <wps:cNvSpPr>
                                <a:spLocks noChangeArrowheads="1"/>
                              </wps:cNvSpPr>
                              <wps:spPr bwMode="auto">
                                <a:xfrm>
                                  <a:off x="4963" y="9204"/>
                                  <a:ext cx="622" cy="1248"/>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工业丝</w:t>
                                    </w:r>
                                  </w:p>
                                </w:txbxContent>
                              </wps:txbx>
                              <wps:bodyPr rot="0" vert="eaVert" wrap="square" lIns="91440" tIns="45720" rIns="91440" bIns="45720" anchor="t" anchorCtr="0" upright="1">
                                <a:noAutofit/>
                              </wps:bodyPr>
                            </wps:wsp>
                            <wps:wsp>
                              <wps:cNvPr id="33" name="Rectangle 34"/>
                              <wps:cNvSpPr>
                                <a:spLocks noChangeArrowheads="1"/>
                              </wps:cNvSpPr>
                              <wps:spPr bwMode="auto">
                                <a:xfrm>
                                  <a:off x="7099" y="9084"/>
                                  <a:ext cx="641" cy="1327"/>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工业丝</w:t>
                                    </w:r>
                                  </w:p>
                                </w:txbxContent>
                              </wps:txbx>
                              <wps:bodyPr rot="0" vert="eaVert" wrap="square" lIns="91440" tIns="45720" rIns="91440" bIns="45720" anchor="t" anchorCtr="0" upright="1">
                                <a:noAutofit/>
                              </wps:bodyPr>
                            </wps:wsp>
                            <wps:wsp>
                              <wps:cNvPr id="34" name="Rectangle 35"/>
                              <wps:cNvSpPr>
                                <a:spLocks noChangeArrowheads="1"/>
                              </wps:cNvSpPr>
                              <wps:spPr bwMode="auto">
                                <a:xfrm>
                                  <a:off x="8062" y="9083"/>
                                  <a:ext cx="1080" cy="1327"/>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color w:val="FFFFFF"/>
                                      </w:rPr>
                                      <w:t>POY/FDY</w:t>
                                    </w:r>
                                  </w:p>
                                  <w:p w:rsidR="00CE488F" w:rsidRDefault="00CE488F" w:rsidP="00852E5D">
                                    <w:pPr>
                                      <w:jc w:val="center"/>
                                      <w:rPr>
                                        <w:color w:val="FFFFFF"/>
                                      </w:rPr>
                                    </w:pPr>
                                    <w:r>
                                      <w:rPr>
                                        <w:rFonts w:cs="宋体" w:hint="eastAsia"/>
                                        <w:color w:val="FFFFFF"/>
                                      </w:rPr>
                                      <w:t>涤纶长丝</w:t>
                                    </w:r>
                                  </w:p>
                                </w:txbxContent>
                              </wps:txbx>
                              <wps:bodyPr rot="0" vert="eaVert" wrap="square" lIns="91440" tIns="45720" rIns="91440" bIns="45720" anchor="t" anchorCtr="0" upright="1">
                                <a:noAutofit/>
                              </wps:bodyPr>
                            </wps:wsp>
                            <wps:wsp>
                              <wps:cNvPr id="35" name="Rectangle 36"/>
                              <wps:cNvSpPr>
                                <a:spLocks noChangeArrowheads="1"/>
                              </wps:cNvSpPr>
                              <wps:spPr bwMode="auto">
                                <a:xfrm>
                                  <a:off x="9259" y="9084"/>
                                  <a:ext cx="641" cy="1327"/>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涤纶短纤</w:t>
                                    </w:r>
                                  </w:p>
                                </w:txbxContent>
                              </wps:txbx>
                              <wps:bodyPr rot="0" vert="eaVert" wrap="square" lIns="91440" tIns="45720" rIns="91440" bIns="45720" anchor="t" anchorCtr="0" upright="1">
                                <a:noAutofit/>
                              </wps:bodyPr>
                            </wps:wsp>
                            <wps:wsp>
                              <wps:cNvPr id="36" name="Rectangle 37"/>
                              <wps:cNvSpPr>
                                <a:spLocks noChangeArrowheads="1"/>
                              </wps:cNvSpPr>
                              <wps:spPr bwMode="auto">
                                <a:xfrm>
                                  <a:off x="8100" y="10642"/>
                                  <a:ext cx="1800" cy="571"/>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涤纶长丝（</w:t>
                                    </w:r>
                                    <w:r>
                                      <w:rPr>
                                        <w:color w:val="FFFFFF"/>
                                      </w:rPr>
                                      <w:t>DTY</w:t>
                                    </w:r>
                                    <w:r>
                                      <w:rPr>
                                        <w:rFonts w:cs="宋体" w:hint="eastAsia"/>
                                        <w:color w:val="FFFFFF"/>
                                      </w:rPr>
                                      <w:t>）</w:t>
                                    </w:r>
                                  </w:p>
                                </w:txbxContent>
                              </wps:txbx>
                              <wps:bodyPr rot="0" vert="horz" wrap="square" lIns="91440" tIns="45720" rIns="91440" bIns="45720" anchor="t" anchorCtr="0" upright="1">
                                <a:noAutofit/>
                              </wps:bodyPr>
                            </wps:wsp>
                            <wps:wsp>
                              <wps:cNvPr id="37" name="Rectangle 38"/>
                              <wps:cNvSpPr>
                                <a:spLocks noChangeArrowheads="1"/>
                              </wps:cNvSpPr>
                              <wps:spPr bwMode="auto">
                                <a:xfrm>
                                  <a:off x="8100" y="11421"/>
                                  <a:ext cx="1800" cy="547"/>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织造业</w:t>
                                    </w:r>
                                  </w:p>
                                </w:txbxContent>
                              </wps:txbx>
                              <wps:bodyPr rot="0" vert="horz" wrap="square" lIns="91440" tIns="45720" rIns="91440" bIns="45720" anchor="t" anchorCtr="0" upright="1">
                                <a:noAutofit/>
                              </wps:bodyPr>
                            </wps:wsp>
                            <wps:wsp>
                              <wps:cNvPr id="38" name="Line 39"/>
                              <wps:cNvCnPr>
                                <a:cxnSpLocks noChangeShapeType="1"/>
                              </wps:cNvCnPr>
                              <wps:spPr bwMode="auto">
                                <a:xfrm>
                                  <a:off x="4320" y="3791"/>
                                  <a:ext cx="0" cy="15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40"/>
                              <wps:cNvCnPr>
                                <a:cxnSpLocks noChangeShapeType="1"/>
                              </wps:cNvCnPr>
                              <wps:spPr bwMode="auto">
                                <a:xfrm>
                                  <a:off x="4320" y="5808"/>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1"/>
                              <wps:cNvCnPr>
                                <a:cxnSpLocks noChangeShapeType="1"/>
                              </wps:cNvCnPr>
                              <wps:spPr bwMode="auto">
                                <a:xfrm flipH="1">
                                  <a:off x="8100" y="6588"/>
                                  <a:ext cx="90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6660" y="6588"/>
                                  <a:ext cx="108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Line 45"/>
                              <wps:cNvCnPr>
                                <a:cxnSpLocks noChangeShapeType="1"/>
                              </wps:cNvCnPr>
                              <wps:spPr bwMode="auto">
                                <a:xfrm flipH="1">
                                  <a:off x="5940" y="7680"/>
                                  <a:ext cx="1620"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46"/>
                              <wps:cNvCnPr>
                                <a:cxnSpLocks noChangeShapeType="1"/>
                              </wps:cNvCnPr>
                              <wps:spPr bwMode="auto">
                                <a:xfrm>
                                  <a:off x="8280" y="7680"/>
                                  <a:ext cx="1620"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Line 47"/>
                              <wps:cNvCnPr>
                                <a:cxnSpLocks noChangeShapeType="1"/>
                              </wps:cNvCnPr>
                              <wps:spPr bwMode="auto">
                                <a:xfrm>
                                  <a:off x="7920" y="7680"/>
                                  <a:ext cx="0"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Line 48"/>
                              <wps:cNvCnPr>
                                <a:cxnSpLocks noChangeShapeType="1"/>
                              </wps:cNvCnPr>
                              <wps:spPr bwMode="auto">
                                <a:xfrm flipH="1">
                                  <a:off x="8640" y="8686"/>
                                  <a:ext cx="99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49"/>
                              <wps:cNvCnPr>
                                <a:cxnSpLocks noChangeShapeType="1"/>
                              </wps:cNvCnPr>
                              <wps:spPr bwMode="auto">
                                <a:xfrm flipH="1">
                                  <a:off x="7380" y="8686"/>
                                  <a:ext cx="225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50"/>
                              <wps:cNvCnPr>
                                <a:cxnSpLocks noChangeShapeType="1"/>
                              </wps:cNvCnPr>
                              <wps:spPr bwMode="auto">
                                <a:xfrm flipH="1">
                                  <a:off x="9540" y="8686"/>
                                  <a:ext cx="9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51"/>
                              <wps:cNvCnPr>
                                <a:cxnSpLocks noChangeShapeType="1"/>
                              </wps:cNvCnPr>
                              <wps:spPr bwMode="auto">
                                <a:xfrm>
                                  <a:off x="4230" y="8686"/>
                                  <a:ext cx="144" cy="5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52"/>
                              <wps:cNvCnPr>
                                <a:cxnSpLocks noChangeShapeType="1"/>
                              </wps:cNvCnPr>
                              <wps:spPr bwMode="auto">
                                <a:xfrm flipH="1">
                                  <a:off x="3474" y="8686"/>
                                  <a:ext cx="756" cy="5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Line 53"/>
                              <wps:cNvCnPr>
                                <a:cxnSpLocks noChangeShapeType="1"/>
                              </wps:cNvCnPr>
                              <wps:spPr bwMode="auto">
                                <a:xfrm>
                                  <a:off x="4230" y="8686"/>
                                  <a:ext cx="1044" cy="5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Line 54"/>
                              <wps:cNvCnPr>
                                <a:cxnSpLocks noChangeShapeType="1"/>
                              </wps:cNvCnPr>
                              <wps:spPr bwMode="auto">
                                <a:xfrm>
                                  <a:off x="8640" y="10332"/>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58"/>
                              <wps:cNvCnPr>
                                <a:cxnSpLocks noChangeShapeType="1"/>
                              </wps:cNvCnPr>
                              <wps:spPr bwMode="auto">
                                <a:xfrm>
                                  <a:off x="2160" y="5290"/>
                                  <a:ext cx="8280" cy="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53" name="Line 59"/>
                              <wps:cNvCnPr>
                                <a:cxnSpLocks noChangeShapeType="1"/>
                              </wps:cNvCnPr>
                              <wps:spPr bwMode="auto">
                                <a:xfrm>
                                  <a:off x="2160" y="7033"/>
                                  <a:ext cx="8280" cy="0"/>
                                </a:xfrm>
                                <a:prstGeom prst="line">
                                  <a:avLst/>
                                </a:prstGeom>
                                <a:noFill/>
                                <a:ln w="19050">
                                  <a:solidFill>
                                    <a:srgbClr val="666699"/>
                                  </a:solidFill>
                                  <a:prstDash val="dash"/>
                                  <a:round/>
                                  <a:headEnd/>
                                  <a:tailEnd/>
                                </a:ln>
                                <a:extLst>
                                  <a:ext uri="{909E8E84-426E-40DD-AFC4-6F175D3DCCD1}">
                                    <a14:hiddenFill xmlns:a14="http://schemas.microsoft.com/office/drawing/2010/main">
                                      <a:noFill/>
                                    </a14:hiddenFill>
                                  </a:ext>
                                </a:extLst>
                              </wps:spPr>
                              <wps:bodyPr/>
                            </wps:wsp>
                            <wps:wsp>
                              <wps:cNvPr id="54" name="Line 62"/>
                              <wps:cNvCnPr>
                                <a:cxnSpLocks noChangeShapeType="1"/>
                              </wps:cNvCnPr>
                              <wps:spPr bwMode="auto">
                                <a:xfrm>
                                  <a:off x="9540" y="10411"/>
                                  <a:ext cx="0" cy="1013"/>
                                </a:xfrm>
                                <a:prstGeom prst="line">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5" name="Line 63"/>
                              <wps:cNvCnPr>
                                <a:cxnSpLocks noChangeShapeType="1"/>
                              </wps:cNvCnPr>
                              <wps:spPr bwMode="auto">
                                <a:xfrm>
                                  <a:off x="8280" y="7680"/>
                                  <a:ext cx="0" cy="1404"/>
                                </a:xfrm>
                                <a:prstGeom prst="line">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6" name="Line 64"/>
                              <wps:cNvCnPr>
                                <a:cxnSpLocks noChangeShapeType="1"/>
                              </wps:cNvCnPr>
                              <wps:spPr bwMode="auto">
                                <a:xfrm>
                                  <a:off x="8460" y="10411"/>
                                  <a:ext cx="0" cy="1013"/>
                                </a:xfrm>
                                <a:prstGeom prst="line">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7" name="Line 68"/>
                              <wps:cNvCnPr>
                                <a:cxnSpLocks noChangeShapeType="1"/>
                              </wps:cNvCnPr>
                              <wps:spPr bwMode="auto">
                                <a:xfrm flipH="1">
                                  <a:off x="4320" y="3780"/>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8" name="Group 69"/>
                              <wpg:cNvGrpSpPr>
                                <a:grpSpLocks/>
                              </wpg:cNvGrpSpPr>
                              <wpg:grpSpPr bwMode="auto">
                                <a:xfrm>
                                  <a:off x="5940" y="3619"/>
                                  <a:ext cx="4140" cy="3125"/>
                                  <a:chOff x="5940" y="3619"/>
                                  <a:chExt cx="4140" cy="3125"/>
                                </a:xfrm>
                              </wpg:grpSpPr>
                              <wps:wsp>
                                <wps:cNvPr id="59" name="Line 83"/>
                                <wps:cNvCnPr>
                                  <a:cxnSpLocks noChangeShapeType="1"/>
                                </wps:cNvCnPr>
                                <wps:spPr bwMode="auto">
                                  <a:xfrm>
                                    <a:off x="7200" y="3936"/>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Rectangle 70"/>
                                <wps:cNvSpPr>
                                  <a:spLocks noChangeArrowheads="1"/>
                                </wps:cNvSpPr>
                                <wps:spPr bwMode="auto">
                                  <a:xfrm>
                                    <a:off x="6660" y="3619"/>
                                    <a:ext cx="1080" cy="468"/>
                                  </a:xfrm>
                                  <a:prstGeom prst="rect">
                                    <a:avLst/>
                                  </a:prstGeom>
                                  <a:solidFill>
                                    <a:srgbClr val="33CCCC"/>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石油</w:t>
                                      </w:r>
                                    </w:p>
                                  </w:txbxContent>
                                </wps:txbx>
                                <wps:bodyPr rot="0" vert="horz" wrap="square" lIns="91440" tIns="45720" rIns="91440" bIns="45720" anchor="t" anchorCtr="0" upright="1">
                                  <a:noAutofit/>
                                </wps:bodyPr>
                              </wps:wsp>
                              <wps:wsp>
                                <wps:cNvPr id="61" name="Rectangle 71"/>
                                <wps:cNvSpPr>
                                  <a:spLocks noChangeArrowheads="1"/>
                                </wps:cNvSpPr>
                                <wps:spPr bwMode="auto">
                                  <a:xfrm>
                                    <a:off x="6660" y="4248"/>
                                    <a:ext cx="1080" cy="468"/>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石脑油</w:t>
                                      </w:r>
                                    </w:p>
                                  </w:txbxContent>
                                </wps:txbx>
                                <wps:bodyPr rot="0" vert="horz" wrap="square" lIns="91440" tIns="45720" rIns="91440" bIns="45720" anchor="t" anchorCtr="0" upright="1">
                                  <a:noAutofit/>
                                </wps:bodyPr>
                              </wps:wsp>
                              <wps:wsp>
                                <wps:cNvPr id="62" name="Rectangle 73"/>
                                <wps:cNvSpPr>
                                  <a:spLocks noChangeArrowheads="1"/>
                                </wps:cNvSpPr>
                                <wps:spPr bwMode="auto">
                                  <a:xfrm>
                                    <a:off x="8280" y="5340"/>
                                    <a:ext cx="1440" cy="468"/>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对二甲苯</w:t>
                                      </w:r>
                                      <w:r>
                                        <w:rPr>
                                          <w:color w:val="FFFFFF"/>
                                        </w:rPr>
                                        <w:t>(PX)</w:t>
                                      </w:r>
                                    </w:p>
                                  </w:txbxContent>
                                </wps:txbx>
                                <wps:bodyPr rot="0" vert="horz" wrap="square" lIns="91440" tIns="45720" rIns="91440" bIns="45720" anchor="t" anchorCtr="0" upright="1">
                                  <a:noAutofit/>
                                </wps:bodyPr>
                              </wps:wsp>
                              <wps:wsp>
                                <wps:cNvPr id="63" name="Rectangle 74"/>
                                <wps:cNvSpPr>
                                  <a:spLocks noChangeArrowheads="1"/>
                                </wps:cNvSpPr>
                                <wps:spPr bwMode="auto">
                                  <a:xfrm>
                                    <a:off x="5940" y="5340"/>
                                    <a:ext cx="1440" cy="468"/>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乙烯</w:t>
                                      </w:r>
                                    </w:p>
                                  </w:txbxContent>
                                </wps:txbx>
                                <wps:bodyPr rot="0" vert="horz" wrap="square" lIns="91440" tIns="45720" rIns="91440" bIns="45720" anchor="t" anchorCtr="0" upright="1">
                                  <a:noAutofit/>
                                </wps:bodyPr>
                              </wps:wsp>
                              <wps:wsp>
                                <wps:cNvPr id="70" name="Rectangle 75"/>
                                <wps:cNvSpPr>
                                  <a:spLocks noChangeArrowheads="1"/>
                                </wps:cNvSpPr>
                                <wps:spPr bwMode="auto">
                                  <a:xfrm>
                                    <a:off x="5940" y="6120"/>
                                    <a:ext cx="1440" cy="624"/>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乙二醇</w:t>
                                      </w:r>
                                      <w:r>
                                        <w:rPr>
                                          <w:color w:val="FFFFFF"/>
                                        </w:rPr>
                                        <w:t>MEG</w:t>
                                      </w:r>
                                    </w:p>
                                  </w:txbxContent>
                                </wps:txbx>
                                <wps:bodyPr rot="0" vert="horz" wrap="square" lIns="91440" tIns="45720" rIns="91440" bIns="45720" anchor="t" anchorCtr="0" upright="1">
                                  <a:noAutofit/>
                                </wps:bodyPr>
                              </wps:wsp>
                              <wps:wsp>
                                <wps:cNvPr id="71" name="Rectangle 76"/>
                                <wps:cNvSpPr>
                                  <a:spLocks noChangeArrowheads="1"/>
                                </wps:cNvSpPr>
                                <wps:spPr bwMode="auto">
                                  <a:xfrm>
                                    <a:off x="8062" y="6120"/>
                                    <a:ext cx="2018" cy="624"/>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精对苯二甲酸</w:t>
                                      </w:r>
                                      <w:r>
                                        <w:rPr>
                                          <w:color w:val="FFFFFF"/>
                                        </w:rPr>
                                        <w:t>PTA</w:t>
                                      </w:r>
                                    </w:p>
                                  </w:txbxContent>
                                </wps:txbx>
                                <wps:bodyPr rot="0" vert="horz" wrap="square" lIns="91440" tIns="45720" rIns="91440" bIns="45720" anchor="t" anchorCtr="0" upright="1">
                                  <a:noAutofit/>
                                </wps:bodyPr>
                              </wps:wsp>
                              <wps:wsp>
                                <wps:cNvPr id="72" name="Line 77"/>
                                <wps:cNvCnPr>
                                  <a:cxnSpLocks noChangeShapeType="1"/>
                                </wps:cNvCnPr>
                                <wps:spPr bwMode="auto">
                                  <a:xfrm>
                                    <a:off x="6300" y="4387"/>
                                    <a:ext cx="0" cy="9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Line 78"/>
                                <wps:cNvCnPr>
                                  <a:cxnSpLocks noChangeShapeType="1"/>
                                </wps:cNvCnPr>
                                <wps:spPr bwMode="auto">
                                  <a:xfrm>
                                    <a:off x="9000" y="4374"/>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Line 79"/>
                                <wps:cNvCnPr>
                                  <a:cxnSpLocks noChangeShapeType="1"/>
                                </wps:cNvCnPr>
                                <wps:spPr bwMode="auto">
                                  <a:xfrm>
                                    <a:off x="9000" y="5028"/>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Line 80"/>
                                <wps:cNvCnPr>
                                  <a:cxnSpLocks noChangeShapeType="1"/>
                                </wps:cNvCnPr>
                                <wps:spPr bwMode="auto">
                                  <a:xfrm>
                                    <a:off x="9000" y="5808"/>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81"/>
                                <wps:cNvCnPr>
                                  <a:cxnSpLocks noChangeShapeType="1"/>
                                </wps:cNvCnPr>
                                <wps:spPr bwMode="auto">
                                  <a:xfrm>
                                    <a:off x="6660" y="5808"/>
                                    <a:ext cx="0"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Line 84"/>
                                <wps:cNvCnPr>
                                  <a:cxnSpLocks noChangeShapeType="1"/>
                                </wps:cNvCnPr>
                                <wps:spPr bwMode="auto">
                                  <a:xfrm flipH="1">
                                    <a:off x="6300" y="437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85"/>
                                <wps:cNvCnPr>
                                  <a:cxnSpLocks noChangeShapeType="1"/>
                                </wps:cNvCnPr>
                                <wps:spPr bwMode="auto">
                                  <a:xfrm>
                                    <a:off x="7740" y="4387"/>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Rectangle 72"/>
                                <wps:cNvSpPr>
                                  <a:spLocks noChangeArrowheads="1"/>
                                </wps:cNvSpPr>
                                <wps:spPr bwMode="auto">
                                  <a:xfrm>
                                    <a:off x="8460" y="4688"/>
                                    <a:ext cx="1080" cy="477"/>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二甲苯</w:t>
                                      </w:r>
                                    </w:p>
                                  </w:txbxContent>
                                </wps:txbx>
                                <wps:bodyPr rot="0" vert="horz" wrap="square" lIns="91440" tIns="45720" rIns="91440" bIns="45720" anchor="t" anchorCtr="0" upright="1">
                                  <a:noAutofit/>
                                </wps:bodyPr>
                              </wps:wsp>
                            </wpg:grpSp>
                            <wps:wsp>
                              <wps:cNvPr id="88" name="Rectangle 27"/>
                              <wps:cNvSpPr>
                                <a:spLocks noChangeArrowheads="1"/>
                              </wps:cNvSpPr>
                              <wps:spPr bwMode="auto">
                                <a:xfrm>
                                  <a:off x="6480" y="7212"/>
                                  <a:ext cx="3150" cy="565"/>
                                </a:xfrm>
                                <a:prstGeom prst="rect">
                                  <a:avLst/>
                                </a:prstGeom>
                                <a:solidFill>
                                  <a:srgbClr val="333399"/>
                                </a:solidFill>
                                <a:ln w="9525">
                                  <a:solidFill>
                                    <a:srgbClr val="000000"/>
                                  </a:solidFill>
                                  <a:miter lim="800000"/>
                                  <a:headEnd/>
                                  <a:tailEnd/>
                                </a:ln>
                              </wps:spPr>
                              <wps:txbx>
                                <w:txbxContent>
                                  <w:p w:rsidR="00CE488F" w:rsidRDefault="00CE488F" w:rsidP="00852E5D">
                                    <w:pPr>
                                      <w:jc w:val="center"/>
                                      <w:rPr>
                                        <w:color w:val="FFFFFF"/>
                                      </w:rPr>
                                    </w:pPr>
                                    <w:r>
                                      <w:rPr>
                                        <w:rFonts w:cs="宋体" w:hint="eastAsia"/>
                                        <w:color w:val="FFFFFF"/>
                                      </w:rPr>
                                      <w:t>聚对苯二甲酸乙二醇酯</w:t>
                                    </w:r>
                                    <w:r>
                                      <w:rPr>
                                        <w:color w:val="FFFFFF"/>
                                      </w:rPr>
                                      <w:t>PET</w:t>
                                    </w:r>
                                  </w:p>
                                </w:txbxContent>
                              </wps:txbx>
                              <wps:bodyPr rot="0" vert="horz" wrap="square" lIns="91440" tIns="45720" rIns="91440" bIns="45720" anchor="t" anchorCtr="0" upright="1">
                                <a:noAutofit/>
                              </wps:bodyPr>
                            </wps:wsp>
                          </wpg:grpSp>
                        </wpg:grpSp>
                      </wpg:grpSp>
                      <wpg:grpSp>
                        <wpg:cNvPr id="89" name="Group 75"/>
                        <wpg:cNvGrpSpPr>
                          <a:grpSpLocks/>
                        </wpg:cNvGrpSpPr>
                        <wpg:grpSpPr bwMode="auto">
                          <a:xfrm>
                            <a:off x="4027" y="8551"/>
                            <a:ext cx="2654" cy="685"/>
                            <a:chOff x="3854" y="12318"/>
                            <a:chExt cx="2654" cy="685"/>
                          </a:xfrm>
                        </wpg:grpSpPr>
                        <wps:wsp>
                          <wps:cNvPr id="90" name="Rectangle 20"/>
                          <wps:cNvSpPr>
                            <a:spLocks noChangeArrowheads="1"/>
                          </wps:cNvSpPr>
                          <wps:spPr bwMode="auto">
                            <a:xfrm>
                              <a:off x="4785" y="12318"/>
                              <a:ext cx="543" cy="237"/>
                            </a:xfrm>
                            <a:prstGeom prst="rect">
                              <a:avLst/>
                            </a:prstGeom>
                            <a:solidFill>
                              <a:srgbClr val="B8CCE4"/>
                            </a:solidFill>
                            <a:ln w="9525">
                              <a:solidFill>
                                <a:srgbClr val="000000"/>
                              </a:solidFill>
                              <a:miter lim="800000"/>
                              <a:headEnd/>
                              <a:tailEnd/>
                            </a:ln>
                          </wps:spPr>
                          <wps:txbx>
                            <w:txbxContent>
                              <w:p w:rsidR="00CE488F" w:rsidRDefault="00CE488F" w:rsidP="00852E5D">
                                <w:pPr>
                                  <w:jc w:val="center"/>
                                  <w:rPr>
                                    <w:color w:val="FFFFFF"/>
                                  </w:rPr>
                                </w:pPr>
                              </w:p>
                            </w:txbxContent>
                          </wps:txbx>
                          <wps:bodyPr rot="0" vert="horz" wrap="square" lIns="91440" tIns="45720" rIns="91440" bIns="45720" anchor="t" anchorCtr="0" upright="1">
                            <a:noAutofit/>
                          </wps:bodyPr>
                        </wps:wsp>
                        <wps:wsp>
                          <wps:cNvPr id="91" name="Rectangle 21"/>
                          <wps:cNvSpPr>
                            <a:spLocks noChangeArrowheads="1"/>
                          </wps:cNvSpPr>
                          <wps:spPr bwMode="auto">
                            <a:xfrm>
                              <a:off x="3854" y="12552"/>
                              <a:ext cx="2654"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88F" w:rsidRDefault="00CE488F" w:rsidP="00852E5D">
                                <w:r>
                                  <w:rPr>
                                    <w:rFonts w:cs="宋体" w:hint="eastAsia"/>
                                  </w:rPr>
                                  <w:t>文莱</w:t>
                                </w:r>
                                <w:r>
                                  <w:t>PMB</w:t>
                                </w:r>
                                <w:r>
                                  <w:rPr>
                                    <w:rFonts w:cs="宋体" w:hint="eastAsia"/>
                                  </w:rPr>
                                  <w:t>石油化工项目</w:t>
                                </w:r>
                              </w:p>
                            </w:txbxContent>
                          </wps:txbx>
                          <wps:bodyPr rot="0" vert="horz" wrap="square" lIns="91440" tIns="45720" rIns="91440" bIns="45720" anchor="t" anchorCtr="0" upright="1">
                            <a:noAutofit/>
                          </wps:bodyPr>
                        </wps:wsp>
                      </wpg:grpSp>
                    </wpg:wgp>
                  </a:graphicData>
                </a:graphic>
              </wp:inline>
            </w:drawing>
          </mc:Choice>
          <mc:Fallback>
            <w:pict>
              <v:group id="Group 2" o:spid="_x0000_s1026" style="width:480.3pt;height:501.6pt;mso-position-horizontal-relative:char;mso-position-vertical-relative:line" coordorigin="1800,1548" coordsize="7963,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">
                <v:group id="Group 3" o:spid="_x0000_s1027" style="position:absolute;left:1800;top:1548;width:7963;height:7903" coordorigin="2070,3515" coordsize="8370,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3" o:spid="_x0000_s1028" style="position:absolute;left:2070;top:3515;width:630;height:9812" coordorigin="2070,3515" coordsize="630,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line id="Line 4" o:spid="_x0000_s1029" style="position:absolute;visibility:visible;mso-wrap-style:square" from="2520,12048" to="2520,13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uInsAAAADbAAAADwAAAGRycy9kb3ducmV2LnhtbERPTWvCQBC9F/wPywi91Y1BQkldRRSh&#10;KhRqS89DdpoNzc6E7Nak/94VhN7m8T5nuR59qy7Uh0bYwHyWgSKuxDZcG/j82D89gwoR2WIrTAb+&#10;KMB6NXlYYmll4He6nGOtUgiHEg24GLtS61A58hhm0hEn7lt6jzHBvta2xyGF+1bnWVZojw2nBocd&#10;bR1VP+dfb+DrUIxHlw+7t50UtTst5DiwGPM4HTcvoCKN8V98d7/aND+H2y/pAL2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LiJ7AAAAA2wAAAA8AAAAAAAAAAAAAAAAA&#10;oQIAAGRycy9kb3ducmV2LnhtbFBLBQYAAAAABAAEAPkAAACOAwAAAAA=&#10;" strokecolor="red">
                      <v:stroke endarrow="block"/>
                    </v:line>
                    <v:group id="Group 5" o:spid="_x0000_s1030" style="position:absolute;left:2070;top:3515;width:630;height:9812" coordorigin="2070,3515" coordsize="630,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line id="Line 6" o:spid="_x0000_s1031" style="position:absolute;visibility:visible;mso-wrap-style:square" from="2520,3515" to="252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61ccAAAADbAAAADwAAAGRycy9kb3ducmV2LnhtbERPTWvCQBC9F/wPywje6kaRUFJXKYrQ&#10;KhSq4nnITrOh2ZmQXU38926h0Ns83ucs14Nv1I26UAsbmE0zUMSl2JorA+fT7vkFVIjIFhthMnCn&#10;AOvV6GmJhZWev+h2jJVKIRwKNOBibAutQ+nIY5hKS5y4b+k8xgS7StsO+xTuGz3Pslx7rDk1OGxp&#10;46j8OV69gctHPuzdvN9+biWv3GEh+57FmMl4eHsFFWmI/+I/97tN8xfw+0s6QK8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rutXHAAAAA2wAAAA8AAAAAAAAAAAAAAAAA&#10;oQIAAGRycy9kb3ducmV2LnhtbFBLBQYAAAAABAAEAPkAAACOAwAAAAA=&#10;" strokecolor="red">
                        <v:stroke endarrow="block"/>
                      </v:line>
                      <v:line id="Line 7" o:spid="_x0000_s1032" style="position:absolute;visibility:visible;mso-wrap-style:square" from="2520,5184" to="2520,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IQ6sEAAADbAAAADwAAAGRycy9kb3ducmV2LnhtbERP22rCQBB9L/gPyxT6VjeVNkh0laII&#10;rQXBCz4P2TEbmp0J2dWkf98tFHybw7nOfDn4Rt2oC7WwgZdxBoq4FFtzZeB03DxPQYWIbLERJgM/&#10;FGC5GD3MsbDS855uh1ipFMKhQAMuxrbQOpSOPIaxtMSJu0jnMSbYVdp22Kdw3+hJluXaY82pwWFL&#10;K0fl9+HqDZw/82HrJv16t5a8cl+vsu1ZjHl6HN5noCIN8S7+d3/YNP8N/n5JB+jF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ohDqwQAAANsAAAAPAAAAAAAAAAAAAAAA&#10;AKECAABkcnMvZG93bnJldi54bWxQSwUGAAAAAAQABAD5AAAAjwMAAAAA&#10;" strokecolor="red">
                        <v:stroke endarrow="block"/>
                      </v:line>
                      <v:line id="Line 8" o:spid="_x0000_s1033" style="position:absolute;visibility:visible;mso-wrap-style:square" from="2520,6900" to="2520,1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OncAAAADbAAAADwAAAGRycy9kb3ducmV2LnhtbERPTWvCQBC9C/6HZYTedKOUIKmrlIpg&#10;LRRMS89DdswGszMhu5r033cLhd7m8T5nsxt9q+7Uh0bYwHKRgSKuxDZcG/j8OMzXoEJEttgKk4Fv&#10;CrDbTicbLKwMfKZ7GWuVQjgUaMDF2BVah8qRx7CQjjhxF+k9xgT7WtsehxTuW73Kslx7bDg1OOzo&#10;xVF1LW/ewNdrPp7cati/7yWv3dujnAYWYx5m4/MTqEhj/Bf/uY82zc/h95d0gN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Vwjp3AAAAA2wAAAA8AAAAAAAAAAAAAAAAA&#10;oQIAAGRycy9kb3ducmV2LnhtbFBLBQYAAAAABAAEAPkAAACOAwAAAAA=&#10;" strokecolor="red">
                        <v:stroke endarrow="block"/>
                      </v:line>
                      <v:rect id="Rectangle 9" o:spid="_x0000_s1034" style="position:absolute;left:2070;top:3619;width:630;height:1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RlqMMA&#10;AADbAAAADwAAAGRycy9kb3ducmV2LnhtbERPyWrDMBC9F/oPYgq9xXJzcI0bJZRAktJTmoWQ22CN&#10;F2qNFEuNnb+vCoHe5vHWmS1G04kr9b61rOAlSUEQl1a3XCs47FeTHIQPyBo7y6TgRh4W88eHGRba&#10;DvxF112oRQxhX6CCJgRXSOnLhgz6xDriyFW2Nxgi7GupexxiuOnkNE0zabDl2NCgo2VD5ffuxyhw&#10;eTdU+Wm6PWXVevl53Jxddjkr9fw0vr+BCDSGf/Hd/aHj/Ff4+yUeI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RlqMMAAADbAAAADwAAAAAAAAAAAAAAAACYAgAAZHJzL2Rv&#10;d25yZXYueG1sUEsFBgAAAAAEAAQA9QAAAIgDAAAAAA==&#10;" filled="f" stroked="f">
                        <v:textbox style="layout-flow:vertical-ideographic">
                          <w:txbxContent>
                            <w:p w:rsidR="00CE488F" w:rsidRDefault="00CE488F" w:rsidP="00852E5D">
                              <w:pPr>
                                <w:jc w:val="center"/>
                                <w:rPr>
                                  <w:color w:val="333399"/>
                                </w:rPr>
                              </w:pPr>
                              <w:r>
                                <w:rPr>
                                  <w:rFonts w:cs="宋体" w:hint="eastAsia"/>
                                  <w:color w:val="333399"/>
                                </w:rPr>
                                <w:t>炼油行业</w:t>
                              </w:r>
                            </w:p>
                          </w:txbxContent>
                        </v:textbox>
                      </v:rect>
                      <v:rect id="Rectangle 10" o:spid="_x0000_s1035" style="position:absolute;left:2070;top:5496;width:630;height:1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vx2sUA&#10;AADbAAAADwAAAGRycy9kb3ducmV2LnhtbESPS2vDMBCE74X8B7GB3hq5ORjjRAkh0Ac9tWlCyG2x&#10;1g9irVRLjd1/3z0UettlZme+XW8n16sbDbHzbOBxkYEirrztuDFw/Hx6KEDFhGyx90wGfijCdjO7&#10;W2Np/cgfdDukRkkIxxINtCmFUutYteQwLnwgFq32g8Mk69BoO+Ao4a7XyyzLtcOOpaHFQPuWquvh&#10;2xkIRT/WxXn5fs7r5/3b6eUS8q+LMffzabcClWhK/+a/61cr+AIrv8gA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HaxQAAANsAAAAPAAAAAAAAAAAAAAAAAJgCAABkcnMv&#10;ZG93bnJldi54bWxQSwUGAAAAAAQABAD1AAAAigMAAAAA&#10;" filled="f" stroked="f">
                        <v:textbox style="layout-flow:vertical-ideographic">
                          <w:txbxContent>
                            <w:p w:rsidR="00CE488F" w:rsidRDefault="00CE488F" w:rsidP="00852E5D">
                              <w:pPr>
                                <w:jc w:val="center"/>
                                <w:rPr>
                                  <w:color w:val="333399"/>
                                </w:rPr>
                              </w:pPr>
                              <w:r>
                                <w:rPr>
                                  <w:rFonts w:cs="宋体" w:hint="eastAsia"/>
                                  <w:color w:val="333399"/>
                                </w:rPr>
                                <w:t>石油化工</w:t>
                              </w:r>
                            </w:p>
                          </w:txbxContent>
                        </v:textbox>
                      </v:rect>
                      <v:rect id="Rectangle 11" o:spid="_x0000_s1036" style="position:absolute;left:2070;top:8148;width:630;height:1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dUQcMA&#10;AADbAAAADwAAAGRycy9kb3ducmV2LnhtbERPyWrDMBC9B/oPYgq91XJzMK4bJZRAktJTmoWQ22CN&#10;F2qNFEuNnb+vCoXc5vHWmS1G04kr9b61rOAlSUEQl1a3XCs47FfPOQgfkDV2lknBjTws5g+TGRba&#10;DvxF112oRQxhX6CCJgRXSOnLhgz6xDriyFW2Nxgi7GupexxiuOnkNE0zabDl2NCgo2VD5ffuxyhw&#10;eTdU+Wm6PWXVevl53Jxddjkr9fQ4vr+BCDSGu/jf/aHj/Ff4+yUeI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dUQcMAAADbAAAADwAAAAAAAAAAAAAAAACYAgAAZHJzL2Rv&#10;d25yZXYueG1sUEsFBgAAAAAEAAQA9QAAAIgDAAAAAA==&#10;" filled="f" stroked="f">
                        <v:textbox style="layout-flow:vertical-ideographic">
                          <w:txbxContent>
                            <w:p w:rsidR="00CE488F" w:rsidRDefault="00CE488F" w:rsidP="00852E5D">
                              <w:pPr>
                                <w:jc w:val="center"/>
                                <w:rPr>
                                  <w:color w:val="333399"/>
                                </w:rPr>
                              </w:pPr>
                              <w:r>
                                <w:rPr>
                                  <w:rFonts w:cs="宋体" w:hint="eastAsia"/>
                                  <w:color w:val="333399"/>
                                </w:rPr>
                                <w:t>化学纤维制造</w:t>
                              </w:r>
                            </w:p>
                          </w:txbxContent>
                        </v:textbox>
                      </v:rect>
                      <v:rect id="Rectangle 12" o:spid="_x0000_s1037" style="position:absolute;left:2070;top:12047;width:63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3YcEA&#10;AADbAAAADwAAAGRycy9kb3ducmV2LnhtbERPy2rCQBTdF/yH4Qrd1YlZhJA6ShG0xVV9FHF3ydw8&#10;aObOmBlN+vedheDycN6L1Wg6cafet5YVzGcJCOLS6pZrBafj5i0H4QOyxs4yKfgjD6vl5GWBhbYD&#10;7+l+CLWIIewLVNCE4AopfdmQQT+zjjhyle0Nhgj7WuoehxhuOpkmSSYNthwbGnS0bqj8PdyMApd3&#10;Q5Wf0+9zVm3Xu5/Pi8uuF6Vep+PHO4hAY3iKH+4vrSCN6+OX+AP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N2HBAAAA2wAAAA8AAAAAAAAAAAAAAAAAmAIAAGRycy9kb3du&#10;cmV2LnhtbFBLBQYAAAAABAAEAPUAAACGAwAAAAA=&#10;" filled="f" stroked="f">
                        <v:textbox style="layout-flow:vertical-ideographic">
                          <w:txbxContent>
                            <w:p w:rsidR="00CE488F" w:rsidRDefault="00CE488F" w:rsidP="00852E5D">
                              <w:pPr>
                                <w:jc w:val="center"/>
                                <w:rPr>
                                  <w:color w:val="333399"/>
                                </w:rPr>
                              </w:pPr>
                              <w:r>
                                <w:rPr>
                                  <w:rFonts w:cs="宋体" w:hint="eastAsia"/>
                                  <w:color w:val="333399"/>
                                </w:rPr>
                                <w:t>纺织行业</w:t>
                              </w:r>
                            </w:p>
                          </w:txbxContent>
                        </v:textbox>
                      </v:rect>
                    </v:group>
                  </v:group>
                  <v:group id="Group 13" o:spid="_x0000_s1038" style="position:absolute;left:2160;top:3619;width:8280;height:9441" coordorigin="2160,3619" coordsize="8280,94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line id="Line 16" o:spid="_x0000_s1039" style="position:absolute;visibility:visible;mso-wrap-style:square" from="2160,12068" to="10440,1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N5wMMAAADbAAAADwAAAGRycy9kb3ducmV2LnhtbESPQWvCQBSE74X+h+UVeqsbQ5ESXUVL&#10;SoOCoAa8PrLPbDD7NmS3Gv+9Kwg9DjPzDTNbDLYVF+p941jBeJSAIK6cbrhWUB5+Pr5A+ICssXVM&#10;Cm7kYTF/fZlhpt2Vd3TZh1pECPsMFZgQukxKXxmy6EeuI47eyfUWQ5R9LXWP1wi3rUyTZCItNhwX&#10;DHb0bag67/+sgqMvysqu2s02zz839brIze+2VOr9bVhOQQQawn/42S60gjSFx5f4A+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DecDDAAAA2wAAAA8AAAAAAAAAAAAA&#10;AAAAoQIAAGRycy9kb3ducmV2LnhtbFBLBQYAAAAABAAEAPkAAACRAwAAAAA=&#10;" strokecolor="#669" strokeweight="1.5pt">
                      <v:stroke dashstyle="dash"/>
                    </v:line>
                    <v:rect id="Rectangle 17" o:spid="_x0000_s1040" style="position:absolute;left:3240;top:12204;width:54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pX7cMA&#10;AADbAAAADwAAAGRycy9kb3ducmV2LnhtbESPQWvCQBSE74X+h+UVeqsbtQSJriLSQttTjeb+zD6z&#10;wezbsLvG9N93CwWPw8x8w6w2o+3EQD60jhVMJxkI4trplhsFx8P7ywJEiMgaO8ek4IcCbNaPDyss&#10;tLvxnoYyNiJBOBSowMTYF1KG2pDFMHE9cfLOzluMSfpGao+3BLednGVZLi22nBYM9rQzVF/Kq1Uw&#10;7HzzZl6/5rk/feen82d1LWOl1PPTuF2CiDTGe/i//aEVzObw9yX9A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pX7cMAAADbAAAADwAAAAAAAAAAAAAAAACYAgAAZHJzL2Rv&#10;d25yZXYueG1sUEsFBgAAAAAEAAQA9QAAAIgDAAAAAA==&#10;" fillcolor="#339">
                      <v:textbox>
                        <w:txbxContent>
                          <w:p w:rsidR="00CE488F" w:rsidRDefault="00CE488F" w:rsidP="00852E5D">
                            <w:pPr>
                              <w:jc w:val="center"/>
                              <w:rPr>
                                <w:color w:val="FFFFFF"/>
                              </w:rPr>
                            </w:pPr>
                          </w:p>
                        </w:txbxContent>
                      </v:textbox>
                    </v:rect>
                    <v:rect id="Rectangle 18" o:spid="_x0000_s1041" style="position:absolute;left:2823;top:12513;width:1530;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7ocQA&#10;AADbAAAADwAAAGRycy9kb3ducmV2LnhtbESPQWvCQBSE74X+h+UVvBTdVEo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bO6HEAAAA2wAAAA8AAAAAAAAAAAAAAAAAmAIAAGRycy9k&#10;b3ducmV2LnhtbFBLBQYAAAAABAAEAPUAAACJAwAAAAA=&#10;" filled="f" stroked="f">
                      <v:textbox>
                        <w:txbxContent>
                          <w:p w:rsidR="00CE488F" w:rsidRDefault="00CE488F" w:rsidP="00852E5D">
                            <w:r>
                              <w:rPr>
                                <w:rFonts w:cs="宋体" w:hint="eastAsia"/>
                              </w:rPr>
                              <w:t>公司经营业务</w:t>
                            </w:r>
                          </w:p>
                        </w:txbxContent>
                      </v:textbox>
                    </v:rect>
                    <v:group id="Group 22" o:spid="_x0000_s1042" style="position:absolute;left:2160;top:3619;width:8280;height:8349" coordorigin="2160,3619" coordsize="8280,83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line id="Line 43" o:spid="_x0000_s1043" style="position:absolute;visibility:visible;mso-wrap-style:square" from="4320,6588" to="4320,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55" o:spid="_x0000_s1044" style="position:absolute;visibility:visible;mso-wrap-style:square" from="8640,11112" to="8640,11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44" o:spid="_x0000_s1045" style="position:absolute;visibility:visible;mso-wrap-style:square" from="4320,7680" to="4320,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rect id="Rectangle 23" o:spid="_x0000_s1046" style="position:absolute;left:3420;top:5340;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6dy8EA&#10;AADbAAAADwAAAGRycy9kb3ducmV2LnhtbESP0YrCMBRE3xf8h3AF39a0lS1rNYq4CL5udz/g0lyb&#10;YnNTkqhdv94Iwj4OM3OGWW9H24sr+dA5VpDPMxDEjdMdtwp+fw7vnyBCRNbYOyYFfxRgu5m8rbHS&#10;7sbfdK1jKxKEQ4UKTIxDJWVoDFkMczcQJ+/kvMWYpG+l9nhLcNvLIstKabHjtGBwoL2h5lxfrILz&#10;10Lme3PMa3m5l8XCl9Z9lErNpuNuBSLSGP/Dr/ZRKyiW8PySfo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encvBAAAA2wAAAA8AAAAAAAAAAAAAAAAAmAIAAGRycy9kb3du&#10;cmV2LnhtbFBLBQYAAAAABAAEAPUAAACGAwAAAAA=&#10;" fillcolor="#b8cce4">
                        <v:textbox>
                          <w:txbxContent>
                            <w:p w:rsidR="00CE488F" w:rsidRDefault="00CE488F" w:rsidP="00852E5D">
                              <w:pPr>
                                <w:jc w:val="center"/>
                                <w:rPr>
                                  <w:color w:val="FFFFFF"/>
                                </w:rPr>
                              </w:pPr>
                              <w:r>
                                <w:rPr>
                                  <w:rFonts w:cs="宋体" w:hint="eastAsia"/>
                                  <w:color w:val="FFFFFF"/>
                                </w:rPr>
                                <w:t>苯</w:t>
                              </w:r>
                            </w:p>
                          </w:txbxContent>
                        </v:textbox>
                      </v:rect>
                      <v:rect id="Rectangle 24" o:spid="_x0000_s1047" style="position:absolute;left:3420;top:6120;width:162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FfR8AA&#10;AADbAAAADwAAAGRycy9kb3ducmV2LnhtbERPz2vCMBS+D/wfwhN2m6lzFKmNIrLBttNW9f7aPJti&#10;81KSWLv/fjkMdvz4fpe7yfZiJB86xwqWiwwEceN0x62C0/HtaQ0iRGSNvWNS8EMBdtvZQ4mFdnf+&#10;prGKrUghHApUYGIcCilDY8hiWLiBOHEX5y3GBH0rtcd7Cre9fM6yXFrsODUYHOhgqLlWN6tgPPj2&#10;1bx8rnJff+X15eN8q+JZqcf5tN+AiDTFf/Gf+10rWKX16Uv6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jFfR8AAAADbAAAADwAAAAAAAAAAAAAAAACYAgAAZHJzL2Rvd25y&#10;ZXYueG1sUEsFBgAAAAAEAAQA9QAAAIUDAAAAAA==&#10;" fillcolor="#339">
                        <v:textbox>
                          <w:txbxContent>
                            <w:p w:rsidR="00CE488F" w:rsidRDefault="00CE488F" w:rsidP="00852E5D">
                              <w:pPr>
                                <w:jc w:val="center"/>
                                <w:rPr>
                                  <w:color w:val="FFFFFF"/>
                                </w:rPr>
                              </w:pPr>
                              <w:r>
                                <w:rPr>
                                  <w:rFonts w:cs="宋体" w:hint="eastAsia"/>
                                  <w:color w:val="FFFFFF"/>
                                </w:rPr>
                                <w:t>己内酰胺</w:t>
                              </w:r>
                              <w:r>
                                <w:rPr>
                                  <w:color w:val="FFFFFF"/>
                                </w:rPr>
                                <w:t>CPL</w:t>
                              </w:r>
                            </w:p>
                          </w:txbxContent>
                        </v:textbox>
                      </v:rect>
                      <v:rect id="Rectangle 25" o:spid="_x0000_s1048" style="position:absolute;left:3420;top:7212;width:1620;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MThMQA&#10;AADbAAAADwAAAGRycy9kb3ducmV2LnhtbESPQWvCQBSE70L/w/IKvenGKirRVWJpoVARjDl4fGSf&#10;SWj2bZpdY/z3bkHwOMzMN8xq05tadNS6yrKC8SgCQZxbXXGhIDt+DRcgnEfWWFsmBTdysFm/DFYY&#10;a3vlA3WpL0SAsItRQel9E0vp8pIMupFtiIN3tq1BH2RbSN3iNcBNLd+jaCYNVhwWSmzoo6T8N70Y&#10;BXPcZtvTzy2Lks/LH+6nxW7SJUq9vfbJEoSn3j/Dj/a3VjAZw/+X8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DE4TEAAAA2wAAAA8AAAAAAAAAAAAAAAAAmAIAAGRycy9k&#10;b3ducmV2LnhtbFBLBQYAAAAABAAEAPUAAACJAwAAAAA=&#10;" fillcolor="#3cc">
                        <v:textbox>
                          <w:txbxContent>
                            <w:p w:rsidR="00CE488F" w:rsidRDefault="00CE488F" w:rsidP="00852E5D">
                              <w:pPr>
                                <w:jc w:val="center"/>
                                <w:rPr>
                                  <w:color w:val="FFFFFF"/>
                                </w:rPr>
                              </w:pPr>
                              <w:r>
                                <w:rPr>
                                  <w:rFonts w:cs="宋体" w:hint="eastAsia"/>
                                  <w:color w:val="FFFFFF"/>
                                </w:rPr>
                                <w:t>聚酰胺</w:t>
                              </w:r>
                              <w:r>
                                <w:rPr>
                                  <w:color w:val="FFFFFF"/>
                                </w:rPr>
                                <w:t>PA</w:t>
                              </w:r>
                            </w:p>
                          </w:txbxContent>
                        </v:textbox>
                      </v:rect>
                      <v:rect id="Rectangle 26" o:spid="_x0000_s1049" style="position:absolute;left:3420;top:8148;width:162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efAcUA&#10;AADbAAAADwAAAGRycy9kb3ducmV2LnhtbESPQWvCQBSE70L/w/IK3nTTKrZENyGWFgoWwTSHHh/Z&#10;ZxKafZtm1xj/vVsQPA4z8w2zSUfTioF611hW8DSPQBCXVjdcKSi+P2avIJxH1thaJgUXcpAmD5MN&#10;xtqe+UBD7isRIOxiVFB738VSurImg25uO+LgHW1v0AfZV1L3eA5w08rnKFpJgw2HhRo7equp/M1P&#10;RsELbovtz+5SRNn76Q/3y+prMWRKTR/HbA3C0+jv4Vv7UytYLeH/S/gB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h58BxQAAANsAAAAPAAAAAAAAAAAAAAAAAJgCAABkcnMv&#10;ZG93bnJldi54bWxQSwUGAAAAAAQABAD1AAAAigMAAAAA&#10;" fillcolor="#3cc">
                        <v:textbox>
                          <w:txbxContent>
                            <w:p w:rsidR="00CE488F" w:rsidRDefault="00CE488F" w:rsidP="00852E5D">
                              <w:pPr>
                                <w:jc w:val="center"/>
                                <w:rPr>
                                  <w:color w:val="FFFFFF"/>
                                </w:rPr>
                              </w:pPr>
                              <w:r>
                                <w:rPr>
                                  <w:rFonts w:cs="宋体" w:hint="eastAsia"/>
                                  <w:color w:val="FFFFFF"/>
                                </w:rPr>
                                <w:t>尼龙切片</w:t>
                              </w:r>
                            </w:p>
                          </w:txbxContent>
                        </v:textbox>
                      </v:rect>
                      <v:rect id="Rectangle 28" o:spid="_x0000_s1050" style="position:absolute;left:5220;top:8148;width:162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wbqsMA&#10;AADbAAAADwAAAGRycy9kb3ducmV2LnhtbESP0WrCQBRE34X+w3ILfZG6UTCE1FXagiUIAY39gEv2&#10;NgnN3g27q8a/dwXBx2FmzjCrzWh6cSbnO8sK5rMEBHFtdceNgt/j9j0D4QOyxt4yKbiSh836ZbLC&#10;XNsLH+hchUZECPscFbQhDLmUvm7JoJ/ZgTh6f9YZDFG6RmqHlwg3vVwkSSoNdhwXWhzou6X6vzoZ&#10;BYuSpjTfuyz9KXxRlF8d78pKqbfX8fMDRKAxPMOPdqEVpEu4f4k/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1wbqsMAAADbAAAADwAAAAAAAAAAAAAAAACYAgAAZHJzL2Rv&#10;d25yZXYueG1sUEsFBgAAAAAEAAQA9QAAAIgDAAAAAA==&#10;" fillcolor="#039">
                        <v:textbox>
                          <w:txbxContent>
                            <w:p w:rsidR="00CE488F" w:rsidRDefault="00CE488F" w:rsidP="00852E5D">
                              <w:pPr>
                                <w:jc w:val="center"/>
                                <w:rPr>
                                  <w:color w:val="FFFFFF"/>
                                </w:rPr>
                              </w:pPr>
                              <w:r>
                                <w:rPr>
                                  <w:rFonts w:cs="宋体" w:hint="eastAsia"/>
                                  <w:color w:val="FFFFFF"/>
                                </w:rPr>
                                <w:t>薄膜级切片</w:t>
                              </w:r>
                            </w:p>
                          </w:txbxContent>
                        </v:textbox>
                      </v:rect>
                      <v:rect id="Rectangle 29" o:spid="_x0000_s1051" style="position:absolute;left:7020;top:8148;width:162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NtcMA&#10;AADbAAAADwAAAGRycy9kb3ducmV2LnhtbESPzWrDMBCE74W+g9hCb43cH0RxrYQSGkh6ap3mvrHW&#10;lqm1MpLiOG9fFQo9DjPzDVOtZjeIiULsPWu4XxQgiBtveu40fO03d88gYkI2OHgmDReKsFpeX1VY&#10;Gn/mT5rq1IkM4ViiBpvSWEoZG0sO48KPxNlrfXCYsgydNAHPGe4G+VAUSjrsOS9YHGltqfmuT07D&#10;tA7dm316f1Th+KGO7e5wqtNB69ub+fUFRKI5/Yf/2lujQSn4/Z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dNtcMAAADbAAAADwAAAAAAAAAAAAAAAACYAgAAZHJzL2Rv&#10;d25yZXYueG1sUEsFBgAAAAAEAAQA9QAAAIgDAAAAAA==&#10;" fillcolor="#339">
                        <v:textbox>
                          <w:txbxContent>
                            <w:p w:rsidR="00CE488F" w:rsidRDefault="00CE488F" w:rsidP="00852E5D">
                              <w:pPr>
                                <w:jc w:val="center"/>
                                <w:rPr>
                                  <w:color w:val="FFFFFF"/>
                                </w:rPr>
                              </w:pPr>
                              <w:r>
                                <w:rPr>
                                  <w:rFonts w:cs="宋体" w:hint="eastAsia"/>
                                  <w:color w:val="FFFFFF"/>
                                </w:rPr>
                                <w:t>瓶级切片</w:t>
                              </w:r>
                            </w:p>
                          </w:txbxContent>
                        </v:textbox>
                      </v:rect>
                      <v:rect id="Rectangle 30" o:spid="_x0000_s1052" style="position:absolute;left:8820;top:8148;width:162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voLsMA&#10;AADbAAAADwAAAGRycy9kb3ducmV2LnhtbESPQWsCMRSE7wX/Q3iCt5pVy1ZWo4i00PbUrnp/bp6b&#10;xc3LksR1+++bQqHHYWa+YdbbwbaiJx8axwpm0wwEceV0w7WC4+H1cQkiRGSNrWNS8E0BtpvRwxoL&#10;7e78RX0Za5EgHApUYGLsCilDZchimLqOOHkX5y3GJH0ttcd7gttWzrMslxYbTgsGO9obqq7lzSro&#10;975+MU8fi9yfP/Pz5f10K+NJqcl42K1ARBrif/iv/aYV5M/w+yX9A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voLsMAAADbAAAADwAAAAAAAAAAAAAAAACYAgAAZHJzL2Rv&#10;d25yZXYueG1sUEsFBgAAAAAEAAQA9QAAAIgDAAAAAA==&#10;" fillcolor="#339">
                        <v:textbox>
                          <w:txbxContent>
                            <w:p w:rsidR="00CE488F" w:rsidRDefault="00CE488F" w:rsidP="00852E5D">
                              <w:pPr>
                                <w:jc w:val="center"/>
                                <w:rPr>
                                  <w:color w:val="FFFFFF"/>
                                </w:rPr>
                              </w:pPr>
                              <w:r>
                                <w:rPr>
                                  <w:rFonts w:cs="宋体" w:hint="eastAsia"/>
                                  <w:color w:val="FFFFFF"/>
                                </w:rPr>
                                <w:t>纤维级切片</w:t>
                              </w:r>
                            </w:p>
                          </w:txbxContent>
                        </v:textbox>
                      </v:rect>
                      <v:rect id="Rectangle 31" o:spid="_x0000_s1053" style="position:absolute;left:3163;top:9204;width:62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HqMMA&#10;AADbAAAADwAAAGRycy9kb3ducmV2LnhtbERPu27CMBTdK/UfrFuJpSoOrwilGIRASNAJ0g4db+NL&#10;kja+DrFDwt/XAxLj0XkvVr2pxJUaV1pWMBpGIIgzq0vOFXx97t7mIJxH1lhZJgU3crBaPj8tMNG2&#10;4xNdU5+LEMIuQQWF93UipcsKMuiGtiYO3Nk2Bn2ATS51g10IN5UcR1EsDZYcGgqsaVNQ9pe2RsGB&#10;4/nP+fWjLdvv2aQ7Xn5P6XSr1OClX7+D8NT7h/ju3msFcRgbvo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eHqMMAAADbAAAADwAAAAAAAAAAAAAAAACYAgAAZHJzL2Rv&#10;d25yZXYueG1sUEsFBgAAAAAEAAQA9QAAAIgDAAAAAA==&#10;" fillcolor="#3cc">
                        <v:textbox style="layout-flow:vertical-ideographic">
                          <w:txbxContent>
                            <w:p w:rsidR="00CE488F" w:rsidRDefault="00CE488F" w:rsidP="00852E5D">
                              <w:pPr>
                                <w:jc w:val="center"/>
                                <w:rPr>
                                  <w:color w:val="FFFFFF"/>
                                </w:rPr>
                              </w:pPr>
                              <w:r>
                                <w:rPr>
                                  <w:rFonts w:cs="宋体" w:hint="eastAsia"/>
                                  <w:color w:val="FFFFFF"/>
                                </w:rPr>
                                <w:t>锦纶长丝</w:t>
                              </w:r>
                            </w:p>
                          </w:txbxContent>
                        </v:textbox>
                      </v:rect>
                      <v:rect id="Rectangle 32" o:spid="_x0000_s1054" style="position:absolute;left:4063;top:9204;width:62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siM8YA&#10;AADbAAAADwAAAGRycy9kb3ducmV2LnhtbESPQWvCQBSE74X+h+UVvBTd1LZBo6sUS6F6qtGDx2f2&#10;maTNvo3ZjUn/fVcoeBxm5htmvuxNJS7UuNKygqdRBII4s7rkXMF+9zGcgHAeWWNlmRT8koPl4v5u&#10;jom2HW/pkvpcBAi7BBUU3teJlC4ryKAb2Zo4eCfbGPRBNrnUDXYBbio5jqJYGiw5LBRY06qg7Cdt&#10;jYI1x5Pj6XHTlu3h9bn7On9v05d3pQYP/dsMhKfe38L/7U+tIJ7C9Uv4AX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siM8YAAADbAAAADwAAAAAAAAAAAAAAAACYAgAAZHJz&#10;L2Rvd25yZXYueG1sUEsFBgAAAAAEAAQA9QAAAIsDAAAAAA==&#10;" fillcolor="#3cc">
                        <v:textbox style="layout-flow:vertical-ideographic">
                          <w:txbxContent>
                            <w:p w:rsidR="00CE488F" w:rsidRDefault="00CE488F" w:rsidP="00852E5D">
                              <w:pPr>
                                <w:jc w:val="center"/>
                                <w:rPr>
                                  <w:color w:val="FFFFFF"/>
                                </w:rPr>
                              </w:pPr>
                              <w:r>
                                <w:rPr>
                                  <w:rFonts w:cs="宋体" w:hint="eastAsia"/>
                                  <w:color w:val="FFFFFF"/>
                                </w:rPr>
                                <w:t>锦纶短丝</w:t>
                              </w:r>
                            </w:p>
                          </w:txbxContent>
                        </v:textbox>
                      </v:rect>
                      <v:rect id="Rectangle 33" o:spid="_x0000_s1055" style="position:absolute;left:4963;top:9204;width:62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fX8YA&#10;AADbAAAADwAAAGRycy9kb3ducmV2LnhtbESPQWvCQBSE74L/YXlCL6Kbqg2SukqpFFpPNfXg8Zl9&#10;Jmmzb2N2Y9J/3xWEHoeZ+YZZbXpTiSs1rrSs4HEagSDOrC45V3D4epssQTiPrLGyTAp+ycFmPRys&#10;MNG24z1dU5+LAGGXoILC+zqR0mUFGXRTWxMH72wbgz7IJpe6wS7ATSVnURRLgyWHhQJrei0o+0lb&#10;o+CD4+XpPN61ZXt8mnefl+99utgq9TDqX55BeOr9f/jeftcK5jO4fQk/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yfX8YAAADbAAAADwAAAAAAAAAAAAAAAACYAgAAZHJz&#10;L2Rvd25yZXYueG1sUEsFBgAAAAAEAAQA9QAAAIsDAAAAAA==&#10;" fillcolor="#3cc">
                        <v:textbox style="layout-flow:vertical-ideographic">
                          <w:txbxContent>
                            <w:p w:rsidR="00CE488F" w:rsidRDefault="00CE488F" w:rsidP="00852E5D">
                              <w:pPr>
                                <w:jc w:val="center"/>
                                <w:rPr>
                                  <w:color w:val="FFFFFF"/>
                                </w:rPr>
                              </w:pPr>
                              <w:r>
                                <w:rPr>
                                  <w:rFonts w:cs="宋体" w:hint="eastAsia"/>
                                  <w:color w:val="FFFFFF"/>
                                </w:rPr>
                                <w:t>工业丝</w:t>
                              </w:r>
                            </w:p>
                          </w:txbxContent>
                        </v:textbox>
                      </v:rect>
                      <v:rect id="Rectangle 34" o:spid="_x0000_s1056" style="position:absolute;left:7099;top:9084;width:641;height:1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6xMYA&#10;AADbAAAADwAAAGRycy9kb3ducmV2LnhtbESPQWvCQBSE7wX/w/IEL6VualqR1FVKRdCeNPXg8TX7&#10;TKLZt2l2Y+K/dwuFHoeZ+YaZL3tTiSs1rrSs4HkcgSDOrC45V3D4Wj/NQDiPrLGyTApu5GC5GDzM&#10;MdG24z1dU5+LAGGXoILC+zqR0mUFGXRjWxMH72Qbgz7IJpe6wS7ATSUnUTSVBksOCwXW9FFQdklb&#10;o2DL09n36fGzLdvja9ztfs779GWl1GjYv7+B8NT7//Bfe6MVxDH8fgk/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A6xMYAAADbAAAADwAAAAAAAAAAAAAAAACYAgAAZHJz&#10;L2Rvd25yZXYueG1sUEsFBgAAAAAEAAQA9QAAAIsDAAAAAA==&#10;" fillcolor="#3cc">
                        <v:textbox style="layout-flow:vertical-ideographic">
                          <w:txbxContent>
                            <w:p w:rsidR="00CE488F" w:rsidRDefault="00CE488F" w:rsidP="00852E5D">
                              <w:pPr>
                                <w:jc w:val="center"/>
                                <w:rPr>
                                  <w:color w:val="FFFFFF"/>
                                </w:rPr>
                              </w:pPr>
                              <w:r>
                                <w:rPr>
                                  <w:rFonts w:cs="宋体" w:hint="eastAsia"/>
                                  <w:color w:val="FFFFFF"/>
                                </w:rPr>
                                <w:t>工业丝</w:t>
                              </w:r>
                            </w:p>
                          </w:txbxContent>
                        </v:textbox>
                      </v:rect>
                      <v:rect id="Rectangle 35" o:spid="_x0000_s1057" style="position:absolute;left:8062;top:9083;width:1080;height:1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ebcIA&#10;AADbAAAADwAAAGRycy9kb3ducmV2LnhtbESPS2vCQBSF9wX/w3CF7urER0Wjo6jQYne+cH3JXJNo&#10;5k7MTJP4752C0OXhPD7OfNmaQtRUudyygn4vAkGcWJ1zquB0/PqYgHAeWWNhmRQ8yMFy0XmbY6xt&#10;w3uqDz4VYYRdjAoy78tYSpdkZND1bEkcvIutDPogq1TqCpswbgo5iKKxNJhzIGRY0iaj5Hb4NQoC&#10;rGlP9vvm7v5nXU+v5nO3Oyv13m1XMxCeWv8ffrW3WsFwBH9fw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Ut5twgAAANsAAAAPAAAAAAAAAAAAAAAAAJgCAABkcnMvZG93&#10;bnJldi54bWxQSwUGAAAAAAQABAD1AAAAhwMAAAAA&#10;" fillcolor="#339">
                        <v:textbox style="layout-flow:vertical-ideographic">
                          <w:txbxContent>
                            <w:p w:rsidR="00CE488F" w:rsidRDefault="00CE488F" w:rsidP="00852E5D">
                              <w:pPr>
                                <w:jc w:val="center"/>
                                <w:rPr>
                                  <w:color w:val="FFFFFF"/>
                                </w:rPr>
                              </w:pPr>
                              <w:r>
                                <w:rPr>
                                  <w:color w:val="FFFFFF"/>
                                </w:rPr>
                                <w:t>POY/FDY</w:t>
                              </w:r>
                            </w:p>
                            <w:p w:rsidR="00CE488F" w:rsidRDefault="00CE488F" w:rsidP="00852E5D">
                              <w:pPr>
                                <w:jc w:val="center"/>
                                <w:rPr>
                                  <w:color w:val="FFFFFF"/>
                                </w:rPr>
                              </w:pPr>
                              <w:r>
                                <w:rPr>
                                  <w:rFonts w:cs="宋体" w:hint="eastAsia"/>
                                  <w:color w:val="FFFFFF"/>
                                </w:rPr>
                                <w:t>涤纶长丝</w:t>
                              </w:r>
                            </w:p>
                          </w:txbxContent>
                        </v:textbox>
                      </v:rect>
                      <v:rect id="Rectangle 36" o:spid="_x0000_s1058" style="position:absolute;left:9259;top:9084;width:641;height:1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579sIA&#10;AADbAAAADwAAAGRycy9kb3ducmV2LnhtbESPzWrCQBSF94LvMFzBXTOpktJGx6CFlrrTVLq+ZK5J&#10;auZOzEyT9O2dQsHl4fx8nHU2mkb01LnasoLHKAZBXFhdc6ng9Pn28AzCeWSNjWVS8EsOss10ssZU&#10;24GP1Oe+FGGEXYoKKu/bVEpXVGTQRbYlDt7ZdgZ9kF0pdYdDGDeNXMTxkzRYcyBU2NJrRcUl/zEK&#10;AmwYT/b94q5+v+tfvk1yOHwpNZ+N2xUIT6O/h//bH1rBMoG/L+EH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Hnv2wgAAANsAAAAPAAAAAAAAAAAAAAAAAJgCAABkcnMvZG93&#10;bnJldi54bWxQSwUGAAAAAAQABAD1AAAAhwMAAAAA&#10;" fillcolor="#339">
                        <v:textbox style="layout-flow:vertical-ideographic">
                          <w:txbxContent>
                            <w:p w:rsidR="00CE488F" w:rsidRDefault="00CE488F" w:rsidP="00852E5D">
                              <w:pPr>
                                <w:jc w:val="center"/>
                                <w:rPr>
                                  <w:color w:val="FFFFFF"/>
                                </w:rPr>
                              </w:pPr>
                              <w:r>
                                <w:rPr>
                                  <w:rFonts w:cs="宋体" w:hint="eastAsia"/>
                                  <w:color w:val="FFFFFF"/>
                                </w:rPr>
                                <w:t>涤纶短纤</w:t>
                              </w:r>
                            </w:p>
                          </w:txbxContent>
                        </v:textbox>
                      </v:rect>
                      <v:rect id="Rectangle 37" o:spid="_x0000_s1059" style="position:absolute;left:8100;top:10642;width:1800;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RiqMMA&#10;AADbAAAADwAAAGRycy9kb3ducmV2LnhtbESPQWsCMRSE7wX/Q3iCt5q1yiJboxSxoD21a70/N8/N&#10;0s3LksR1/feNUOhxmJlvmNVmsK3oyYfGsYLZNANBXDndcK3g+/j+vAQRIrLG1jEpuFOAzXr0tMJC&#10;uxt/UV/GWiQIhwIVmBi7QspQGbIYpq4jTt7FeYsxSV9L7fGW4LaVL1mWS4sNpwWDHW0NVT/l1Sro&#10;t77emcXHPPfnz/x8OZyuZTwpNRkPb68gIg3xP/zX3msF8xweX9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RiqMMAAADbAAAADwAAAAAAAAAAAAAAAACYAgAAZHJzL2Rv&#10;d25yZXYueG1sUEsFBgAAAAAEAAQA9QAAAIgDAAAAAA==&#10;" fillcolor="#339">
                        <v:textbox>
                          <w:txbxContent>
                            <w:p w:rsidR="00CE488F" w:rsidRDefault="00CE488F" w:rsidP="00852E5D">
                              <w:pPr>
                                <w:jc w:val="center"/>
                                <w:rPr>
                                  <w:color w:val="FFFFFF"/>
                                </w:rPr>
                              </w:pPr>
                              <w:r>
                                <w:rPr>
                                  <w:rFonts w:cs="宋体" w:hint="eastAsia"/>
                                  <w:color w:val="FFFFFF"/>
                                </w:rPr>
                                <w:t>涤纶长丝（</w:t>
                              </w:r>
                              <w:r>
                                <w:rPr>
                                  <w:color w:val="FFFFFF"/>
                                </w:rPr>
                                <w:t>DTY</w:t>
                              </w:r>
                              <w:r>
                                <w:rPr>
                                  <w:rFonts w:cs="宋体" w:hint="eastAsia"/>
                                  <w:color w:val="FFFFFF"/>
                                </w:rPr>
                                <w:t>）</w:t>
                              </w:r>
                            </w:p>
                          </w:txbxContent>
                        </v:textbox>
                      </v:rect>
                      <v:rect id="Rectangle 38" o:spid="_x0000_s1060" style="position:absolute;left:8100;top:11421;width:1800;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ua8QA&#10;AADbAAAADwAAAGRycy9kb3ducmV2LnhtbESPQWvCQBSE74L/YXkFb7qpiinRVWKxUKgI2hw8PrKv&#10;SWj2bZpdY/z3bkHwOMzMN8xq05tadNS6yrKC10kEgji3uuJCQfb9MX4D4TyyxtoyKbiRg816OFhh&#10;ou2Vj9SdfCEChF2CCkrvm0RKl5dk0E1sQxy8H9sa9EG2hdQtXgPc1HIaRQtpsOKwUGJD7yXlv6eL&#10;URDjNtuev25ZlO4uf3iYF/tZlyo1eunTJQhPvX+GH+1PrWAWw/+X8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LmvEAAAA2wAAAA8AAAAAAAAAAAAAAAAAmAIAAGRycy9k&#10;b3ducmV2LnhtbFBLBQYAAAAABAAEAPUAAACJAwAAAAA=&#10;" fillcolor="#3cc">
                        <v:textbox>
                          <w:txbxContent>
                            <w:p w:rsidR="00CE488F" w:rsidRDefault="00CE488F" w:rsidP="00852E5D">
                              <w:pPr>
                                <w:jc w:val="center"/>
                                <w:rPr>
                                  <w:color w:val="FFFFFF"/>
                                </w:rPr>
                              </w:pPr>
                              <w:r>
                                <w:rPr>
                                  <w:rFonts w:cs="宋体" w:hint="eastAsia"/>
                                  <w:color w:val="FFFFFF"/>
                                </w:rPr>
                                <w:t>织造业</w:t>
                              </w:r>
                            </w:p>
                          </w:txbxContent>
                        </v:textbox>
                      </v:rect>
                      <v:line id="Line 39" o:spid="_x0000_s1061" style="position:absolute;visibility:visible;mso-wrap-style:square" from="4320,3791" to="432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YWsEAAADbAAAADwAAAGRycy9kb3ducmV2LnhtbERPz2vCMBS+C/4P4Qm72dQN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elhawQAAANsAAAAPAAAAAAAAAAAAAAAA&#10;AKECAABkcnMvZG93bnJldi54bWxQSwUGAAAAAAQABAD5AAAAjwMAAAAA&#10;">
                        <v:stroke endarrow="block"/>
                      </v:line>
                      <v:line id="Line 40" o:spid="_x0000_s1062" style="position:absolute;visibility:visible;mso-wrap-style:square" from="4320,5808" to="432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line id="Line 41" o:spid="_x0000_s1063" style="position:absolute;flip:x;visibility:visible;mso-wrap-style:square" from="8100,6588" to="9000,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line id="Line 42" o:spid="_x0000_s1064" style="position:absolute;visibility:visible;mso-wrap-style:square" from="6660,6588" to="7740,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line id="Line 45" o:spid="_x0000_s1065" style="position:absolute;flip:x;visibility:visible;mso-wrap-style:square" from="5940,7680" to="7560,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cg8QAAADbAAAADwAAAGRycy9kb3ducmV2LnhtbESPT2vCQBDF70K/wzIFL0E3apGauor9&#10;IwjioeqhxyE7TUKzsyE7avz2rlDw+Hjzfm/efNm5Wp2pDZVnA6NhCoo497biwsDxsB68ggqCbLH2&#10;TAauFGC5eOrNMbP+wt903kuhIoRDhgZKkSbTOuQlOQxD3xBH79e3DiXKttC2xUuEu1qP03SqHVYc&#10;G0ps6KOk/G9/cvGN9Y4/J5Pk3ekkmdHXj2xTLcb0n7vVGyihTh7H/+mNNfAy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pyDxAAAANsAAAAPAAAAAAAAAAAA&#10;AAAAAKECAABkcnMvZG93bnJldi54bWxQSwUGAAAAAAQABAD5AAAAkgMAAAAA&#10;">
                        <v:stroke endarrow="block"/>
                      </v:line>
                      <v:line id="Line 46" o:spid="_x0000_s1066" style="position:absolute;visibility:visible;mso-wrap-style:square" from="8280,7680" to="9900,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line id="Line 47" o:spid="_x0000_s1067" style="position:absolute;visibility:visible;mso-wrap-style:square" from="7920,7680" to="7920,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line id="Line 48" o:spid="_x0000_s1068" style="position:absolute;flip:x;visibility:visible;mso-wrap-style:square" from="8640,8686" to="9630,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sE98UAAADbAAAADwAAAGRycy9kb3ducmV2LnhtbESPT2vCQBDF74LfYRnBS6gbqy01uor9&#10;Iwilh9oeehyyYxLMzobsqOm3dwXB4+PN+715i1XnanWiNlSeDYxHKSji3NuKCwO/P5uHF1BBkC3W&#10;nsnAPwVYLfu9BWbWn/mbTjspVIRwyNBAKdJkWoe8JIdh5Bvi6O1961CibAttWzxHuKv1Y5o+a4cV&#10;x4YSG3orKT/sji6+sfni98kkeXU6SWb08SefqRZjhoNuPQcl1Mn9+JbeWgPTJ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sE98UAAADbAAAADwAAAAAAAAAA&#10;AAAAAAChAgAAZHJzL2Rvd25yZXYueG1sUEsFBgAAAAAEAAQA+QAAAJMDAAAAAA==&#10;">
                        <v:stroke endarrow="block"/>
                      </v:line>
                      <v:line id="Line 49" o:spid="_x0000_s1069" style="position:absolute;flip:x;visibility:visible;mso-wrap-style:square" from="7380,8686" to="9630,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Line 50" o:spid="_x0000_s1070" style="position:absolute;flip:x;visibility:visible;mso-wrap-style:square" from="9540,8686" to="9630,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G8UAAADbAAAADwAAAGRycy9kb3ducmV2LnhtbESPT2vCQBDF74LfYRnBS6gbq7Q1uor9&#10;Iwilh9oeehyyYxLMzobsqOm3dwXB4+PN+715i1XnanWiNlSeDYxHKSji3NuKCwO/P5uHF1BBkC3W&#10;nsnAPwVYLfu9BWbWn/mbTjspVIRwyNBAKdJkWoe8JIdh5Bvi6O1961CibAttWzxHuKv1Y5o+aYcV&#10;x4YSG3orKT/sji6+sfni98kkeXU6SWb08SefqRZjhoNuPQcl1Mn9+JbeWgPTZ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G8UAAADbAAAADwAAAAAAAAAA&#10;AAAAAAChAgAAZHJzL2Rvd25yZXYueG1sUEsFBgAAAAAEAAQA+QAAAJMDAAAAAA==&#10;">
                        <v:stroke endarrow="block"/>
                      </v:line>
                      <v:line id="Line 51" o:spid="_x0000_s1071" style="position:absolute;visibility:visible;mso-wrap-style:square" from="4230,8686" to="4374,9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line id="Line 52" o:spid="_x0000_s1072" style="position:absolute;flip:x;visibility:visible;mso-wrap-style:square" from="3474,8686" to="4230,9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YO8sQAAADbAAAADwAAAGRycy9kb3ducmV2LnhtbESPQWvCQBCF7wX/wzJCL6FuqkU0uoq1&#10;FQTxoO2hxyE7JsHsbMhONf57Vyj0+HjzvjdvvuxcrS7UhsqzgddBCoo497biwsD31+ZlAioIssXa&#10;Mxm4UYDlovc0x8z6Kx/ocpRCRQiHDA2UIk2mdchLchgGviGO3sm3DiXKttC2xWuEu1oP03SsHVYc&#10;G0psaF1Sfj7+uvjGZs8fo1Hy7nSSTOnzR3apFmOe+91qBkqok//jv/TWGnibwm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lg7yxAAAANsAAAAPAAAAAAAAAAAA&#10;AAAAAKECAABkcnMvZG93bnJldi54bWxQSwUGAAAAAAQABAD5AAAAkgMAAAAA&#10;">
                        <v:stroke endarrow="block"/>
                      </v:line>
                      <v:line id="Line 53" o:spid="_x0000_s1073" style="position:absolute;visibility:visible;mso-wrap-style:square" from="4230,8686" to="5274,9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x/MEAAADbAAAADwAAAGRycy9kb3ducmV2LnhtbERPz2vCMBS+C/4P4Qm72dTB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07H8wQAAANsAAAAPAAAAAAAAAAAAAAAA&#10;AKECAABkcnMvZG93bnJldi54bWxQSwUGAAAAAAQABAD5AAAAjwMAAAAA&#10;">
                        <v:stroke endarrow="block"/>
                      </v:line>
                      <v:line id="Line 54" o:spid="_x0000_s1074" style="position:absolute;visibility:visible;mso-wrap-style:square" from="8640,10332" to="8640,10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8UZ8QAAADbAAAADwAAAGRycy9kb3ducmV2LnhtbESPQWsCMRSE7wX/Q3hCbzW7g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nxRnxAAAANsAAAAPAAAAAAAAAAAA&#10;AAAAAKECAABkcnMvZG93bnJldi54bWxQSwUGAAAAAAQABAD5AAAAkgMAAAAA&#10;">
                        <v:stroke endarrow="block"/>
                      </v:line>
                      <v:line id="Line 58" o:spid="_x0000_s1075" style="position:absolute;visibility:visible;mso-wrap-style:square" from="2160,5290" to="10440,5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DSVMcAAADbAAAADwAAAGRycy9kb3ducmV2LnhtbESPT2vCQBTE7wW/w/KE3upGiyLRVWL/&#10;UA8K1eTQ42v2mYRk34bsNsZv3xUKPQ4z8xtmvR1MI3rqXGVZwXQSgSDOra64UJCl709LEM4ja2ws&#10;k4IbOdhuRg9rjLW98on6sy9EgLCLUUHpfRtL6fKSDLqJbYmDd7GdQR9kV0jd4TXATSNnUbSQBisO&#10;CyW29FJSXp9/jILXYb87ZJfD23F++ky/Ft8fSZ08K/U4HpIVCE+D/w//tfdawXwG9y/hB8jN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UNJUxwAAANsAAAAPAAAAAAAA&#10;AAAAAAAAAKECAABkcnMvZG93bnJldi54bWxQSwUGAAAAAAQABAD5AAAAlQMAAAAA&#10;">
                        <v:stroke joinstyle="miter"/>
                      </v:line>
                      <v:line id="Line 59" o:spid="_x0000_s1076" style="position:absolute;visibility:visible;mso-wrap-style:square" from="2160,7033" to="10440,7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mvJsQAAADbAAAADwAAAGRycy9kb3ducmV2LnhtbESPQWvCQBSE7wX/w/KE3urGVkVSV9GS&#10;YqgQ0AZ6fWRfs8Hs25DdavrvuwXB4zAz3zCrzWBbcaHeN44VTCcJCOLK6YZrBeXn+9MShA/IGlvH&#10;pOCXPGzWo4cVptpd+UiXU6hFhLBPUYEJoUul9JUhi37iOuLofbveYoiyr6Xu8RrhtpXPSbKQFhuO&#10;CwY7ejNUnU8/VsGXz8vK7tpDkWWzQ/2RZ2ZflEo9joftK4hAQ7iHb+1cK5i/wP+X+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Ca8mxAAAANsAAAAPAAAAAAAAAAAA&#10;AAAAAKECAABkcnMvZG93bnJldi54bWxQSwUGAAAAAAQABAD5AAAAkgMAAAAA&#10;" strokecolor="#669" strokeweight="1.5pt">
                        <v:stroke dashstyle="dash"/>
                      </v:line>
                      <v:line id="Line 62" o:spid="_x0000_s1077" style="position:absolute;visibility:visible;mso-wrap-style:square" from="9540,10411" to="9540,11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GxTMQAAADbAAAADwAAAGRycy9kb3ducmV2LnhtbESPQWvCQBSE74L/YXlCb3WjVC2pq5RC&#10;S6Eganvo8TX7TILZt2H31aT+elcoeBxm5htmue5do04UYu3ZwGScgSIuvK25NPD1+Xr/CCoKssXG&#10;Mxn4owjr1XCwxNz6jnd02kupEoRjjgYqkTbXOhYVOYxj3xIn7+CDQ0kylNoG7BLcNXqaZXPtsOa0&#10;UGFLLxUVx/2vMxCk3rpGvrvpz2EzO+P2481uFsbcjfrnJ1BCvdzC/+13a2D2ANcv6Qfo1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kbFMxAAAANsAAAAPAAAAAAAAAAAA&#10;AAAAAKECAABkcnMvZG93bnJldi54bWxQSwUGAAAAAAQABAD5AAAAkgMAAAAA&#10;" strokecolor="red">
                        <v:stroke dashstyle="dash" endarrow="block"/>
                      </v:line>
                      <v:line id="Line 63" o:spid="_x0000_s1078" style="position:absolute;visibility:visible;mso-wrap-style:square" from="8280,7680" to="8280,9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U18QAAADbAAAADwAAAGRycy9kb3ducmV2LnhtbESPQWvCQBSE70L/w/IEb7pRSFuiq5RC&#10;S0EQa3vo8Zl9JqHZt2H31UR/fbdQ8DjMzDfMajO4Vp0pxMazgfksA0VcettwZeDz42X6CCoKssXW&#10;Mxm4UITN+m60wsL6nt/pfJBKJQjHAg3UIl2hdSxrchhnviNO3skHh5JkqLQN2Ce4a/Uiy+61w4bT&#10;Qo0dPddUfh9+nIEgzd618tUvjqddfsX99tXuHoyZjIenJSihQW7h//abNZDn8Pcl/QC9/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RTXxAAAANsAAAAPAAAAAAAAAAAA&#10;AAAAAKECAABkcnMvZG93bnJldi54bWxQSwUGAAAAAAQABAD5AAAAkgMAAAAA&#10;" strokecolor="red">
                        <v:stroke dashstyle="dash" endarrow="block"/>
                      </v:line>
                      <v:line id="Line 64" o:spid="_x0000_s1079" style="position:absolute;visibility:visible;mso-wrap-style:square" from="8460,10411" to="8460,11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KoMQAAADbAAAADwAAAGRycy9kb3ducmV2LnhtbESPX2vCQBDE3wt+h2OFvtVLBf+Qekop&#10;VAqCqPWhj9vcmoTm9sLdaqKf3isU+jjMzG+Yxap3jbpQiLVnA8+jDBRx4W3NpYHj5/vTHFQUZIuN&#10;ZzJwpQir5eBhgbn1He/pcpBSJQjHHA1UIm2udSwqchhHviVO3skHh5JkKLUN2CW4a/Q4y6baYc1p&#10;ocKW3ioqfg5nZyBIvXONfHXj79N2csPdZm23M2Meh/3rCyihXv7Df+0Pa2Ayhd8v6Qfo5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4qgxAAAANsAAAAPAAAAAAAAAAAA&#10;AAAAAKECAABkcnMvZG93bnJldi54bWxQSwUGAAAAAAQABAD5AAAAkgMAAAAA&#10;" strokecolor="red">
                        <v:stroke dashstyle="dash" endarrow="block"/>
                      </v:line>
                      <v:line id="Line 68" o:spid="_x0000_s1080" style="position:absolute;flip:x;visibility:visible;mso-wrap-style:square" from="4320,3780" to="6660,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group id="Group 69" o:spid="_x0000_s1081" style="position:absolute;left:5940;top:3619;width:4140;height:3125" coordorigin="5940,3619" coordsize="4140,3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line id="Line 83" o:spid="_x0000_s1082" style="position:absolute;visibility:visible;mso-wrap-style:square" from="7200,3936" to="7200,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kYYcQAAADbAAAADwAAAGRycy9kb3ducmV2LnhtbESPzWrDMBCE74W8g9hAb42cQ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6RhhxAAAANsAAAAPAAAAAAAAAAAA&#10;AAAAAKECAABkcnMvZG93bnJldi54bWxQSwUGAAAAAAQABAD5AAAAkgMAAAAA&#10;">
                          <v:stroke endarrow="block"/>
                        </v:line>
                        <v:rect id="Rectangle 70" o:spid="_x0000_s1083" style="position:absolute;left:6660;top:3619;width:10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yZAsIA&#10;AADbAAAADwAAAGRycy9kb3ducmV2LnhtbERPTWvCQBC9F/wPywjezKYqaUldJZYKQqXQNIceh+w0&#10;Cc3Oxuwak3/vHgo9Pt73dj+aVgzUu8aygscoBkFcWt1wpaD4Oi6fQTiPrLG1TAomcrDfzR62mGp7&#10;408acl+JEMIuRQW1910qpStrMugi2xEH7sf2Bn2AfSV1j7cQblq5iuNEGmw4NNTY0WtN5W9+NQqe&#10;8FAcvt+nIs7erhf82FTn9ZAptZiP2QsIT6P/F/+5T1pBEtaHL+EHy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vJkCwgAAANsAAAAPAAAAAAAAAAAAAAAAAJgCAABkcnMvZG93&#10;bnJldi54bWxQSwUGAAAAAAQABAD1AAAAhwMAAAAA&#10;" fillcolor="#3cc">
                          <v:textbox>
                            <w:txbxContent>
                              <w:p w:rsidR="00CE488F" w:rsidRDefault="00CE488F" w:rsidP="00852E5D">
                                <w:pPr>
                                  <w:jc w:val="center"/>
                                  <w:rPr>
                                    <w:color w:val="FFFFFF"/>
                                  </w:rPr>
                                </w:pPr>
                                <w:r>
                                  <w:rPr>
                                    <w:rFonts w:cs="宋体" w:hint="eastAsia"/>
                                    <w:color w:val="FFFFFF"/>
                                  </w:rPr>
                                  <w:t>石油</w:t>
                                </w:r>
                              </w:p>
                            </w:txbxContent>
                          </v:textbox>
                        </v:rect>
                        <v:rect id="Rectangle 71" o:spid="_x0000_s1084" style="position:absolute;left:6660;top:4248;width:10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oDcAA&#10;AADbAAAADwAAAGRycy9kb3ducmV2LnhtbESP0WoCMRRE34X+Q7hC3zS7SoNsjSIWwVdXP+Cyud0s&#10;bm6WJOrar28KQh+HmTnDrLej68WdQuw8ayjnBQjixpuOWw2X82G2AhETssHeM2l4UoTt5m2yxsr4&#10;B5/oXqdWZAjHCjXYlIZKythYchjnfiDO3rcPDlOWoZUm4CPDXS8XRaGkw47zgsWB9paaa31zGq5f&#10;S1nu7bGs5e1HLZZBOf+htH6fjrtPEInG9B9+tY9Ggyrh70v+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IoDcAAAADbAAAADwAAAAAAAAAAAAAAAACYAgAAZHJzL2Rvd25y&#10;ZXYueG1sUEsFBgAAAAAEAAQA9QAAAIUDAAAAAA==&#10;" fillcolor="#b8cce4">
                          <v:textbox>
                            <w:txbxContent>
                              <w:p w:rsidR="00CE488F" w:rsidRDefault="00CE488F" w:rsidP="00852E5D">
                                <w:pPr>
                                  <w:jc w:val="center"/>
                                  <w:rPr>
                                    <w:color w:val="FFFFFF"/>
                                  </w:rPr>
                                </w:pPr>
                                <w:r>
                                  <w:rPr>
                                    <w:rFonts w:cs="宋体" w:hint="eastAsia"/>
                                    <w:color w:val="FFFFFF"/>
                                  </w:rPr>
                                  <w:t>石脑油</w:t>
                                </w:r>
                              </w:p>
                            </w:txbxContent>
                          </v:textbox>
                        </v:rect>
                        <v:rect id="Rectangle 73" o:spid="_x0000_s1085" style="position:absolute;left:8280;top:5340;width:14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C2esEA&#10;AADbAAAADwAAAGRycy9kb3ducmV2LnhtbESPwWrDMBBE74H+g9hCb4lsh4jgRg4lpZBr3X7AYm0t&#10;Y2tlJCVx+/VVoZDjMDNvmMNxcZO4UoiDZw3lpgBB3HkzcK/h8+NtvQcRE7LByTNp+KYIx+ZhdcDa&#10;+Bu/07VNvcgQjjVqsCnNtZSxs+QwbvxMnL0vHxymLEMvTcBbhrtJVkWhpMOB84LFmU6WurG9OA3j&#10;61aWJ3suW3n5UdU2KOd3Suunx+XlGUSiJd3D/+2z0aAq+PuSf4Bs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QtnrBAAAA2wAAAA8AAAAAAAAAAAAAAAAAmAIAAGRycy9kb3du&#10;cmV2LnhtbFBLBQYAAAAABAAEAPUAAACGAwAAAAA=&#10;" fillcolor="#b8cce4">
                          <v:textbox>
                            <w:txbxContent>
                              <w:p w:rsidR="00CE488F" w:rsidRDefault="00CE488F" w:rsidP="00852E5D">
                                <w:pPr>
                                  <w:jc w:val="center"/>
                                  <w:rPr>
                                    <w:color w:val="FFFFFF"/>
                                  </w:rPr>
                                </w:pPr>
                                <w:r>
                                  <w:rPr>
                                    <w:rFonts w:cs="宋体" w:hint="eastAsia"/>
                                    <w:color w:val="FFFFFF"/>
                                  </w:rPr>
                                  <w:t>对二甲苯</w:t>
                                </w:r>
                                <w:r>
                                  <w:rPr>
                                    <w:color w:val="FFFFFF"/>
                                  </w:rPr>
                                  <w:t>(PX)</w:t>
                                </w:r>
                              </w:p>
                            </w:txbxContent>
                          </v:textbox>
                        </v:rect>
                        <v:rect id="Rectangle 74" o:spid="_x0000_s1086" style="position:absolute;left:5940;top:5340;width:14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wT4cEA&#10;AADbAAAADwAAAGRycy9kb3ducmV2LnhtbESPUWvCMBSF34X9h3CFvWlai0E6o4hj4Ou6/YBLc9cU&#10;m5uSRO389WYw8PFwzvkOZ7uf3CCuFGLvWUO5LEAQt9703Gn4/vpYbEDEhGxw8EwafinCfvcy22Jt&#10;/I0/6dqkTmQIxxo12JTGWsrYWnIYl34kzt6PDw5TlqGTJuAtw90gV0WhpMOe84LFkY6W2nNzcRrO&#10;75Usj/ZUNvJyV6sqKOfXSuvX+XR4A5FoSs/wf/tkNKgK/r7kHyB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5cE+HBAAAA2wAAAA8AAAAAAAAAAAAAAAAAmAIAAGRycy9kb3du&#10;cmV2LnhtbFBLBQYAAAAABAAEAPUAAACGAwAAAAA=&#10;" fillcolor="#b8cce4">
                          <v:textbox>
                            <w:txbxContent>
                              <w:p w:rsidR="00CE488F" w:rsidRDefault="00CE488F" w:rsidP="00852E5D">
                                <w:pPr>
                                  <w:jc w:val="center"/>
                                  <w:rPr>
                                    <w:color w:val="FFFFFF"/>
                                  </w:rPr>
                                </w:pPr>
                                <w:r>
                                  <w:rPr>
                                    <w:rFonts w:cs="宋体" w:hint="eastAsia"/>
                                    <w:color w:val="FFFFFF"/>
                                  </w:rPr>
                                  <w:t>乙烯</w:t>
                                </w:r>
                              </w:p>
                            </w:txbxContent>
                          </v:textbox>
                        </v:rect>
                        <v:rect id="Rectangle 75" o:spid="_x0000_s1087" style="position:absolute;left:5940;top:6120;width:144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cbS70A&#10;AADbAAAADwAAAGRycy9kb3ducmV2LnhtbERPzYrCMBC+L/gOYQRva1plq1SjiCJ43a4PMDRjU2wm&#10;JYlafXpzEPb48f2vt4PtxJ18aB0ryKcZCOLa6ZYbBee/4/cSRIjIGjvHpOBJAbab0dcaS+0e/Ev3&#10;KjYihXAoUYGJsS+lDLUhi2HqeuLEXZy3GBP0jdQeHyncdnKWZYW02HJqMNjT3lB9rW5WwfUwl/ne&#10;nPJK3l7FbO4L634KpSbjYbcCEWmI/+KP+6QVLNL69CX9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1cbS70AAADbAAAADwAAAAAAAAAAAAAAAACYAgAAZHJzL2Rvd25yZXYu&#10;eG1sUEsFBgAAAAAEAAQA9QAAAIIDAAAAAA==&#10;" fillcolor="#b8cce4">
                          <v:textbox>
                            <w:txbxContent>
                              <w:p w:rsidR="00CE488F" w:rsidRDefault="00CE488F" w:rsidP="00852E5D">
                                <w:pPr>
                                  <w:jc w:val="center"/>
                                  <w:rPr>
                                    <w:color w:val="FFFFFF"/>
                                  </w:rPr>
                                </w:pPr>
                                <w:r>
                                  <w:rPr>
                                    <w:rFonts w:cs="宋体" w:hint="eastAsia"/>
                                    <w:color w:val="FFFFFF"/>
                                  </w:rPr>
                                  <w:t>乙二醇</w:t>
                                </w:r>
                                <w:r>
                                  <w:rPr>
                                    <w:color w:val="FFFFFF"/>
                                  </w:rPr>
                                  <w:t>MEG</w:t>
                                </w:r>
                              </w:p>
                            </w:txbxContent>
                          </v:textbox>
                        </v:rect>
                        <v:rect id="Rectangle 76" o:spid="_x0000_s1088" style="position:absolute;left:8062;top:6120;width:2018;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dDHMMA&#10;AADbAAAADwAAAGRycy9kb3ducmV2LnhtbESPQWsCMRSE7wX/Q3hCbzVrW7ayGqWIQuupbvX+3Dw3&#10;i5uXJYnr9t+bQqHHYWa+YRarwbaiJx8axwqmkwwEceV0w7WCw/f2aQYiRGSNrWNS8EMBVsvRwwIL&#10;7W68p76MtUgQDgUqMDF2hZShMmQxTFxHnLyz8xZjkr6W2uMtwW0rn7MslxYbTgsGO1obqi7l1Sro&#10;177emNfdS+5PX/np/Hm8lvGo1ON4eJ+DiDTE//Bf+0MreJvC75f0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dDHMMAAADbAAAADwAAAAAAAAAAAAAAAACYAgAAZHJzL2Rv&#10;d25yZXYueG1sUEsFBgAAAAAEAAQA9QAAAIgDAAAAAA==&#10;" fillcolor="#339">
                          <v:textbox>
                            <w:txbxContent>
                              <w:p w:rsidR="00CE488F" w:rsidRDefault="00CE488F" w:rsidP="00852E5D">
                                <w:pPr>
                                  <w:jc w:val="center"/>
                                  <w:rPr>
                                    <w:color w:val="FFFFFF"/>
                                  </w:rPr>
                                </w:pPr>
                                <w:r>
                                  <w:rPr>
                                    <w:rFonts w:cs="宋体" w:hint="eastAsia"/>
                                    <w:color w:val="FFFFFF"/>
                                  </w:rPr>
                                  <w:t>精对苯二甲酸</w:t>
                                </w:r>
                                <w:r>
                                  <w:rPr>
                                    <w:color w:val="FFFFFF"/>
                                  </w:rPr>
                                  <w:t>PTA</w:t>
                                </w:r>
                              </w:p>
                            </w:txbxContent>
                          </v:textbox>
                        </v:rect>
                        <v:line id="Line 77" o:spid="_x0000_s1089" style="position:absolute;visibility:visible;mso-wrap-style:square" from="6300,4387" to="630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WcMQAAADbAAAADwAAAGRycy9kb3ducmV2LnhtbESPQWvCQBSE7wX/w/IK3uomHrSmrqEY&#10;Ch5sQS09v2af2WD2bchu4/rv3UKhx2Hmm2HWZbSdGGnwrWMF+SwDQVw73XKj4PP09vQMwgdkjZ1j&#10;UnAjD+Vm8rDGQrsrH2g8hkakEvYFKjAh9IWUvjZk0c9cT5y8sxsshiSHRuoBr6ncdnKeZQtpseW0&#10;YLCnraH6cvyxCpamOsilrPanj2ps81V8j1/fK6Wmj/H1BUSgGP7Df/ROJ24Ov1/S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ZwxAAAANsAAAAPAAAAAAAAAAAA&#10;AAAAAKECAABkcnMvZG93bnJldi54bWxQSwUGAAAAAAQABAD5AAAAkgMAAAAA&#10;">
                          <v:stroke endarrow="block"/>
                        </v:line>
                        <v:line id="Line 78" o:spid="_x0000_s1090" style="position:absolute;visibility:visible;mso-wrap-style:square" from="9000,4374" to="9000,4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z68QAAADbAAAADwAAAGRycy9kb3ducmV2LnhtbESPQWsCMRSE74L/ITyhN83aQ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tHPrxAAAANsAAAAPAAAAAAAAAAAA&#10;AAAAAKECAABkcnMvZG93bnJldi54bWxQSwUGAAAAAAQABAD5AAAAkgMAAAAA&#10;">
                          <v:stroke endarrow="block"/>
                        </v:line>
                        <v:line id="Line 79" o:spid="_x0000_s1091" style="position:absolute;visibility:visible;mso-wrap-style:square" from="9000,5028" to="900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3rn8QAAADbAAAADwAAAGRycy9kb3ducmV2LnhtbESPQWsCMRSE74L/ITyhN81aS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eufxAAAANsAAAAPAAAAAAAAAAAA&#10;AAAAAKECAABkcnMvZG93bnJldi54bWxQSwUGAAAAAAQABAD5AAAAkgMAAAAA&#10;">
                          <v:stroke endarrow="block"/>
                        </v:line>
                        <v:line id="Line 80" o:spid="_x0000_s1092" style="position:absolute;visibility:visible;mso-wrap-style:square" from="9000,5808" to="900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BMQAAADbAAAADwAAAGRycy9kb3ducmV2LnhtbESPQWsCMRSE74L/ITyhN81aaN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4ExAAAANsAAAAPAAAAAAAAAAAA&#10;AAAAAKECAABkcnMvZG93bnJldi54bWxQSwUGAAAAAAQABAD5AAAAkgMAAAAA&#10;">
                          <v:stroke endarrow="block"/>
                        </v:line>
                        <v:line id="Line 81" o:spid="_x0000_s1093" style="position:absolute;visibility:visible;mso-wrap-style:square" from="6660,5808" to="666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PQc8MAAADbAAAADwAAAGRycy9kb3ducmV2LnhtbESPQWsCMRSE7wX/Q3hCbzWrB62rUcRF&#10;8FALaun5uXluFjcvyyau6b9vhEKPw8w3wyzX0Taip87XjhWMRxkI4tLpmisFX+fd2zsIH5A1No5J&#10;wQ95WK8GL0vMtXvwkfpTqEQqYZ+jAhNCm0vpS0MW/ci1xMm7us5iSLKrpO7wkcptIydZNpUWa04L&#10;BlvaGipvp7tVMDPFUc5k8XH+LPp6PI+H+H2ZK/U6jJsFiEAx/If/6L1O3BSeX9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0HPDAAAA2wAAAA8AAAAAAAAAAAAA&#10;AAAAoQIAAGRycy9kb3ducmV2LnhtbFBLBQYAAAAABAAEAPkAAACRAwAAAAA=&#10;">
                          <v:stroke endarrow="block"/>
                        </v:line>
                        <v:line id="Line 84" o:spid="_x0000_s1094" style="position:absolute;flip:x;visibility:visible;mso-wrap-style:square" from="6300,4374" to="6660,4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85" o:spid="_x0000_s1095" style="position:absolute;visibility:visible;mso-wrap-style:square" from="7740,4387" to="9000,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6j4MUAAADbAAAADwAAAGRycy9kb3ducmV2LnhtbESPQWvCQBSE74L/YXlCb7qxhSDRVUQp&#10;aA+lWkGPz+wziWbfht1tkv77bqHQ4zAz3zCLVW9q0ZLzlWUF00kCgji3uuJCwenzdTwD4QOyxtoy&#10;KfgmD6vlcLDATNuOD9QeQyEihH2GCsoQmkxKn5dk0E9sQxy9m3UGQ5SukNphF+Gmls9JkkqDFceF&#10;EhvalJQ/jl9GwfvL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6j4MUAAADbAAAADwAAAAAAAAAA&#10;AAAAAAChAgAAZHJzL2Rvd25yZXYueG1sUEsFBgAAAAAEAAQA+QAAAJMDAAAAAA==&#10;"/>
                        <v:rect id="Rectangle 72" o:spid="_x0000_s1096" style="position:absolute;left:8460;top:4688;width:108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zGMAA&#10;AADbAAAADwAAAGRycy9kb3ducmV2LnhtbESP0YrCMBRE34X9h3AXfNO0ilW6RllcBF/t+gGX5toU&#10;m5uSRO369UYQ9nGYmTPMejvYTtzIh9axgnyagSCunW65UXD63U9WIEJE1tg5JgV/FGC7+RitsdTu&#10;zke6VbERCcKhRAUmxr6UMtSGLIap64mTd3beYkzSN1J7vCe47eQsywppseW0YLCnnaH6Ul2tgsvP&#10;XOY7c8greX0Us7kvrFsUSo0/h+8vEJGG+B9+tw9awWoJry/pB8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vzGMAAAADbAAAADwAAAAAAAAAAAAAAAACYAgAAZHJzL2Rvd25y&#10;ZXYueG1sUEsFBgAAAAAEAAQA9QAAAIUDAAAAAA==&#10;" fillcolor="#b8cce4">
                          <v:textbox>
                            <w:txbxContent>
                              <w:p w:rsidR="00CE488F" w:rsidRDefault="00CE488F" w:rsidP="00852E5D">
                                <w:pPr>
                                  <w:jc w:val="center"/>
                                  <w:rPr>
                                    <w:color w:val="FFFFFF"/>
                                  </w:rPr>
                                </w:pPr>
                                <w:r>
                                  <w:rPr>
                                    <w:rFonts w:cs="宋体" w:hint="eastAsia"/>
                                    <w:color w:val="FFFFFF"/>
                                  </w:rPr>
                                  <w:t>二甲苯</w:t>
                                </w:r>
                              </w:p>
                            </w:txbxContent>
                          </v:textbox>
                        </v:rect>
                      </v:group>
                      <v:rect id="Rectangle 27" o:spid="_x0000_s1097" style="position:absolute;left:6480;top:7212;width:3150;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psAA&#10;AADbAAAADwAAAGRycy9kb3ducmV2LnhtbERPz2vCMBS+D/wfwhN2m6lTinRGGeLAedI678/m2ZQ1&#10;LyWJtfvvl4Pg8eP7vVwPthU9+dA4VjCdZCCIK6cbrhX8nL7eFiBCRNbYOiYFfxRgvRq9LLHQ7s5H&#10;6stYixTCoUAFJsaukDJUhiyGieuIE3d13mJM0NdSe7yncNvK9yzLpcWGU4PBjjaGqt/yZhX0G19v&#10;zXw/y/3lkF+u3+dbGc9KvY6Hzw8QkYb4FD/cO61gkcamL+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apsAAAADbAAAADwAAAAAAAAAAAAAAAACYAgAAZHJzL2Rvd25y&#10;ZXYueG1sUEsFBgAAAAAEAAQA9QAAAIUDAAAAAA==&#10;" fillcolor="#339">
                        <v:textbox>
                          <w:txbxContent>
                            <w:p w:rsidR="00CE488F" w:rsidRDefault="00CE488F" w:rsidP="00852E5D">
                              <w:pPr>
                                <w:jc w:val="center"/>
                                <w:rPr>
                                  <w:color w:val="FFFFFF"/>
                                </w:rPr>
                              </w:pPr>
                              <w:r>
                                <w:rPr>
                                  <w:rFonts w:cs="宋体" w:hint="eastAsia"/>
                                  <w:color w:val="FFFFFF"/>
                                </w:rPr>
                                <w:t>聚对苯二甲酸乙二醇酯</w:t>
                              </w:r>
                              <w:r>
                                <w:rPr>
                                  <w:color w:val="FFFFFF"/>
                                </w:rPr>
                                <w:t>PET</w:t>
                              </w:r>
                            </w:p>
                          </w:txbxContent>
                        </v:textbox>
                      </v:rect>
                    </v:group>
                  </v:group>
                </v:group>
                <v:group id="Group 75" o:spid="_x0000_s1098" style="position:absolute;left:4027;top:8551;width:2654;height:685" coordorigin="3854,12318" coordsize="2654,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rect id="Rectangle 20" o:spid="_x0000_s1099" style="position:absolute;left:4785;top:12318;width:543;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v9sb0A&#10;AADbAAAADwAAAGRycy9kb3ducmV2LnhtbERPzYrCMBC+L/gOYQRva1pli1ajiCJ43a4PMDRjU2wm&#10;JYlafXpzEPb48f2vt4PtxJ18aB0ryKcZCOLa6ZYbBee/4/cCRIjIGjvHpOBJAbab0dcaS+0e/Ev3&#10;KjYihXAoUYGJsS+lDLUhi2HqeuLEXZy3GBP0jdQeHyncdnKWZYW02HJqMNjT3lB9rW5WwfUwl/ne&#10;nPJK3l7FbO4L634KpSbjYbcCEWmI/+KP+6QVLNP69CX9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1v9sb0AAADbAAAADwAAAAAAAAAAAAAAAACYAgAAZHJzL2Rvd25yZXYu&#10;eG1sUEsFBgAAAAAEAAQA9QAAAIIDAAAAAA==&#10;" fillcolor="#b8cce4">
                    <v:textbox>
                      <w:txbxContent>
                        <w:p w:rsidR="00CE488F" w:rsidRDefault="00CE488F" w:rsidP="00852E5D">
                          <w:pPr>
                            <w:jc w:val="center"/>
                            <w:rPr>
                              <w:color w:val="FFFFFF"/>
                            </w:rPr>
                          </w:pPr>
                        </w:p>
                      </w:txbxContent>
                    </v:textbox>
                  </v:rect>
                  <v:rect id="Rectangle 21" o:spid="_x0000_s1100" style="position:absolute;left:3854;top:12552;width:2654;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NR3sQA&#10;AADbAAAADwAAAGRycy9kb3ducmV2LnhtbESPQWvCQBSE74X+h+UVeim60YPYmI0UoTQUQYzV8yP7&#10;TEKzb2N2TeK/dwsFj8PMfMMk69E0oqfO1ZYVzKYRCOLC6ppLBT+Hz8kShPPIGhvLpOBGDtbp81OC&#10;sbYD76nPfSkChF2MCirv21hKV1Rk0E1tSxy8s+0M+iC7UuoOhwA3jZxH0UIarDksVNjSpqLiN78a&#10;BUOx60+H7ZfcvZ0yy5fsssmP30q9vowfKxCeRv8I/7czreB9Bn9fwg+Q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TUd7EAAAA2wAAAA8AAAAAAAAAAAAAAAAAmAIAAGRycy9k&#10;b3ducmV2LnhtbFBLBQYAAAAABAAEAPUAAACJAwAAAAA=&#10;" filled="f" stroked="f">
                    <v:textbox>
                      <w:txbxContent>
                        <w:p w:rsidR="00CE488F" w:rsidRDefault="00CE488F" w:rsidP="00852E5D">
                          <w:r>
                            <w:rPr>
                              <w:rFonts w:cs="宋体" w:hint="eastAsia"/>
                            </w:rPr>
                            <w:t>文莱</w:t>
                          </w:r>
                          <w:r>
                            <w:t>PMB</w:t>
                          </w:r>
                          <w:r>
                            <w:rPr>
                              <w:rFonts w:cs="宋体" w:hint="eastAsia"/>
                            </w:rPr>
                            <w:t>石油化工项目</w:t>
                          </w:r>
                        </w:p>
                      </w:txbxContent>
                    </v:textbox>
                  </v:rect>
                </v:group>
                <w10:anchorlock/>
              </v:group>
            </w:pict>
          </mc:Fallback>
        </mc:AlternateContent>
      </w:r>
    </w:p>
    <w:p w:rsidR="00BC4D56" w:rsidRPr="000A5B5D" w:rsidRDefault="00BC4D56" w:rsidP="00852E5D">
      <w:pPr>
        <w:autoSpaceDE w:val="0"/>
        <w:autoSpaceDN w:val="0"/>
        <w:adjustRightInd w:val="0"/>
        <w:spacing w:before="0" w:after="0" w:line="360" w:lineRule="auto"/>
        <w:ind w:firstLine="562"/>
        <w:jc w:val="left"/>
        <w:rPr>
          <w:rFonts w:eastAsia="Times New Roman"/>
          <w:b/>
          <w:kern w:val="0"/>
          <w:sz w:val="24"/>
          <w:szCs w:val="24"/>
          <w:lang w:val="zh-CN"/>
        </w:rPr>
      </w:pPr>
      <w:r w:rsidRPr="000A5B5D">
        <w:rPr>
          <w:rFonts w:eastAsia="Times New Roman"/>
          <w:b/>
          <w:kern w:val="0"/>
          <w:sz w:val="24"/>
          <w:szCs w:val="24"/>
          <w:lang w:val="zh-CN"/>
        </w:rPr>
        <w:t>2</w:t>
      </w:r>
      <w:r w:rsidRPr="000A5B5D">
        <w:rPr>
          <w:rFonts w:ascii="宋体" w:hAnsi="宋体" w:cs="宋体" w:hint="eastAsia"/>
          <w:b/>
          <w:kern w:val="0"/>
          <w:sz w:val="24"/>
          <w:szCs w:val="24"/>
          <w:lang w:val="zh-CN"/>
        </w:rPr>
        <w:t>、公司现有产业链业务概述</w:t>
      </w:r>
    </w:p>
    <w:p w:rsidR="00BC4D56" w:rsidRPr="000A5B5D" w:rsidRDefault="00BC4D56" w:rsidP="00852E5D">
      <w:pPr>
        <w:autoSpaceDE w:val="0"/>
        <w:autoSpaceDN w:val="0"/>
        <w:adjustRightInd w:val="0"/>
        <w:spacing w:before="0" w:after="0" w:line="360" w:lineRule="auto"/>
        <w:ind w:firstLine="562"/>
        <w:jc w:val="left"/>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1</w:t>
      </w:r>
      <w:r w:rsidRPr="000A5B5D">
        <w:rPr>
          <w:rFonts w:ascii="宋体" w:hAnsi="宋体" w:cs="宋体" w:hint="eastAsia"/>
          <w:b/>
          <w:kern w:val="0"/>
          <w:sz w:val="24"/>
          <w:szCs w:val="24"/>
          <w:lang w:val="zh-CN"/>
        </w:rPr>
        <w:t>）精对苯二甲酸（</w:t>
      </w:r>
      <w:r w:rsidRPr="000A5B5D">
        <w:rPr>
          <w:rFonts w:eastAsia="Times New Roman"/>
          <w:b/>
          <w:kern w:val="0"/>
          <w:sz w:val="24"/>
          <w:szCs w:val="24"/>
          <w:lang w:val="zh-CN"/>
        </w:rPr>
        <w:t>PTA</w:t>
      </w:r>
      <w:r w:rsidRPr="000A5B5D">
        <w:rPr>
          <w:rFonts w:ascii="宋体" w:hAnsi="宋体" w:cs="宋体" w:hint="eastAsia"/>
          <w:b/>
          <w:kern w:val="0"/>
          <w:sz w:val="24"/>
          <w:szCs w:val="24"/>
          <w:lang w:val="zh-CN"/>
        </w:rPr>
        <w:t>）业务概述</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eastAsia="Times New Roman"/>
          <w:kern w:val="0"/>
          <w:sz w:val="24"/>
          <w:szCs w:val="24"/>
          <w:lang w:val="zh-CN"/>
        </w:rPr>
        <w:t>PTA</w:t>
      </w:r>
      <w:r w:rsidRPr="000A5B5D">
        <w:rPr>
          <w:rFonts w:ascii="宋体" w:hAnsi="宋体" w:cs="宋体" w:hint="eastAsia"/>
          <w:kern w:val="0"/>
          <w:sz w:val="24"/>
          <w:szCs w:val="24"/>
          <w:lang w:val="zh-CN"/>
        </w:rPr>
        <w:t>产品以对二甲苯（</w:t>
      </w:r>
      <w:r w:rsidRPr="000A5B5D">
        <w:rPr>
          <w:rFonts w:eastAsia="Times New Roman"/>
          <w:kern w:val="0"/>
          <w:sz w:val="24"/>
          <w:szCs w:val="24"/>
          <w:lang w:val="zh-CN"/>
        </w:rPr>
        <w:t>PX</w:t>
      </w:r>
      <w:r w:rsidRPr="000A5B5D">
        <w:rPr>
          <w:rFonts w:ascii="宋体" w:hAnsi="宋体" w:cs="宋体" w:hint="eastAsia"/>
          <w:kern w:val="0"/>
          <w:sz w:val="24"/>
          <w:szCs w:val="24"/>
          <w:lang w:val="zh-CN"/>
        </w:rPr>
        <w:t>）为原料，液相氧化生成粗对苯二甲酸，再经加氢精制、结晶、分离、干燥形成的重要的大宗有机原料之一，产品为白色晶体或粉末，低毒、可燃，其主要用途是生产聚酯纤维、聚酯薄膜和聚酯瓶片，广泛应用于化学纤维、轻工、电子、建筑等国民经济的各个方面。</w:t>
      </w:r>
      <w:r w:rsidRPr="000A5B5D">
        <w:rPr>
          <w:rFonts w:eastAsia="Times New Roman"/>
          <w:kern w:val="0"/>
          <w:sz w:val="24"/>
          <w:szCs w:val="24"/>
          <w:lang w:val="zh-CN"/>
        </w:rPr>
        <w:t>PTA</w:t>
      </w:r>
      <w:r w:rsidRPr="000A5B5D">
        <w:rPr>
          <w:rFonts w:ascii="宋体" w:hAnsi="宋体" w:cs="宋体" w:hint="eastAsia"/>
          <w:kern w:val="0"/>
          <w:sz w:val="24"/>
          <w:szCs w:val="24"/>
          <w:lang w:val="zh-CN"/>
        </w:rPr>
        <w:t>应用比较集中，世界上</w:t>
      </w:r>
      <w:r w:rsidRPr="000A5B5D">
        <w:rPr>
          <w:rFonts w:eastAsia="Times New Roman"/>
          <w:kern w:val="0"/>
          <w:sz w:val="24"/>
          <w:szCs w:val="24"/>
          <w:lang w:val="zh-CN"/>
        </w:rPr>
        <w:t>90%</w:t>
      </w:r>
      <w:r w:rsidRPr="000A5B5D">
        <w:rPr>
          <w:rFonts w:ascii="宋体" w:hAnsi="宋体" w:cs="宋体" w:hint="eastAsia"/>
          <w:kern w:val="0"/>
          <w:sz w:val="24"/>
          <w:szCs w:val="24"/>
          <w:lang w:val="zh-CN"/>
        </w:rPr>
        <w:t>以上的</w:t>
      </w:r>
      <w:r w:rsidRPr="000A5B5D">
        <w:rPr>
          <w:rFonts w:eastAsia="Times New Roman"/>
          <w:kern w:val="0"/>
          <w:sz w:val="24"/>
          <w:szCs w:val="24"/>
          <w:lang w:val="zh-CN"/>
        </w:rPr>
        <w:t>PTA</w:t>
      </w:r>
      <w:r w:rsidRPr="000A5B5D">
        <w:rPr>
          <w:rFonts w:ascii="宋体" w:hAnsi="宋体" w:cs="宋体" w:hint="eastAsia"/>
          <w:kern w:val="0"/>
          <w:sz w:val="24"/>
          <w:szCs w:val="24"/>
          <w:lang w:val="zh-CN"/>
        </w:rPr>
        <w:t>用于生产聚对苯二甲酸乙二醇酯（</w:t>
      </w:r>
      <w:r w:rsidRPr="000A5B5D">
        <w:rPr>
          <w:rFonts w:eastAsia="Times New Roman"/>
          <w:kern w:val="0"/>
          <w:sz w:val="24"/>
          <w:szCs w:val="24"/>
          <w:lang w:val="zh-CN"/>
        </w:rPr>
        <w:t>PET</w:t>
      </w:r>
      <w:r w:rsidRPr="000A5B5D">
        <w:rPr>
          <w:rFonts w:ascii="宋体" w:hAnsi="宋体" w:cs="宋体" w:hint="eastAsia"/>
          <w:kern w:val="0"/>
          <w:sz w:val="24"/>
          <w:szCs w:val="24"/>
          <w:lang w:val="zh-CN"/>
        </w:rPr>
        <w:t>），其它部分主要作为聚对苯二甲酸丙二醇酯（</w:t>
      </w:r>
      <w:r w:rsidRPr="000A5B5D">
        <w:rPr>
          <w:rFonts w:eastAsia="Times New Roman"/>
          <w:kern w:val="0"/>
          <w:sz w:val="24"/>
          <w:szCs w:val="24"/>
          <w:lang w:val="zh-CN"/>
        </w:rPr>
        <w:t>PTT</w:t>
      </w:r>
      <w:r w:rsidRPr="000A5B5D">
        <w:rPr>
          <w:rFonts w:ascii="宋体" w:hAnsi="宋体" w:cs="宋体" w:hint="eastAsia"/>
          <w:kern w:val="0"/>
          <w:sz w:val="24"/>
          <w:szCs w:val="24"/>
          <w:lang w:val="zh-CN"/>
        </w:rPr>
        <w:t>）和聚对苯二甲酸丁二</w:t>
      </w:r>
      <w:r w:rsidRPr="000A5B5D">
        <w:rPr>
          <w:rFonts w:ascii="宋体" w:hAnsi="宋体" w:cs="宋体" w:hint="eastAsia"/>
          <w:kern w:val="0"/>
          <w:sz w:val="24"/>
          <w:szCs w:val="24"/>
          <w:lang w:val="zh-CN"/>
        </w:rPr>
        <w:lastRenderedPageBreak/>
        <w:t>醇酯（</w:t>
      </w:r>
      <w:r w:rsidRPr="000A5B5D">
        <w:rPr>
          <w:rFonts w:eastAsia="Times New Roman"/>
          <w:kern w:val="0"/>
          <w:sz w:val="24"/>
          <w:szCs w:val="24"/>
          <w:lang w:val="zh-CN"/>
        </w:rPr>
        <w:t>PBT</w:t>
      </w:r>
      <w:r w:rsidRPr="000A5B5D">
        <w:rPr>
          <w:rFonts w:ascii="宋体" w:hAnsi="宋体" w:cs="宋体" w:hint="eastAsia"/>
          <w:kern w:val="0"/>
          <w:sz w:val="24"/>
          <w:szCs w:val="24"/>
          <w:lang w:val="zh-CN"/>
        </w:rPr>
        <w:t>）及其它产品的原料。</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ascii="宋体" w:hAnsi="宋体" w:cs="宋体" w:hint="eastAsia"/>
          <w:kern w:val="0"/>
          <w:sz w:val="24"/>
          <w:szCs w:val="24"/>
          <w:lang w:val="zh-CN"/>
        </w:rPr>
        <w:t>本报告期末，公司</w:t>
      </w:r>
      <w:r w:rsidRPr="000A5B5D">
        <w:rPr>
          <w:rFonts w:eastAsia="Times New Roman"/>
          <w:kern w:val="0"/>
          <w:sz w:val="24"/>
          <w:szCs w:val="24"/>
          <w:lang w:val="zh-CN"/>
        </w:rPr>
        <w:t>PTA</w:t>
      </w:r>
      <w:r w:rsidRPr="000A5B5D">
        <w:rPr>
          <w:rFonts w:ascii="宋体" w:hAnsi="宋体" w:cs="宋体" w:hint="eastAsia"/>
          <w:kern w:val="0"/>
          <w:sz w:val="24"/>
          <w:szCs w:val="24"/>
          <w:lang w:val="zh-CN"/>
        </w:rPr>
        <w:t>生产销售主体为浙江逸盛、海南逸盛和逸盛大化三家公司。三家</w:t>
      </w:r>
      <w:r w:rsidRPr="000A5B5D">
        <w:rPr>
          <w:rFonts w:eastAsia="Times New Roman"/>
          <w:kern w:val="0"/>
          <w:sz w:val="24"/>
          <w:szCs w:val="24"/>
          <w:lang w:val="zh-CN"/>
        </w:rPr>
        <w:t>PTA</w:t>
      </w:r>
      <w:r w:rsidRPr="000A5B5D">
        <w:rPr>
          <w:rFonts w:ascii="宋体" w:hAnsi="宋体" w:cs="宋体" w:hint="eastAsia"/>
          <w:kern w:val="0"/>
          <w:sz w:val="24"/>
          <w:szCs w:val="24"/>
          <w:lang w:val="zh-CN"/>
        </w:rPr>
        <w:t>公司均配套自有码头，三家合计产能</w:t>
      </w:r>
      <w:r w:rsidRPr="000A5B5D">
        <w:rPr>
          <w:rFonts w:eastAsia="Times New Roman"/>
          <w:kern w:val="0"/>
          <w:sz w:val="24"/>
          <w:szCs w:val="24"/>
          <w:lang w:val="zh-CN"/>
        </w:rPr>
        <w:t>1350</w:t>
      </w:r>
      <w:r w:rsidRPr="000A5B5D">
        <w:rPr>
          <w:rFonts w:ascii="宋体" w:hAnsi="宋体" w:cs="宋体" w:hint="eastAsia"/>
          <w:kern w:val="0"/>
          <w:sz w:val="24"/>
          <w:szCs w:val="24"/>
          <w:lang w:val="zh-CN"/>
        </w:rPr>
        <w:t>万吨，位居全球首位，占国内总产能的</w:t>
      </w:r>
      <w:r w:rsidRPr="000A5B5D">
        <w:rPr>
          <w:rFonts w:eastAsia="Times New Roman"/>
          <w:kern w:val="0"/>
          <w:sz w:val="24"/>
          <w:szCs w:val="24"/>
          <w:lang w:val="zh-CN"/>
        </w:rPr>
        <w:t>28.77%</w:t>
      </w:r>
      <w:r w:rsidRPr="000A5B5D">
        <w:rPr>
          <w:rFonts w:ascii="宋体" w:hAnsi="宋体" w:cs="宋体" w:hint="eastAsia"/>
          <w:kern w:val="0"/>
          <w:sz w:val="24"/>
          <w:szCs w:val="24"/>
          <w:lang w:val="zh-CN"/>
        </w:rPr>
        <w:t>，占国内运行总产能的</w:t>
      </w:r>
      <w:r w:rsidRPr="000A5B5D">
        <w:rPr>
          <w:rFonts w:eastAsia="Times New Roman"/>
          <w:kern w:val="0"/>
          <w:sz w:val="24"/>
          <w:szCs w:val="24"/>
          <w:lang w:val="zh-CN"/>
        </w:rPr>
        <w:t>39.57%</w:t>
      </w:r>
      <w:r w:rsidRPr="000A5B5D">
        <w:rPr>
          <w:rFonts w:ascii="宋体" w:hAnsi="宋体" w:cs="宋体" w:hint="eastAsia"/>
          <w:kern w:val="0"/>
          <w:sz w:val="24"/>
          <w:szCs w:val="24"/>
          <w:lang w:val="zh-CN"/>
        </w:rPr>
        <w:t>。</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年，借助行业去产能的良好机遇期，公司在</w:t>
      </w:r>
      <w:r w:rsidRPr="000A5B5D">
        <w:rPr>
          <w:rFonts w:eastAsia="Times New Roman"/>
          <w:kern w:val="0"/>
          <w:sz w:val="24"/>
          <w:szCs w:val="24"/>
          <w:lang w:val="zh-CN"/>
        </w:rPr>
        <w:t>PTA</w:t>
      </w:r>
      <w:r w:rsidRPr="000A5B5D">
        <w:rPr>
          <w:rFonts w:ascii="宋体" w:hAnsi="宋体" w:cs="宋体" w:hint="eastAsia"/>
          <w:kern w:val="0"/>
          <w:sz w:val="24"/>
          <w:szCs w:val="24"/>
          <w:lang w:val="zh-CN"/>
        </w:rPr>
        <w:t>业务规模、成本、产业链配套、技术、团队以及市场话语权等比较优势更加凸显，</w:t>
      </w:r>
      <w:r w:rsidRPr="000A5B5D">
        <w:rPr>
          <w:rFonts w:eastAsia="Times New Roman"/>
          <w:kern w:val="0"/>
          <w:sz w:val="24"/>
          <w:szCs w:val="24"/>
          <w:lang w:val="zh-CN"/>
        </w:rPr>
        <w:t>2016</w:t>
      </w:r>
      <w:r w:rsidRPr="000A5B5D">
        <w:rPr>
          <w:rFonts w:ascii="宋体" w:hAnsi="宋体" w:cs="宋体" w:hint="eastAsia"/>
          <w:kern w:val="0"/>
          <w:sz w:val="24"/>
          <w:szCs w:val="24"/>
          <w:lang w:val="zh-CN"/>
        </w:rPr>
        <w:t>年公司预计随着</w:t>
      </w:r>
      <w:r w:rsidRPr="000A5B5D">
        <w:rPr>
          <w:rFonts w:eastAsia="Times New Roman"/>
          <w:kern w:val="0"/>
          <w:sz w:val="24"/>
          <w:szCs w:val="24"/>
          <w:lang w:val="zh-CN"/>
        </w:rPr>
        <w:t>PTA</w:t>
      </w:r>
      <w:r w:rsidRPr="000A5B5D">
        <w:rPr>
          <w:rFonts w:ascii="宋体" w:hAnsi="宋体" w:cs="宋体" w:hint="eastAsia"/>
          <w:kern w:val="0"/>
          <w:sz w:val="24"/>
          <w:szCs w:val="24"/>
          <w:lang w:val="zh-CN"/>
        </w:rPr>
        <w:t>下游需求企稳回升、供给投放有限以及去产能的持续推进，</w:t>
      </w:r>
      <w:r w:rsidRPr="000A5B5D">
        <w:rPr>
          <w:rFonts w:eastAsia="Times New Roman"/>
          <w:kern w:val="0"/>
          <w:sz w:val="24"/>
          <w:szCs w:val="24"/>
          <w:lang w:val="zh-CN"/>
        </w:rPr>
        <w:t>PTA</w:t>
      </w:r>
      <w:r w:rsidRPr="000A5B5D">
        <w:rPr>
          <w:rFonts w:ascii="宋体" w:hAnsi="宋体" w:cs="宋体" w:hint="eastAsia"/>
          <w:kern w:val="0"/>
          <w:sz w:val="24"/>
          <w:szCs w:val="24"/>
          <w:lang w:val="zh-CN"/>
        </w:rPr>
        <w:t>供求关系将从供应过剩逐步转为紧平衡，公司将充分利用行业回暖契机，进一步增强比较优势，大幅度提升</w:t>
      </w:r>
      <w:r w:rsidRPr="000A5B5D">
        <w:rPr>
          <w:rFonts w:eastAsia="Times New Roman"/>
          <w:kern w:val="0"/>
          <w:sz w:val="24"/>
          <w:szCs w:val="24"/>
          <w:lang w:val="zh-CN"/>
        </w:rPr>
        <w:t>PTA</w:t>
      </w:r>
      <w:r w:rsidRPr="000A5B5D">
        <w:rPr>
          <w:rFonts w:ascii="宋体" w:hAnsi="宋体" w:cs="宋体" w:hint="eastAsia"/>
          <w:kern w:val="0"/>
          <w:sz w:val="24"/>
          <w:szCs w:val="24"/>
          <w:lang w:val="zh-CN"/>
        </w:rPr>
        <w:t>业务盈利水平。</w:t>
      </w:r>
    </w:p>
    <w:p w:rsidR="00BC4D56" w:rsidRPr="000A5B5D" w:rsidRDefault="00BC4D56" w:rsidP="00852E5D">
      <w:pPr>
        <w:autoSpaceDE w:val="0"/>
        <w:autoSpaceDN w:val="0"/>
        <w:adjustRightInd w:val="0"/>
        <w:spacing w:before="0" w:after="0" w:line="360" w:lineRule="auto"/>
        <w:ind w:firstLine="562"/>
        <w:jc w:val="left"/>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2</w:t>
      </w:r>
      <w:r w:rsidRPr="000A5B5D">
        <w:rPr>
          <w:rFonts w:ascii="宋体" w:hAnsi="宋体" w:cs="宋体" w:hint="eastAsia"/>
          <w:b/>
          <w:kern w:val="0"/>
          <w:sz w:val="24"/>
          <w:szCs w:val="24"/>
          <w:lang w:val="zh-CN"/>
        </w:rPr>
        <w:t>）聚酯（</w:t>
      </w:r>
      <w:r w:rsidRPr="000A5B5D">
        <w:rPr>
          <w:rFonts w:eastAsia="Times New Roman"/>
          <w:b/>
          <w:kern w:val="0"/>
          <w:sz w:val="24"/>
          <w:szCs w:val="24"/>
          <w:lang w:val="zh-CN"/>
        </w:rPr>
        <w:t>PET</w:t>
      </w:r>
      <w:r w:rsidRPr="000A5B5D">
        <w:rPr>
          <w:rFonts w:ascii="宋体" w:hAnsi="宋体" w:cs="宋体" w:hint="eastAsia"/>
          <w:b/>
          <w:kern w:val="0"/>
          <w:sz w:val="24"/>
          <w:szCs w:val="24"/>
          <w:lang w:val="zh-CN"/>
        </w:rPr>
        <w:t>）业务概述</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聚酯产品是由</w:t>
      </w:r>
      <w:r w:rsidRPr="000A5B5D">
        <w:rPr>
          <w:rFonts w:eastAsia="Times New Roman"/>
          <w:kern w:val="0"/>
          <w:sz w:val="24"/>
          <w:szCs w:val="24"/>
          <w:lang w:val="zh-CN"/>
        </w:rPr>
        <w:t>PTA</w:t>
      </w:r>
      <w:r w:rsidRPr="000A5B5D">
        <w:rPr>
          <w:rFonts w:ascii="宋体" w:hAnsi="宋体" w:cs="宋体" w:hint="eastAsia"/>
          <w:kern w:val="0"/>
          <w:sz w:val="24"/>
          <w:szCs w:val="24"/>
          <w:lang w:val="zh-CN"/>
        </w:rPr>
        <w:t>和</w:t>
      </w:r>
      <w:r w:rsidRPr="000A5B5D">
        <w:rPr>
          <w:rFonts w:eastAsia="Times New Roman"/>
          <w:kern w:val="0"/>
          <w:sz w:val="24"/>
          <w:szCs w:val="24"/>
          <w:lang w:val="zh-CN"/>
        </w:rPr>
        <w:t>MEG</w:t>
      </w:r>
      <w:r w:rsidRPr="000A5B5D">
        <w:rPr>
          <w:rFonts w:ascii="宋体" w:hAnsi="宋体" w:cs="宋体" w:hint="eastAsia"/>
          <w:kern w:val="0"/>
          <w:sz w:val="24"/>
          <w:szCs w:val="24"/>
          <w:lang w:val="zh-CN"/>
        </w:rPr>
        <w:t>经过缩聚产生。聚酯切片（</w:t>
      </w:r>
      <w:r w:rsidRPr="000A5B5D">
        <w:rPr>
          <w:rFonts w:eastAsia="Times New Roman"/>
          <w:kern w:val="0"/>
          <w:sz w:val="24"/>
          <w:szCs w:val="24"/>
          <w:lang w:val="zh-CN"/>
        </w:rPr>
        <w:t>Polyester Chips</w:t>
      </w:r>
      <w:r w:rsidRPr="000A5B5D">
        <w:rPr>
          <w:rFonts w:ascii="宋体" w:hAnsi="宋体" w:cs="宋体" w:hint="eastAsia"/>
          <w:kern w:val="0"/>
          <w:sz w:val="24"/>
          <w:szCs w:val="24"/>
          <w:lang w:val="zh-CN"/>
        </w:rPr>
        <w:t>，</w:t>
      </w:r>
      <w:r w:rsidRPr="000A5B5D">
        <w:rPr>
          <w:rFonts w:eastAsia="Times New Roman"/>
          <w:kern w:val="0"/>
          <w:sz w:val="24"/>
          <w:szCs w:val="24"/>
          <w:lang w:val="zh-CN"/>
        </w:rPr>
        <w:t>PET</w:t>
      </w:r>
      <w:r w:rsidRPr="000A5B5D">
        <w:rPr>
          <w:rFonts w:ascii="宋体" w:hAnsi="宋体" w:cs="宋体" w:hint="eastAsia"/>
          <w:kern w:val="0"/>
          <w:sz w:val="24"/>
          <w:szCs w:val="24"/>
          <w:lang w:val="zh-CN"/>
        </w:rPr>
        <w:t>切片）外观为米粒状，品种多，是连接石化产品和多个行业产品的一个重要中间产品。纤维级</w:t>
      </w:r>
      <w:r w:rsidRPr="000A5B5D">
        <w:rPr>
          <w:rFonts w:eastAsia="Times New Roman"/>
          <w:kern w:val="0"/>
          <w:sz w:val="24"/>
          <w:szCs w:val="24"/>
          <w:lang w:val="zh-CN"/>
        </w:rPr>
        <w:t>PET</w:t>
      </w:r>
      <w:r w:rsidRPr="000A5B5D">
        <w:rPr>
          <w:rFonts w:ascii="宋体" w:hAnsi="宋体" w:cs="宋体" w:hint="eastAsia"/>
          <w:kern w:val="0"/>
          <w:sz w:val="24"/>
          <w:szCs w:val="24"/>
          <w:lang w:val="zh-CN"/>
        </w:rPr>
        <w:t>切片用于制造涤纶短纤维和涤纶长丝，是供给涤纶纤维企业加工纤维及相关产品的原料。聚酯还有瓶类、薄膜等用途，广泛应用于包装业、电子电器、医疗卫生、建筑、汽车等领域。</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ascii="宋体" w:hAnsi="宋体" w:cs="宋体" w:hint="eastAsia"/>
          <w:kern w:val="0"/>
          <w:sz w:val="24"/>
          <w:szCs w:val="24"/>
          <w:lang w:val="zh-CN"/>
        </w:rPr>
        <w:t>本报告期末，公司聚酯（</w:t>
      </w:r>
      <w:r w:rsidRPr="000A5B5D">
        <w:rPr>
          <w:rFonts w:eastAsia="Times New Roman"/>
          <w:kern w:val="0"/>
          <w:sz w:val="24"/>
          <w:szCs w:val="24"/>
          <w:lang w:val="zh-CN"/>
        </w:rPr>
        <w:t>PET</w:t>
      </w:r>
      <w:r w:rsidRPr="000A5B5D">
        <w:rPr>
          <w:rFonts w:ascii="宋体" w:hAnsi="宋体" w:cs="宋体" w:hint="eastAsia"/>
          <w:kern w:val="0"/>
          <w:sz w:val="24"/>
          <w:szCs w:val="24"/>
          <w:lang w:val="zh-CN"/>
        </w:rPr>
        <w:t>）业务主要由恒逸聚合物、恒逸高新材料、上海恒逸三家企业生产销售。公司聚酯业务总产能为</w:t>
      </w:r>
      <w:r w:rsidRPr="000A5B5D">
        <w:rPr>
          <w:rFonts w:eastAsia="Times New Roman"/>
          <w:kern w:val="0"/>
          <w:sz w:val="24"/>
          <w:szCs w:val="24"/>
          <w:lang w:val="zh-CN"/>
        </w:rPr>
        <w:t>250</w:t>
      </w:r>
      <w:r w:rsidRPr="000A5B5D">
        <w:rPr>
          <w:rFonts w:ascii="宋体" w:hAnsi="宋体" w:cs="宋体" w:hint="eastAsia"/>
          <w:kern w:val="0"/>
          <w:sz w:val="24"/>
          <w:szCs w:val="24"/>
          <w:lang w:val="zh-CN"/>
        </w:rPr>
        <w:t>万吨，位居国内前列，主要配套差别化长丝（</w:t>
      </w:r>
      <w:r w:rsidRPr="000A5B5D">
        <w:rPr>
          <w:rFonts w:eastAsia="Times New Roman"/>
          <w:kern w:val="0"/>
          <w:sz w:val="24"/>
          <w:szCs w:val="24"/>
          <w:lang w:val="zh-CN"/>
        </w:rPr>
        <w:t>POY</w:t>
      </w:r>
      <w:r w:rsidRPr="000A5B5D">
        <w:rPr>
          <w:rFonts w:ascii="宋体" w:hAnsi="宋体" w:cs="宋体" w:hint="eastAsia"/>
          <w:kern w:val="0"/>
          <w:sz w:val="24"/>
          <w:szCs w:val="24"/>
          <w:lang w:val="zh-CN"/>
        </w:rPr>
        <w:t>、</w:t>
      </w:r>
      <w:r w:rsidRPr="000A5B5D">
        <w:rPr>
          <w:rFonts w:eastAsia="Times New Roman"/>
          <w:kern w:val="0"/>
          <w:sz w:val="24"/>
          <w:szCs w:val="24"/>
          <w:lang w:val="zh-CN"/>
        </w:rPr>
        <w:t>FDY</w:t>
      </w:r>
      <w:r w:rsidRPr="000A5B5D">
        <w:rPr>
          <w:rFonts w:ascii="宋体" w:hAnsi="宋体" w:cs="宋体" w:hint="eastAsia"/>
          <w:kern w:val="0"/>
          <w:sz w:val="24"/>
          <w:szCs w:val="24"/>
          <w:lang w:val="zh-CN"/>
        </w:rPr>
        <w:t>），产能为</w:t>
      </w:r>
      <w:r w:rsidRPr="000A5B5D">
        <w:rPr>
          <w:rFonts w:eastAsia="Times New Roman"/>
          <w:kern w:val="0"/>
          <w:sz w:val="24"/>
          <w:szCs w:val="24"/>
          <w:lang w:val="zh-CN"/>
        </w:rPr>
        <w:t>135</w:t>
      </w:r>
      <w:r w:rsidRPr="000A5B5D">
        <w:rPr>
          <w:rFonts w:ascii="宋体" w:hAnsi="宋体" w:cs="宋体" w:hint="eastAsia"/>
          <w:kern w:val="0"/>
          <w:sz w:val="24"/>
          <w:szCs w:val="24"/>
          <w:lang w:val="zh-CN"/>
        </w:rPr>
        <w:t>万吨，</w:t>
      </w:r>
      <w:r w:rsidRPr="000A5B5D">
        <w:rPr>
          <w:rFonts w:eastAsia="Times New Roman"/>
          <w:kern w:val="0"/>
          <w:sz w:val="24"/>
          <w:szCs w:val="24"/>
          <w:lang w:val="zh-CN"/>
        </w:rPr>
        <w:t>POY</w:t>
      </w:r>
      <w:r w:rsidRPr="000A5B5D">
        <w:rPr>
          <w:rFonts w:ascii="宋体" w:hAnsi="宋体" w:cs="宋体" w:hint="eastAsia"/>
          <w:kern w:val="0"/>
          <w:sz w:val="24"/>
          <w:szCs w:val="24"/>
          <w:lang w:val="zh-CN"/>
        </w:rPr>
        <w:t>丝经过再加工生产</w:t>
      </w:r>
      <w:r w:rsidRPr="000A5B5D">
        <w:rPr>
          <w:rFonts w:eastAsia="Times New Roman"/>
          <w:kern w:val="0"/>
          <w:sz w:val="24"/>
          <w:szCs w:val="24"/>
          <w:lang w:val="zh-CN"/>
        </w:rPr>
        <w:t>DTY</w:t>
      </w:r>
      <w:r w:rsidRPr="000A5B5D">
        <w:rPr>
          <w:rFonts w:ascii="宋体" w:hAnsi="宋体" w:cs="宋体" w:hint="eastAsia"/>
          <w:kern w:val="0"/>
          <w:sz w:val="24"/>
          <w:szCs w:val="24"/>
          <w:lang w:val="zh-CN"/>
        </w:rPr>
        <w:t>，</w:t>
      </w:r>
      <w:r w:rsidRPr="000A5B5D">
        <w:rPr>
          <w:rFonts w:eastAsia="Times New Roman"/>
          <w:kern w:val="0"/>
          <w:sz w:val="24"/>
          <w:szCs w:val="24"/>
          <w:lang w:val="zh-CN"/>
        </w:rPr>
        <w:t>DTY</w:t>
      </w:r>
      <w:r w:rsidRPr="000A5B5D">
        <w:rPr>
          <w:rFonts w:ascii="宋体" w:hAnsi="宋体" w:cs="宋体" w:hint="eastAsia"/>
          <w:kern w:val="0"/>
          <w:sz w:val="24"/>
          <w:szCs w:val="24"/>
          <w:lang w:val="zh-CN"/>
        </w:rPr>
        <w:t>产能</w:t>
      </w:r>
      <w:r w:rsidRPr="000A5B5D">
        <w:rPr>
          <w:rFonts w:eastAsia="Times New Roman"/>
          <w:kern w:val="0"/>
          <w:sz w:val="24"/>
          <w:szCs w:val="24"/>
          <w:lang w:val="zh-CN"/>
        </w:rPr>
        <w:t>30</w:t>
      </w:r>
      <w:r w:rsidRPr="000A5B5D">
        <w:rPr>
          <w:rFonts w:ascii="宋体" w:hAnsi="宋体" w:cs="宋体" w:hint="eastAsia"/>
          <w:kern w:val="0"/>
          <w:sz w:val="24"/>
          <w:szCs w:val="24"/>
          <w:lang w:val="zh-CN"/>
        </w:rPr>
        <w:t>万吨。</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公司聚酯产品主要为</w:t>
      </w:r>
      <w:r w:rsidRPr="000A5B5D">
        <w:rPr>
          <w:rFonts w:eastAsia="Times New Roman"/>
          <w:kern w:val="0"/>
          <w:sz w:val="24"/>
          <w:szCs w:val="24"/>
          <w:lang w:val="zh-CN"/>
        </w:rPr>
        <w:t>POY</w:t>
      </w:r>
      <w:r w:rsidRPr="000A5B5D">
        <w:rPr>
          <w:rFonts w:ascii="宋体" w:hAnsi="宋体" w:cs="宋体" w:hint="eastAsia"/>
          <w:kern w:val="0"/>
          <w:sz w:val="24"/>
          <w:szCs w:val="24"/>
          <w:lang w:val="zh-CN"/>
        </w:rPr>
        <w:t>、</w:t>
      </w:r>
      <w:r w:rsidRPr="000A5B5D">
        <w:rPr>
          <w:rFonts w:eastAsia="Times New Roman"/>
          <w:kern w:val="0"/>
          <w:sz w:val="24"/>
          <w:szCs w:val="24"/>
          <w:lang w:val="zh-CN"/>
        </w:rPr>
        <w:t>FDY</w:t>
      </w:r>
      <w:r w:rsidRPr="000A5B5D">
        <w:rPr>
          <w:rFonts w:ascii="宋体" w:hAnsi="宋体" w:cs="宋体" w:hint="eastAsia"/>
          <w:kern w:val="0"/>
          <w:sz w:val="24"/>
          <w:szCs w:val="24"/>
          <w:lang w:val="zh-CN"/>
        </w:rPr>
        <w:t>、</w:t>
      </w:r>
      <w:r w:rsidRPr="000A5B5D">
        <w:rPr>
          <w:rFonts w:eastAsia="Times New Roman"/>
          <w:kern w:val="0"/>
          <w:sz w:val="24"/>
          <w:szCs w:val="24"/>
          <w:lang w:val="zh-CN"/>
        </w:rPr>
        <w:t>DTY</w:t>
      </w:r>
      <w:r w:rsidRPr="000A5B5D">
        <w:rPr>
          <w:rFonts w:ascii="宋体" w:hAnsi="宋体" w:cs="宋体" w:hint="eastAsia"/>
          <w:kern w:val="0"/>
          <w:sz w:val="24"/>
          <w:szCs w:val="24"/>
          <w:lang w:val="zh-CN"/>
        </w:rPr>
        <w:t>等长丝产品，产品全部直销，款到发货。公司客户众多，产销率一直维持在</w:t>
      </w:r>
      <w:r w:rsidRPr="000A5B5D">
        <w:rPr>
          <w:rFonts w:eastAsia="Times New Roman"/>
          <w:kern w:val="0"/>
          <w:sz w:val="24"/>
          <w:szCs w:val="24"/>
          <w:lang w:val="zh-CN"/>
        </w:rPr>
        <w:t>100%</w:t>
      </w:r>
      <w:r w:rsidRPr="000A5B5D">
        <w:rPr>
          <w:rFonts w:ascii="宋体" w:hAnsi="宋体" w:cs="宋体" w:hint="eastAsia"/>
          <w:kern w:val="0"/>
          <w:sz w:val="24"/>
          <w:szCs w:val="24"/>
          <w:lang w:val="zh-CN"/>
        </w:rPr>
        <w:t>左右。客户主要为国内外下游客户，</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年度公司聚酯产品出口额占聚酯产品总销售额的</w:t>
      </w:r>
      <w:r w:rsidRPr="000A5B5D">
        <w:rPr>
          <w:rFonts w:eastAsia="Times New Roman"/>
          <w:kern w:val="0"/>
          <w:sz w:val="24"/>
          <w:szCs w:val="24"/>
          <w:lang w:val="zh-CN"/>
        </w:rPr>
        <w:t>27.18%</w:t>
      </w:r>
      <w:r w:rsidRPr="000A5B5D">
        <w:rPr>
          <w:rFonts w:ascii="宋体" w:hAnsi="宋体" w:cs="宋体" w:hint="eastAsia"/>
          <w:kern w:val="0"/>
          <w:sz w:val="24"/>
          <w:szCs w:val="24"/>
          <w:lang w:val="zh-CN"/>
        </w:rPr>
        <w:t>。</w:t>
      </w:r>
    </w:p>
    <w:p w:rsidR="00BC4D56" w:rsidRPr="000A5B5D" w:rsidRDefault="00BC4D56" w:rsidP="00852E5D">
      <w:pPr>
        <w:autoSpaceDE w:val="0"/>
        <w:autoSpaceDN w:val="0"/>
        <w:adjustRightInd w:val="0"/>
        <w:spacing w:line="360" w:lineRule="auto"/>
        <w:ind w:firstLine="56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年，公司继续以品质为核心提升差别化纤维附加值，增强公司聚酯纤维的竞争力。</w:t>
      </w:r>
      <w:r w:rsidRPr="000A5B5D">
        <w:rPr>
          <w:rFonts w:eastAsia="Times New Roman"/>
          <w:kern w:val="0"/>
          <w:sz w:val="24"/>
          <w:szCs w:val="24"/>
          <w:lang w:val="zh-CN"/>
        </w:rPr>
        <w:t>2016</w:t>
      </w:r>
      <w:r w:rsidRPr="000A5B5D">
        <w:rPr>
          <w:rFonts w:ascii="宋体" w:hAnsi="宋体" w:cs="宋体" w:hint="eastAsia"/>
          <w:kern w:val="0"/>
          <w:sz w:val="24"/>
          <w:szCs w:val="24"/>
          <w:lang w:val="zh-CN"/>
        </w:rPr>
        <w:t>年，公司将在化纤产品技术创新方面全面展开，重点研究细分市场，通过提高自动化程度、开发功能性产品、提供个性化服务等方法，并不断提升核心技术水平和管理水平，将聚酯纤维业务培养成一个以产品创新、技术创新为基础的全新增长模式。</w:t>
      </w:r>
    </w:p>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3</w:t>
      </w:r>
      <w:r w:rsidRPr="000A5B5D">
        <w:rPr>
          <w:rFonts w:ascii="宋体" w:hAnsi="宋体" w:cs="宋体" w:hint="eastAsia"/>
          <w:b/>
          <w:kern w:val="0"/>
          <w:sz w:val="24"/>
          <w:szCs w:val="24"/>
          <w:lang w:val="zh-CN"/>
        </w:rPr>
        <w:t>）己内酰胺（</w:t>
      </w:r>
      <w:r w:rsidRPr="000A5B5D">
        <w:rPr>
          <w:rFonts w:eastAsia="Times New Roman"/>
          <w:b/>
          <w:kern w:val="0"/>
          <w:sz w:val="24"/>
          <w:szCs w:val="24"/>
          <w:lang w:val="zh-CN"/>
        </w:rPr>
        <w:t>CPL</w:t>
      </w:r>
      <w:r w:rsidRPr="000A5B5D">
        <w:rPr>
          <w:rFonts w:ascii="宋体" w:hAnsi="宋体" w:cs="宋体" w:hint="eastAsia"/>
          <w:b/>
          <w:kern w:val="0"/>
          <w:sz w:val="24"/>
          <w:szCs w:val="24"/>
          <w:lang w:val="zh-CN"/>
        </w:rPr>
        <w:t>）业务概述</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eastAsia="Times New Roman"/>
          <w:kern w:val="0"/>
          <w:sz w:val="24"/>
          <w:szCs w:val="24"/>
          <w:lang w:val="zh-CN"/>
        </w:rPr>
        <w:t>CPL</w:t>
      </w:r>
      <w:r w:rsidRPr="000A5B5D">
        <w:rPr>
          <w:rFonts w:ascii="宋体" w:hAnsi="宋体" w:cs="宋体" w:hint="eastAsia"/>
          <w:kern w:val="0"/>
          <w:sz w:val="24"/>
          <w:szCs w:val="24"/>
          <w:lang w:val="zh-CN"/>
        </w:rPr>
        <w:t>作为原料用于尼龙</w:t>
      </w:r>
      <w:r w:rsidRPr="000A5B5D">
        <w:rPr>
          <w:rFonts w:eastAsia="Times New Roman"/>
          <w:kern w:val="0"/>
          <w:sz w:val="24"/>
          <w:szCs w:val="24"/>
          <w:lang w:val="zh-CN"/>
        </w:rPr>
        <w:t>6</w:t>
      </w:r>
      <w:r w:rsidRPr="000A5B5D">
        <w:rPr>
          <w:rFonts w:ascii="宋体" w:hAnsi="宋体" w:cs="宋体" w:hint="eastAsia"/>
          <w:kern w:val="0"/>
          <w:sz w:val="24"/>
          <w:szCs w:val="24"/>
          <w:lang w:val="zh-CN"/>
        </w:rPr>
        <w:t>（锦纶）的生产中，锦纶是聚酰胺类纤维的统称，锦纶的品种很多，其中最主要的是锦纶</w:t>
      </w:r>
      <w:r w:rsidRPr="000A5B5D">
        <w:rPr>
          <w:rFonts w:eastAsia="Times New Roman"/>
          <w:kern w:val="0"/>
          <w:sz w:val="24"/>
          <w:szCs w:val="24"/>
          <w:lang w:val="zh-CN"/>
        </w:rPr>
        <w:t>6</w:t>
      </w:r>
      <w:r w:rsidRPr="000A5B5D">
        <w:rPr>
          <w:rFonts w:ascii="宋体" w:hAnsi="宋体" w:cs="宋体" w:hint="eastAsia"/>
          <w:kern w:val="0"/>
          <w:sz w:val="24"/>
          <w:szCs w:val="24"/>
          <w:lang w:val="zh-CN"/>
        </w:rPr>
        <w:t>和锦纶</w:t>
      </w:r>
      <w:r w:rsidRPr="000A5B5D">
        <w:rPr>
          <w:rFonts w:eastAsia="Times New Roman"/>
          <w:kern w:val="0"/>
          <w:sz w:val="24"/>
          <w:szCs w:val="24"/>
          <w:lang w:val="zh-CN"/>
        </w:rPr>
        <w:t>66</w:t>
      </w:r>
      <w:r w:rsidRPr="000A5B5D">
        <w:rPr>
          <w:rFonts w:ascii="宋体" w:hAnsi="宋体" w:cs="宋体" w:hint="eastAsia"/>
          <w:kern w:val="0"/>
          <w:sz w:val="24"/>
          <w:szCs w:val="24"/>
          <w:lang w:val="zh-CN"/>
        </w:rPr>
        <w:t>。锦纶的突出特点是其耐磨性能极佳，居所有纤维之首，是棉纤维的</w:t>
      </w:r>
      <w:r w:rsidRPr="000A5B5D">
        <w:rPr>
          <w:rFonts w:eastAsia="Times New Roman"/>
          <w:kern w:val="0"/>
          <w:sz w:val="24"/>
          <w:szCs w:val="24"/>
          <w:lang w:val="zh-CN"/>
        </w:rPr>
        <w:t>10</w:t>
      </w:r>
      <w:r w:rsidRPr="000A5B5D">
        <w:rPr>
          <w:rFonts w:ascii="宋体" w:hAnsi="宋体" w:cs="宋体" w:hint="eastAsia"/>
          <w:kern w:val="0"/>
          <w:sz w:val="24"/>
          <w:szCs w:val="24"/>
          <w:lang w:val="zh-CN"/>
        </w:rPr>
        <w:t>倍。锦纶的弹性亦很好，同时具有良好的耐蛀、耐腐蚀性能。锦纶主要应用于制作丝袜和泳装，近几年迅速拓展到蕾丝内衣、束身衣、婚纱礼服、运动内衣、运动服、休闲服装、速干衣、冲锋衣、羽绒服、户外帐篷、登山包等。锦纶长丝在工业方面的应</w:t>
      </w:r>
      <w:r w:rsidRPr="000A5B5D">
        <w:rPr>
          <w:rFonts w:ascii="宋体" w:hAnsi="宋体" w:cs="宋体" w:hint="eastAsia"/>
          <w:kern w:val="0"/>
          <w:sz w:val="24"/>
          <w:szCs w:val="24"/>
          <w:lang w:val="zh-CN"/>
        </w:rPr>
        <w:lastRenderedPageBreak/>
        <w:t>用主要是制作高性能轮胎及安全气囊、绳索、传送带等。另外，锦纶还被广泛应用于生产地毯。</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公司己内酰胺产品通过浙江恒逸巴陵己内酰胺有限责任公司生产销售，项目采用中石化最先进的第二套生产技术，与中石化合资建设，单体产能</w:t>
      </w:r>
      <w:r w:rsidRPr="000A5B5D">
        <w:rPr>
          <w:rFonts w:eastAsia="Times New Roman"/>
          <w:kern w:val="0"/>
          <w:sz w:val="24"/>
          <w:szCs w:val="24"/>
          <w:lang w:val="zh-CN"/>
        </w:rPr>
        <w:t>20</w:t>
      </w:r>
      <w:r w:rsidRPr="000A5B5D">
        <w:rPr>
          <w:rFonts w:ascii="宋体" w:hAnsi="宋体" w:cs="宋体" w:hint="eastAsia"/>
          <w:kern w:val="0"/>
          <w:sz w:val="24"/>
          <w:szCs w:val="24"/>
          <w:lang w:val="zh-CN"/>
        </w:rPr>
        <w:t>万吨。</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己内酰胺主要原料为苯，目前主要由中石化供应。产品主要面向萧绍锦纶客户，副产品硫铵主要以出口为主，长期以来产销率一直维持在</w:t>
      </w:r>
      <w:r w:rsidRPr="000A5B5D">
        <w:rPr>
          <w:rFonts w:eastAsia="Times New Roman"/>
          <w:kern w:val="0"/>
          <w:sz w:val="24"/>
          <w:szCs w:val="24"/>
          <w:lang w:val="zh-CN"/>
        </w:rPr>
        <w:t>100%</w:t>
      </w:r>
      <w:r w:rsidRPr="000A5B5D">
        <w:rPr>
          <w:rFonts w:ascii="宋体" w:hAnsi="宋体" w:cs="宋体" w:hint="eastAsia"/>
          <w:kern w:val="0"/>
          <w:sz w:val="24"/>
          <w:szCs w:val="24"/>
          <w:lang w:val="zh-CN"/>
        </w:rPr>
        <w:t>左右。</w:t>
      </w:r>
    </w:p>
    <w:p w:rsidR="00BC4D56" w:rsidRPr="000A5B5D" w:rsidRDefault="00BC4D56" w:rsidP="00852E5D">
      <w:pPr>
        <w:autoSpaceDE w:val="0"/>
        <w:autoSpaceDN w:val="0"/>
        <w:adjustRightInd w:val="0"/>
        <w:spacing w:before="0" w:after="0" w:line="360" w:lineRule="auto"/>
        <w:ind w:firstLine="562"/>
        <w:jc w:val="left"/>
        <w:rPr>
          <w:rFonts w:eastAsia="Times New Roman"/>
          <w:b/>
          <w:kern w:val="0"/>
          <w:sz w:val="24"/>
          <w:szCs w:val="24"/>
          <w:lang w:val="zh-CN"/>
        </w:rPr>
      </w:pPr>
      <w:r w:rsidRPr="000A5B5D">
        <w:rPr>
          <w:rFonts w:eastAsia="Times New Roman"/>
          <w:b/>
          <w:kern w:val="0"/>
          <w:sz w:val="24"/>
          <w:szCs w:val="24"/>
          <w:lang w:val="zh-CN"/>
        </w:rPr>
        <w:t>2</w:t>
      </w:r>
      <w:r w:rsidRPr="000A5B5D">
        <w:rPr>
          <w:rFonts w:ascii="宋体" w:hAnsi="宋体" w:cs="宋体" w:hint="eastAsia"/>
          <w:b/>
          <w:kern w:val="0"/>
          <w:sz w:val="24"/>
          <w:szCs w:val="24"/>
          <w:lang w:val="zh-CN"/>
        </w:rPr>
        <w:t>、金融业务概述</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公司金融类资产主要为浙商银行股权。浙商银行于</w:t>
      </w:r>
      <w:r w:rsidRPr="000A5B5D">
        <w:rPr>
          <w:rFonts w:eastAsia="Times New Roman"/>
          <w:kern w:val="0"/>
          <w:sz w:val="24"/>
          <w:szCs w:val="24"/>
          <w:lang w:val="zh-CN"/>
        </w:rPr>
        <w:t>2004</w:t>
      </w:r>
      <w:r w:rsidRPr="000A5B5D">
        <w:rPr>
          <w:rFonts w:ascii="宋体" w:hAnsi="宋体" w:cs="宋体" w:hint="eastAsia"/>
          <w:kern w:val="0"/>
          <w:sz w:val="24"/>
          <w:szCs w:val="24"/>
          <w:lang w:val="zh-CN"/>
        </w:rPr>
        <w:t>年正式成立，是经中国银监会批准的</w:t>
      </w:r>
      <w:r w:rsidRPr="000A5B5D">
        <w:rPr>
          <w:rFonts w:eastAsia="Times New Roman"/>
          <w:kern w:val="0"/>
          <w:sz w:val="24"/>
          <w:szCs w:val="24"/>
          <w:lang w:val="zh-CN"/>
        </w:rPr>
        <w:t>12</w:t>
      </w:r>
      <w:r w:rsidRPr="000A5B5D">
        <w:rPr>
          <w:rFonts w:ascii="宋体" w:hAnsi="宋体" w:cs="宋体" w:hint="eastAsia"/>
          <w:kern w:val="0"/>
          <w:sz w:val="24"/>
          <w:szCs w:val="24"/>
          <w:lang w:val="zh-CN"/>
        </w:rPr>
        <w:t>家全国性股份制商业银行之一，浙商银行已于</w:t>
      </w:r>
      <w:r w:rsidRPr="000A5B5D">
        <w:rPr>
          <w:rFonts w:eastAsia="Times New Roman"/>
          <w:kern w:val="0"/>
          <w:sz w:val="24"/>
          <w:szCs w:val="24"/>
          <w:lang w:val="zh-CN"/>
        </w:rPr>
        <w:t>2016</w:t>
      </w:r>
      <w:r w:rsidRPr="000A5B5D">
        <w:rPr>
          <w:rFonts w:ascii="宋体" w:hAnsi="宋体" w:cs="宋体" w:hint="eastAsia"/>
          <w:kern w:val="0"/>
          <w:sz w:val="24"/>
          <w:szCs w:val="24"/>
          <w:lang w:val="zh-CN"/>
        </w:rPr>
        <w:t>年</w:t>
      </w:r>
      <w:r w:rsidRPr="000A5B5D">
        <w:rPr>
          <w:rFonts w:eastAsia="Times New Roman"/>
          <w:kern w:val="0"/>
          <w:sz w:val="24"/>
          <w:szCs w:val="24"/>
          <w:lang w:val="zh-CN"/>
        </w:rPr>
        <w:t>3</w:t>
      </w:r>
      <w:r w:rsidRPr="000A5B5D">
        <w:rPr>
          <w:rFonts w:ascii="宋体" w:hAnsi="宋体" w:cs="宋体" w:hint="eastAsia"/>
          <w:kern w:val="0"/>
          <w:sz w:val="24"/>
          <w:szCs w:val="24"/>
          <w:lang w:val="zh-CN"/>
        </w:rPr>
        <w:t>月</w:t>
      </w:r>
      <w:r w:rsidRPr="000A5B5D">
        <w:rPr>
          <w:rFonts w:eastAsia="Times New Roman"/>
          <w:kern w:val="0"/>
          <w:sz w:val="24"/>
          <w:szCs w:val="24"/>
          <w:lang w:val="zh-CN"/>
        </w:rPr>
        <w:t>30</w:t>
      </w:r>
      <w:r w:rsidRPr="000A5B5D">
        <w:rPr>
          <w:rFonts w:ascii="宋体" w:hAnsi="宋体" w:cs="宋体" w:hint="eastAsia"/>
          <w:kern w:val="0"/>
          <w:sz w:val="24"/>
          <w:szCs w:val="24"/>
          <w:lang w:val="zh-CN"/>
        </w:rPr>
        <w:t>日在香港联交所主板挂牌上市，股票代号</w:t>
      </w:r>
      <w:r w:rsidRPr="000A5B5D">
        <w:rPr>
          <w:rFonts w:eastAsia="Times New Roman"/>
          <w:kern w:val="0"/>
          <w:sz w:val="24"/>
          <w:szCs w:val="24"/>
          <w:lang w:val="zh-CN"/>
        </w:rPr>
        <w:t>02016</w:t>
      </w:r>
      <w:r w:rsidRPr="000A5B5D">
        <w:rPr>
          <w:rFonts w:ascii="宋体" w:hAnsi="宋体" w:cs="宋体" w:hint="eastAsia"/>
          <w:kern w:val="0"/>
          <w:sz w:val="24"/>
          <w:szCs w:val="24"/>
          <w:lang w:val="zh-CN"/>
        </w:rPr>
        <w:t>。</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过去十几年，浙商银行发展迅速，并已荣获</w:t>
      </w:r>
      <w:r w:rsidRPr="000A5B5D">
        <w:rPr>
          <w:rFonts w:eastAsia="Times New Roman"/>
          <w:kern w:val="0"/>
          <w:sz w:val="24"/>
          <w:szCs w:val="24"/>
          <w:lang w:val="zh-CN"/>
        </w:rPr>
        <w:t xml:space="preserve">“2014 </w:t>
      </w:r>
      <w:r w:rsidRPr="000A5B5D">
        <w:rPr>
          <w:rFonts w:ascii="宋体" w:hAnsi="宋体" w:cs="宋体" w:hint="eastAsia"/>
          <w:kern w:val="0"/>
          <w:sz w:val="24"/>
          <w:szCs w:val="24"/>
          <w:lang w:val="zh-CN"/>
        </w:rPr>
        <w:t>年中国区最具竞争力银行投行</w:t>
      </w:r>
      <w:r w:rsidRPr="000A5B5D">
        <w:rPr>
          <w:rFonts w:eastAsia="Times New Roman"/>
          <w:kern w:val="0"/>
          <w:sz w:val="24"/>
          <w:szCs w:val="24"/>
          <w:lang w:val="zh-CN"/>
        </w:rPr>
        <w:t>”</w:t>
      </w:r>
      <w:r w:rsidRPr="000A5B5D">
        <w:rPr>
          <w:rFonts w:ascii="宋体" w:hAnsi="宋体" w:cs="宋体" w:hint="eastAsia"/>
          <w:kern w:val="0"/>
          <w:sz w:val="24"/>
          <w:szCs w:val="24"/>
          <w:lang w:val="zh-CN"/>
        </w:rPr>
        <w:t>、</w:t>
      </w:r>
      <w:r w:rsidRPr="000A5B5D">
        <w:rPr>
          <w:rFonts w:eastAsia="Times New Roman"/>
          <w:kern w:val="0"/>
          <w:sz w:val="24"/>
          <w:szCs w:val="24"/>
          <w:lang w:val="zh-CN"/>
        </w:rPr>
        <w:t xml:space="preserve">“2014 </w:t>
      </w:r>
      <w:r w:rsidRPr="000A5B5D">
        <w:rPr>
          <w:rFonts w:ascii="宋体" w:hAnsi="宋体" w:cs="宋体" w:hint="eastAsia"/>
          <w:kern w:val="0"/>
          <w:sz w:val="24"/>
          <w:szCs w:val="24"/>
          <w:lang w:val="zh-CN"/>
        </w:rPr>
        <w:t>年中国网络金融创新奖</w:t>
      </w:r>
      <w:r w:rsidRPr="000A5B5D">
        <w:rPr>
          <w:rFonts w:eastAsia="Times New Roman"/>
          <w:kern w:val="0"/>
          <w:sz w:val="24"/>
          <w:szCs w:val="24"/>
          <w:lang w:val="zh-CN"/>
        </w:rPr>
        <w:t>”</w:t>
      </w:r>
      <w:r w:rsidRPr="000A5B5D">
        <w:rPr>
          <w:rFonts w:ascii="宋体" w:hAnsi="宋体" w:cs="宋体" w:hint="eastAsia"/>
          <w:kern w:val="0"/>
          <w:sz w:val="24"/>
          <w:szCs w:val="24"/>
          <w:lang w:val="zh-CN"/>
        </w:rPr>
        <w:t>、</w:t>
      </w:r>
      <w:r w:rsidRPr="000A5B5D">
        <w:rPr>
          <w:rFonts w:eastAsia="Times New Roman"/>
          <w:kern w:val="0"/>
          <w:sz w:val="24"/>
          <w:szCs w:val="24"/>
          <w:lang w:val="zh-CN"/>
        </w:rPr>
        <w:t>“</w:t>
      </w:r>
      <w:r w:rsidRPr="000A5B5D">
        <w:rPr>
          <w:rFonts w:ascii="宋体" w:hAnsi="宋体" w:cs="宋体" w:hint="eastAsia"/>
          <w:kern w:val="0"/>
          <w:sz w:val="24"/>
          <w:szCs w:val="24"/>
          <w:lang w:val="zh-CN"/>
        </w:rPr>
        <w:t>最具社会责任金融机构奖</w:t>
      </w:r>
      <w:r w:rsidRPr="000A5B5D">
        <w:rPr>
          <w:rFonts w:eastAsia="Times New Roman"/>
          <w:kern w:val="0"/>
          <w:sz w:val="24"/>
          <w:szCs w:val="24"/>
          <w:lang w:val="zh-CN"/>
        </w:rPr>
        <w:t>”</w:t>
      </w:r>
      <w:r w:rsidRPr="000A5B5D">
        <w:rPr>
          <w:rFonts w:ascii="宋体" w:hAnsi="宋体" w:cs="宋体" w:hint="eastAsia"/>
          <w:kern w:val="0"/>
          <w:sz w:val="24"/>
          <w:szCs w:val="24"/>
          <w:lang w:val="zh-CN"/>
        </w:rPr>
        <w:t>、</w:t>
      </w:r>
      <w:r w:rsidRPr="000A5B5D">
        <w:rPr>
          <w:rFonts w:eastAsia="Times New Roman"/>
          <w:kern w:val="0"/>
          <w:sz w:val="24"/>
          <w:szCs w:val="24"/>
          <w:lang w:val="zh-CN"/>
        </w:rPr>
        <w:t xml:space="preserve">“2014 </w:t>
      </w:r>
      <w:r w:rsidRPr="000A5B5D">
        <w:rPr>
          <w:rFonts w:ascii="宋体" w:hAnsi="宋体" w:cs="宋体" w:hint="eastAsia"/>
          <w:kern w:val="0"/>
          <w:sz w:val="24"/>
          <w:szCs w:val="24"/>
          <w:lang w:val="zh-CN"/>
        </w:rPr>
        <w:t>年浙商最信赖金融机构</w:t>
      </w:r>
      <w:r w:rsidRPr="000A5B5D">
        <w:rPr>
          <w:rFonts w:eastAsia="Times New Roman"/>
          <w:kern w:val="0"/>
          <w:sz w:val="24"/>
          <w:szCs w:val="24"/>
          <w:lang w:val="zh-CN"/>
        </w:rPr>
        <w:t>”</w:t>
      </w:r>
      <w:r w:rsidRPr="000A5B5D">
        <w:rPr>
          <w:rFonts w:ascii="宋体" w:hAnsi="宋体" w:cs="宋体" w:hint="eastAsia"/>
          <w:kern w:val="0"/>
          <w:sz w:val="24"/>
          <w:szCs w:val="24"/>
          <w:lang w:val="zh-CN"/>
        </w:rPr>
        <w:t>、</w:t>
      </w:r>
      <w:r w:rsidRPr="000A5B5D">
        <w:rPr>
          <w:rFonts w:eastAsia="Times New Roman"/>
          <w:kern w:val="0"/>
          <w:sz w:val="24"/>
          <w:szCs w:val="24"/>
          <w:lang w:val="zh-CN"/>
        </w:rPr>
        <w:t xml:space="preserve">“2014 </w:t>
      </w:r>
      <w:r w:rsidRPr="000A5B5D">
        <w:rPr>
          <w:rFonts w:ascii="宋体" w:hAnsi="宋体" w:cs="宋体" w:hint="eastAsia"/>
          <w:kern w:val="0"/>
          <w:sz w:val="24"/>
          <w:szCs w:val="24"/>
          <w:lang w:val="zh-CN"/>
        </w:rPr>
        <w:t>年全国性银行资产增速名列榜首</w:t>
      </w:r>
      <w:r w:rsidRPr="000A5B5D">
        <w:rPr>
          <w:rFonts w:eastAsia="Times New Roman"/>
          <w:kern w:val="0"/>
          <w:sz w:val="24"/>
          <w:szCs w:val="24"/>
          <w:lang w:val="zh-CN"/>
        </w:rPr>
        <w:t>”</w:t>
      </w:r>
      <w:r w:rsidRPr="000A5B5D">
        <w:rPr>
          <w:rFonts w:ascii="宋体" w:hAnsi="宋体" w:cs="宋体" w:hint="eastAsia"/>
          <w:kern w:val="0"/>
          <w:sz w:val="24"/>
          <w:szCs w:val="24"/>
          <w:lang w:val="zh-CN"/>
        </w:rPr>
        <w:t>等荣誉。在英国《银行家》（</w:t>
      </w:r>
      <w:r w:rsidRPr="000A5B5D">
        <w:rPr>
          <w:rFonts w:eastAsia="Times New Roman"/>
          <w:kern w:val="0"/>
          <w:sz w:val="24"/>
          <w:szCs w:val="24"/>
          <w:lang w:val="zh-CN"/>
        </w:rPr>
        <w:t>The Banker</w:t>
      </w:r>
      <w:r w:rsidRPr="000A5B5D">
        <w:rPr>
          <w:rFonts w:ascii="宋体" w:hAnsi="宋体" w:cs="宋体" w:hint="eastAsia"/>
          <w:kern w:val="0"/>
          <w:sz w:val="24"/>
          <w:szCs w:val="24"/>
          <w:lang w:val="zh-CN"/>
        </w:rPr>
        <w:t>）</w:t>
      </w:r>
      <w:r w:rsidRPr="000A5B5D">
        <w:rPr>
          <w:rFonts w:eastAsia="Times New Roman"/>
          <w:kern w:val="0"/>
          <w:sz w:val="24"/>
          <w:szCs w:val="24"/>
          <w:lang w:val="zh-CN"/>
        </w:rPr>
        <w:t xml:space="preserve">2014 </w:t>
      </w:r>
      <w:r w:rsidRPr="000A5B5D">
        <w:rPr>
          <w:rFonts w:ascii="宋体" w:hAnsi="宋体" w:cs="宋体" w:hint="eastAsia"/>
          <w:kern w:val="0"/>
          <w:sz w:val="24"/>
          <w:szCs w:val="24"/>
          <w:lang w:val="zh-CN"/>
        </w:rPr>
        <w:t>年</w:t>
      </w:r>
      <w:r w:rsidRPr="000A5B5D">
        <w:rPr>
          <w:rFonts w:eastAsia="Times New Roman"/>
          <w:kern w:val="0"/>
          <w:sz w:val="24"/>
          <w:szCs w:val="24"/>
          <w:lang w:val="zh-CN"/>
        </w:rPr>
        <w:t>“</w:t>
      </w:r>
      <w:r w:rsidRPr="000A5B5D">
        <w:rPr>
          <w:rFonts w:ascii="宋体" w:hAnsi="宋体" w:cs="宋体" w:hint="eastAsia"/>
          <w:kern w:val="0"/>
          <w:sz w:val="24"/>
          <w:szCs w:val="24"/>
          <w:lang w:val="zh-CN"/>
        </w:rPr>
        <w:t>全球银行业</w:t>
      </w:r>
      <w:r w:rsidRPr="000A5B5D">
        <w:rPr>
          <w:rFonts w:eastAsia="Times New Roman"/>
          <w:kern w:val="0"/>
          <w:sz w:val="24"/>
          <w:szCs w:val="24"/>
          <w:lang w:val="zh-CN"/>
        </w:rPr>
        <w:t xml:space="preserve"> 1000 </w:t>
      </w:r>
      <w:r w:rsidRPr="000A5B5D">
        <w:rPr>
          <w:rFonts w:ascii="宋体" w:hAnsi="宋体" w:cs="宋体" w:hint="eastAsia"/>
          <w:kern w:val="0"/>
          <w:sz w:val="24"/>
          <w:szCs w:val="24"/>
          <w:lang w:val="zh-CN"/>
        </w:rPr>
        <w:t>强</w:t>
      </w:r>
      <w:r w:rsidRPr="000A5B5D">
        <w:rPr>
          <w:rFonts w:eastAsia="Times New Roman"/>
          <w:kern w:val="0"/>
          <w:sz w:val="24"/>
          <w:szCs w:val="24"/>
          <w:lang w:val="zh-CN"/>
        </w:rPr>
        <w:t>”</w:t>
      </w:r>
      <w:r w:rsidRPr="000A5B5D">
        <w:rPr>
          <w:rFonts w:ascii="宋体" w:hAnsi="宋体" w:cs="宋体" w:hint="eastAsia"/>
          <w:kern w:val="0"/>
          <w:sz w:val="24"/>
          <w:szCs w:val="24"/>
          <w:lang w:val="zh-CN"/>
        </w:rPr>
        <w:t>中名列</w:t>
      </w:r>
      <w:r w:rsidRPr="000A5B5D">
        <w:rPr>
          <w:rFonts w:eastAsia="Times New Roman"/>
          <w:kern w:val="0"/>
          <w:sz w:val="24"/>
          <w:szCs w:val="24"/>
          <w:lang w:val="zh-CN"/>
        </w:rPr>
        <w:t xml:space="preserve"> 208 </w:t>
      </w:r>
      <w:r w:rsidRPr="000A5B5D">
        <w:rPr>
          <w:rFonts w:ascii="宋体" w:hAnsi="宋体" w:cs="宋体" w:hint="eastAsia"/>
          <w:kern w:val="0"/>
          <w:sz w:val="24"/>
          <w:szCs w:val="24"/>
          <w:lang w:val="zh-CN"/>
        </w:rPr>
        <w:t>位，外部评价持续提升。浙商银行确立了未来</w:t>
      </w:r>
      <w:r w:rsidRPr="000A5B5D">
        <w:rPr>
          <w:rFonts w:eastAsia="Times New Roman"/>
          <w:kern w:val="0"/>
          <w:sz w:val="24"/>
          <w:szCs w:val="24"/>
          <w:lang w:val="zh-CN"/>
        </w:rPr>
        <w:t>“</w:t>
      </w:r>
      <w:r w:rsidRPr="000A5B5D">
        <w:rPr>
          <w:rFonts w:ascii="宋体" w:hAnsi="宋体" w:cs="宋体" w:hint="eastAsia"/>
          <w:kern w:val="0"/>
          <w:sz w:val="24"/>
          <w:szCs w:val="24"/>
          <w:lang w:val="zh-CN"/>
        </w:rPr>
        <w:t>成为最具竞争力全国性股份制商业银行和浙江省最重要金融平台</w:t>
      </w:r>
      <w:r w:rsidRPr="000A5B5D">
        <w:rPr>
          <w:rFonts w:eastAsia="Times New Roman"/>
          <w:kern w:val="0"/>
          <w:sz w:val="24"/>
          <w:szCs w:val="24"/>
          <w:lang w:val="zh-CN"/>
        </w:rPr>
        <w:t>”</w:t>
      </w:r>
      <w:r w:rsidRPr="000A5B5D">
        <w:rPr>
          <w:rFonts w:ascii="宋体" w:hAnsi="宋体" w:cs="宋体" w:hint="eastAsia"/>
          <w:kern w:val="0"/>
          <w:sz w:val="24"/>
          <w:szCs w:val="24"/>
          <w:lang w:val="zh-CN"/>
        </w:rPr>
        <w:t>的总目标和</w:t>
      </w:r>
      <w:r w:rsidRPr="000A5B5D">
        <w:rPr>
          <w:rFonts w:eastAsia="Times New Roman"/>
          <w:kern w:val="0"/>
          <w:sz w:val="24"/>
          <w:szCs w:val="24"/>
          <w:lang w:val="zh-CN"/>
        </w:rPr>
        <w:t>“</w:t>
      </w:r>
      <w:r w:rsidRPr="000A5B5D">
        <w:rPr>
          <w:rFonts w:ascii="宋体" w:hAnsi="宋体" w:cs="宋体" w:hint="eastAsia"/>
          <w:kern w:val="0"/>
          <w:sz w:val="24"/>
          <w:szCs w:val="24"/>
          <w:lang w:val="zh-CN"/>
        </w:rPr>
        <w:t>全资产经营</w:t>
      </w:r>
      <w:r w:rsidRPr="000A5B5D">
        <w:rPr>
          <w:rFonts w:eastAsia="Times New Roman"/>
          <w:kern w:val="0"/>
          <w:sz w:val="24"/>
          <w:szCs w:val="24"/>
          <w:lang w:val="zh-CN"/>
        </w:rPr>
        <w:t>”</w:t>
      </w:r>
      <w:r w:rsidRPr="000A5B5D">
        <w:rPr>
          <w:rFonts w:ascii="宋体" w:hAnsi="宋体" w:cs="宋体" w:hint="eastAsia"/>
          <w:kern w:val="0"/>
          <w:sz w:val="24"/>
          <w:szCs w:val="24"/>
          <w:lang w:val="zh-CN"/>
        </w:rPr>
        <w:t>的业务战略。</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本报告期末，公司累计持有股份为</w:t>
      </w:r>
      <w:r w:rsidRPr="000A5B5D">
        <w:rPr>
          <w:rFonts w:eastAsia="Times New Roman"/>
          <w:kern w:val="0"/>
          <w:sz w:val="24"/>
          <w:szCs w:val="24"/>
          <w:lang w:val="zh-CN"/>
        </w:rPr>
        <w:t xml:space="preserve">748,069,283 </w:t>
      </w:r>
      <w:r w:rsidRPr="000A5B5D">
        <w:rPr>
          <w:rFonts w:ascii="宋体" w:hAnsi="宋体" w:cs="宋体" w:hint="eastAsia"/>
          <w:kern w:val="0"/>
          <w:sz w:val="24"/>
          <w:szCs w:val="24"/>
          <w:lang w:val="zh-CN"/>
        </w:rPr>
        <w:t>股，占浙商银行总股本的</w:t>
      </w:r>
      <w:r w:rsidRPr="000A5B5D">
        <w:rPr>
          <w:rFonts w:eastAsia="Times New Roman"/>
          <w:kern w:val="0"/>
          <w:sz w:val="24"/>
          <w:szCs w:val="24"/>
          <w:lang w:val="zh-CN"/>
        </w:rPr>
        <w:t>5.16%</w:t>
      </w:r>
      <w:r w:rsidRPr="000A5B5D">
        <w:rPr>
          <w:rFonts w:ascii="宋体" w:hAnsi="宋体" w:cs="宋体" w:hint="eastAsia"/>
          <w:kern w:val="0"/>
          <w:sz w:val="24"/>
          <w:szCs w:val="24"/>
          <w:lang w:val="zh-CN"/>
        </w:rPr>
        <w:t>。同时，控股股东恒逸集团持有浙商银行股份</w:t>
      </w:r>
      <w:r w:rsidRPr="000A5B5D">
        <w:rPr>
          <w:rFonts w:eastAsia="Times New Roman"/>
          <w:kern w:val="0"/>
          <w:sz w:val="24"/>
          <w:szCs w:val="24"/>
          <w:lang w:val="zh-CN"/>
        </w:rPr>
        <w:t xml:space="preserve"> 494,655,630 </w:t>
      </w:r>
      <w:r w:rsidRPr="000A5B5D">
        <w:rPr>
          <w:rFonts w:ascii="宋体" w:hAnsi="宋体" w:cs="宋体" w:hint="eastAsia"/>
          <w:kern w:val="0"/>
          <w:sz w:val="24"/>
          <w:szCs w:val="24"/>
          <w:lang w:val="zh-CN"/>
        </w:rPr>
        <w:t>股，占浙商银行总股份的</w:t>
      </w:r>
      <w:r w:rsidRPr="000A5B5D">
        <w:rPr>
          <w:rFonts w:eastAsia="Times New Roman"/>
          <w:kern w:val="0"/>
          <w:sz w:val="24"/>
          <w:szCs w:val="24"/>
          <w:lang w:val="zh-CN"/>
        </w:rPr>
        <w:t>3.41%</w:t>
      </w:r>
      <w:r w:rsidRPr="000A5B5D">
        <w:rPr>
          <w:rFonts w:ascii="宋体" w:hAnsi="宋体" w:cs="宋体" w:hint="eastAsia"/>
          <w:kern w:val="0"/>
          <w:sz w:val="24"/>
          <w:szCs w:val="24"/>
          <w:lang w:val="zh-CN"/>
        </w:rPr>
        <w:t>。</w:t>
      </w:r>
    </w:p>
    <w:p w:rsidR="00BC4D56" w:rsidRPr="000A5B5D" w:rsidRDefault="00BC4D56" w:rsidP="00852E5D">
      <w:pPr>
        <w:autoSpaceDE w:val="0"/>
        <w:autoSpaceDN w:val="0"/>
        <w:adjustRightInd w:val="0"/>
        <w:spacing w:before="0" w:after="0" w:line="360" w:lineRule="auto"/>
        <w:jc w:val="left"/>
        <w:rPr>
          <w:rFonts w:eastAsia="Times New Roman"/>
          <w:b/>
          <w:kern w:val="0"/>
          <w:sz w:val="24"/>
          <w:szCs w:val="24"/>
          <w:lang w:val="zh-CN"/>
        </w:rPr>
      </w:pPr>
      <w:r w:rsidRPr="000A5B5D">
        <w:rPr>
          <w:rFonts w:ascii="宋体" w:hAnsi="宋体" w:cs="宋体" w:hint="eastAsia"/>
          <w:b/>
          <w:kern w:val="0"/>
          <w:sz w:val="24"/>
          <w:szCs w:val="24"/>
          <w:lang w:val="zh-CN"/>
        </w:rPr>
        <w:t>（二）行业发展格局</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公司所处石化化纤产业链是一个关乎国计民生的产业，终端产品与人民的衣食住行息息相关，过去十几年，我国石化化纤产业链蓬勃发展，多个产品一举成为全球最大的生产和消费市场。但是受原油价格波动和产业链上下游不均衡发展的影响，产品供求关系失衡，虽然产业链规模持续增长，但产业链盈利周期较强。</w:t>
      </w:r>
      <w:r w:rsidRPr="000A5B5D">
        <w:rPr>
          <w:rFonts w:eastAsia="Times New Roman"/>
          <w:kern w:val="0"/>
          <w:sz w:val="24"/>
          <w:szCs w:val="24"/>
          <w:lang w:val="zh-CN"/>
        </w:rPr>
        <w:t>2012-2014</w:t>
      </w:r>
      <w:r w:rsidRPr="000A5B5D">
        <w:rPr>
          <w:rFonts w:ascii="宋体" w:hAnsi="宋体" w:cs="宋体" w:hint="eastAsia"/>
          <w:kern w:val="0"/>
          <w:sz w:val="24"/>
          <w:szCs w:val="24"/>
          <w:lang w:val="zh-CN"/>
        </w:rPr>
        <w:t>年我国</w:t>
      </w:r>
      <w:r w:rsidRPr="000A5B5D">
        <w:rPr>
          <w:rFonts w:eastAsia="Times New Roman"/>
          <w:kern w:val="0"/>
          <w:sz w:val="24"/>
          <w:szCs w:val="24"/>
          <w:lang w:val="zh-CN"/>
        </w:rPr>
        <w:t>PTA</w:t>
      </w:r>
      <w:r w:rsidRPr="000A5B5D">
        <w:rPr>
          <w:rFonts w:ascii="宋体" w:hAnsi="宋体" w:cs="宋体" w:hint="eastAsia"/>
          <w:kern w:val="0"/>
          <w:sz w:val="24"/>
          <w:szCs w:val="24"/>
          <w:lang w:val="zh-CN"/>
        </w:rPr>
        <w:t>和聚酯纤维均步入产能快速释放期，供过于求明显，再加上我国</w:t>
      </w:r>
      <w:r w:rsidRPr="000A5B5D">
        <w:rPr>
          <w:rFonts w:eastAsia="Times New Roman"/>
          <w:kern w:val="0"/>
          <w:sz w:val="24"/>
          <w:szCs w:val="24"/>
          <w:lang w:val="zh-CN"/>
        </w:rPr>
        <w:t>PX 50%</w:t>
      </w:r>
      <w:r w:rsidRPr="000A5B5D">
        <w:rPr>
          <w:rFonts w:ascii="宋体" w:hAnsi="宋体" w:cs="宋体" w:hint="eastAsia"/>
          <w:kern w:val="0"/>
          <w:sz w:val="24"/>
          <w:szCs w:val="24"/>
          <w:lang w:val="zh-CN"/>
        </w:rPr>
        <w:t>以上依赖于进口，</w:t>
      </w:r>
      <w:r w:rsidRPr="000A5B5D">
        <w:rPr>
          <w:rFonts w:eastAsia="Times New Roman"/>
          <w:kern w:val="0"/>
          <w:sz w:val="24"/>
          <w:szCs w:val="24"/>
          <w:lang w:val="zh-CN"/>
        </w:rPr>
        <w:t>PTA</w:t>
      </w:r>
      <w:r w:rsidRPr="000A5B5D">
        <w:rPr>
          <w:rFonts w:ascii="宋体" w:hAnsi="宋体" w:cs="宋体" w:hint="eastAsia"/>
          <w:kern w:val="0"/>
          <w:sz w:val="24"/>
          <w:szCs w:val="24"/>
          <w:lang w:val="zh-CN"/>
        </w:rPr>
        <w:t>和聚酯长丝盈利能力不断下降，公司的业绩也大幅下滑。</w:t>
      </w:r>
      <w:r w:rsidRPr="000A5B5D">
        <w:rPr>
          <w:rFonts w:eastAsia="Times New Roman"/>
          <w:kern w:val="0"/>
          <w:sz w:val="24"/>
          <w:szCs w:val="24"/>
          <w:lang w:val="zh-CN"/>
        </w:rPr>
        <w:t>2015</w:t>
      </w:r>
      <w:r w:rsidRPr="000A5B5D">
        <w:rPr>
          <w:rFonts w:ascii="宋体" w:hAnsi="宋体" w:cs="宋体" w:hint="eastAsia"/>
          <w:kern w:val="0"/>
          <w:sz w:val="24"/>
          <w:szCs w:val="24"/>
          <w:lang w:val="zh-CN"/>
        </w:rPr>
        <w:t>年随着</w:t>
      </w:r>
      <w:r w:rsidRPr="000A5B5D">
        <w:rPr>
          <w:rFonts w:eastAsia="Times New Roman"/>
          <w:kern w:val="0"/>
          <w:sz w:val="24"/>
          <w:szCs w:val="24"/>
          <w:lang w:val="zh-CN"/>
        </w:rPr>
        <w:t>PTA</w:t>
      </w:r>
      <w:r w:rsidRPr="000A5B5D">
        <w:rPr>
          <w:rFonts w:ascii="宋体" w:hAnsi="宋体" w:cs="宋体" w:hint="eastAsia"/>
          <w:kern w:val="0"/>
          <w:sz w:val="24"/>
          <w:szCs w:val="24"/>
          <w:lang w:val="zh-CN"/>
        </w:rPr>
        <w:t>和聚酯纤维产业去产能推进和产能投放进入尾声，</w:t>
      </w:r>
      <w:r w:rsidRPr="000A5B5D">
        <w:rPr>
          <w:rFonts w:eastAsia="Times New Roman"/>
          <w:kern w:val="0"/>
          <w:sz w:val="24"/>
          <w:szCs w:val="24"/>
          <w:lang w:val="zh-CN"/>
        </w:rPr>
        <w:t>PTA</w:t>
      </w:r>
      <w:r w:rsidRPr="000A5B5D">
        <w:rPr>
          <w:rFonts w:ascii="宋体" w:hAnsi="宋体" w:cs="宋体" w:hint="eastAsia"/>
          <w:kern w:val="0"/>
          <w:sz w:val="24"/>
          <w:szCs w:val="24"/>
          <w:lang w:val="zh-CN"/>
        </w:rPr>
        <w:t>和聚酯纤维行业逐步好转，</w:t>
      </w:r>
      <w:r w:rsidRPr="000A5B5D">
        <w:rPr>
          <w:rFonts w:eastAsia="Times New Roman"/>
          <w:kern w:val="0"/>
          <w:sz w:val="24"/>
          <w:szCs w:val="24"/>
          <w:lang w:val="zh-CN"/>
        </w:rPr>
        <w:t>2015</w:t>
      </w:r>
      <w:r w:rsidRPr="000A5B5D">
        <w:rPr>
          <w:rFonts w:ascii="宋体" w:hAnsi="宋体" w:cs="宋体" w:hint="eastAsia"/>
          <w:kern w:val="0"/>
          <w:sz w:val="24"/>
          <w:szCs w:val="24"/>
          <w:lang w:val="zh-CN"/>
        </w:rPr>
        <w:t>年公司实现净利润</w:t>
      </w:r>
      <w:r w:rsidRPr="000A5B5D">
        <w:rPr>
          <w:rFonts w:eastAsia="Times New Roman"/>
          <w:kern w:val="0"/>
          <w:sz w:val="24"/>
          <w:szCs w:val="24"/>
          <w:lang w:val="zh-CN"/>
        </w:rPr>
        <w:t>1.85</w:t>
      </w:r>
      <w:r w:rsidRPr="000A5B5D">
        <w:rPr>
          <w:rFonts w:ascii="宋体" w:hAnsi="宋体" w:cs="宋体" w:hint="eastAsia"/>
          <w:kern w:val="0"/>
          <w:sz w:val="24"/>
          <w:szCs w:val="24"/>
          <w:lang w:val="zh-CN"/>
        </w:rPr>
        <w:t>亿元。</w:t>
      </w:r>
    </w:p>
    <w:p w:rsidR="00BC4D56" w:rsidRPr="000A5B5D" w:rsidRDefault="00BC4D56" w:rsidP="00852E5D">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今后几年，随着</w:t>
      </w:r>
      <w:r w:rsidRPr="000A5B5D">
        <w:rPr>
          <w:rFonts w:eastAsia="Times New Roman"/>
          <w:kern w:val="0"/>
          <w:sz w:val="24"/>
          <w:szCs w:val="24"/>
          <w:lang w:val="zh-CN"/>
        </w:rPr>
        <w:t>PTA</w:t>
      </w:r>
      <w:r w:rsidRPr="000A5B5D">
        <w:rPr>
          <w:rFonts w:ascii="宋体" w:hAnsi="宋体" w:cs="宋体" w:hint="eastAsia"/>
          <w:kern w:val="0"/>
          <w:sz w:val="24"/>
          <w:szCs w:val="24"/>
          <w:lang w:val="zh-CN"/>
        </w:rPr>
        <w:t>产能接近零投放、部分落后产能继续淘汰、原油价格企稳等诸多因素的影响，</w:t>
      </w:r>
      <w:r w:rsidRPr="000A5B5D">
        <w:rPr>
          <w:rFonts w:eastAsia="Times New Roman"/>
          <w:kern w:val="0"/>
          <w:sz w:val="24"/>
          <w:szCs w:val="24"/>
          <w:lang w:val="zh-CN"/>
        </w:rPr>
        <w:t>PTA</w:t>
      </w:r>
      <w:r w:rsidRPr="000A5B5D">
        <w:rPr>
          <w:rFonts w:ascii="宋体" w:hAnsi="宋体" w:cs="宋体" w:hint="eastAsia"/>
          <w:kern w:val="0"/>
          <w:sz w:val="24"/>
          <w:szCs w:val="24"/>
          <w:lang w:val="zh-CN"/>
        </w:rPr>
        <w:t>供求关系改善，</w:t>
      </w:r>
      <w:r w:rsidRPr="000A5B5D">
        <w:rPr>
          <w:rFonts w:eastAsia="Times New Roman"/>
          <w:kern w:val="0"/>
          <w:sz w:val="24"/>
          <w:szCs w:val="24"/>
          <w:lang w:val="zh-CN"/>
        </w:rPr>
        <w:t>PTA</w:t>
      </w:r>
      <w:r w:rsidRPr="000A5B5D">
        <w:rPr>
          <w:rFonts w:ascii="宋体" w:hAnsi="宋体" w:cs="宋体" w:hint="eastAsia"/>
          <w:kern w:val="0"/>
          <w:sz w:val="24"/>
          <w:szCs w:val="24"/>
          <w:lang w:val="zh-CN"/>
        </w:rPr>
        <w:t>行业有望迎来景气度回升，企业效益逐步上升的良好局面。同时，聚酯纤维领域率先通过并购整合提升产业效率、增加先进产能的优势企业将迎</w:t>
      </w:r>
      <w:r w:rsidRPr="000A5B5D">
        <w:rPr>
          <w:rFonts w:ascii="宋体" w:hAnsi="宋体" w:cs="宋体" w:hint="eastAsia"/>
          <w:kern w:val="0"/>
          <w:sz w:val="24"/>
          <w:szCs w:val="24"/>
          <w:lang w:val="zh-CN"/>
        </w:rPr>
        <w:lastRenderedPageBreak/>
        <w:t>来良好的发展机遇期。</w:t>
      </w:r>
    </w:p>
    <w:p w:rsidR="00BC4D56" w:rsidRPr="000A5B5D" w:rsidRDefault="00BC4D56" w:rsidP="00852E5D">
      <w:pPr>
        <w:autoSpaceDE w:val="0"/>
        <w:autoSpaceDN w:val="0"/>
        <w:adjustRightInd w:val="0"/>
        <w:spacing w:before="0" w:after="0" w:line="360" w:lineRule="auto"/>
        <w:ind w:firstLine="562"/>
        <w:jc w:val="left"/>
        <w:rPr>
          <w:rFonts w:eastAsia="Times New Roman"/>
          <w:b/>
          <w:kern w:val="0"/>
          <w:sz w:val="24"/>
          <w:szCs w:val="24"/>
          <w:lang w:val="zh-CN"/>
        </w:rPr>
      </w:pPr>
      <w:r w:rsidRPr="000A5B5D">
        <w:rPr>
          <w:rFonts w:eastAsia="Times New Roman"/>
          <w:b/>
          <w:kern w:val="0"/>
          <w:sz w:val="24"/>
          <w:szCs w:val="24"/>
          <w:lang w:val="zh-CN"/>
        </w:rPr>
        <w:t>1</w:t>
      </w:r>
      <w:r w:rsidRPr="000A5B5D">
        <w:rPr>
          <w:rFonts w:ascii="宋体" w:hAnsi="宋体" w:cs="宋体" w:hint="eastAsia"/>
          <w:b/>
          <w:kern w:val="0"/>
          <w:sz w:val="24"/>
          <w:szCs w:val="24"/>
          <w:lang w:val="zh-CN"/>
        </w:rPr>
        <w:t>、</w:t>
      </w:r>
      <w:r w:rsidRPr="000A5B5D">
        <w:rPr>
          <w:rFonts w:eastAsia="Times New Roman"/>
          <w:b/>
          <w:kern w:val="0"/>
          <w:sz w:val="24"/>
          <w:szCs w:val="24"/>
          <w:lang w:val="zh-CN"/>
        </w:rPr>
        <w:t>PTA</w:t>
      </w:r>
      <w:r w:rsidRPr="000A5B5D">
        <w:rPr>
          <w:rFonts w:ascii="宋体" w:hAnsi="宋体" w:cs="宋体" w:hint="eastAsia"/>
          <w:b/>
          <w:kern w:val="0"/>
          <w:sz w:val="24"/>
          <w:szCs w:val="24"/>
          <w:lang w:val="zh-CN"/>
        </w:rPr>
        <w:t>供求关系改善，行业景气度回升，企业效益将逐步上升</w:t>
      </w:r>
    </w:p>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1</w:t>
      </w:r>
      <w:r w:rsidRPr="000A5B5D">
        <w:rPr>
          <w:rFonts w:ascii="宋体" w:hAnsi="宋体" w:cs="宋体" w:hint="eastAsia"/>
          <w:b/>
          <w:kern w:val="0"/>
          <w:sz w:val="24"/>
          <w:szCs w:val="24"/>
          <w:lang w:val="zh-CN"/>
        </w:rPr>
        <w:t>）随着新产能投放接近尾声和落后产能的淘汰，供求关系将持续改善</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eastAsia="Times New Roman"/>
          <w:kern w:val="0"/>
          <w:sz w:val="24"/>
          <w:szCs w:val="24"/>
          <w:lang w:val="zh-CN"/>
        </w:rPr>
        <w:t>PTA</w:t>
      </w:r>
      <w:r w:rsidRPr="000A5B5D">
        <w:rPr>
          <w:rFonts w:ascii="宋体" w:hAnsi="宋体" w:cs="宋体" w:hint="eastAsia"/>
          <w:kern w:val="0"/>
          <w:sz w:val="24"/>
          <w:szCs w:val="24"/>
          <w:lang w:val="zh-CN"/>
        </w:rPr>
        <w:t>是</w:t>
      </w:r>
      <w:r w:rsidRPr="000A5B5D">
        <w:rPr>
          <w:rFonts w:eastAsia="Times New Roman"/>
          <w:kern w:val="0"/>
          <w:sz w:val="24"/>
          <w:szCs w:val="24"/>
          <w:lang w:val="zh-CN"/>
        </w:rPr>
        <w:t>PX-PTA-PET</w:t>
      </w:r>
      <w:r w:rsidRPr="000A5B5D">
        <w:rPr>
          <w:rFonts w:ascii="宋体" w:hAnsi="宋体" w:cs="宋体" w:hint="eastAsia"/>
          <w:kern w:val="0"/>
          <w:sz w:val="24"/>
          <w:szCs w:val="24"/>
          <w:lang w:val="zh-CN"/>
        </w:rPr>
        <w:t>产业链中的中间环节，</w:t>
      </w:r>
      <w:r w:rsidRPr="000A5B5D">
        <w:rPr>
          <w:rFonts w:eastAsia="Times New Roman"/>
          <w:kern w:val="0"/>
          <w:sz w:val="24"/>
          <w:szCs w:val="24"/>
          <w:lang w:val="zh-CN"/>
        </w:rPr>
        <w:t>2010-2011</w:t>
      </w:r>
      <w:r w:rsidRPr="000A5B5D">
        <w:rPr>
          <w:rFonts w:ascii="宋体" w:hAnsi="宋体" w:cs="宋体" w:hint="eastAsia"/>
          <w:kern w:val="0"/>
          <w:sz w:val="24"/>
          <w:szCs w:val="24"/>
          <w:lang w:val="zh-CN"/>
        </w:rPr>
        <w:t>年</w:t>
      </w:r>
      <w:r w:rsidRPr="000A5B5D">
        <w:rPr>
          <w:rFonts w:eastAsia="Times New Roman"/>
          <w:kern w:val="0"/>
          <w:sz w:val="24"/>
          <w:szCs w:val="24"/>
          <w:lang w:val="zh-CN"/>
        </w:rPr>
        <w:t>PTA</w:t>
      </w:r>
      <w:r w:rsidRPr="000A5B5D">
        <w:rPr>
          <w:rFonts w:ascii="宋体" w:hAnsi="宋体" w:cs="宋体" w:hint="eastAsia"/>
          <w:kern w:val="0"/>
          <w:sz w:val="24"/>
          <w:szCs w:val="24"/>
          <w:lang w:val="zh-CN"/>
        </w:rPr>
        <w:t>的盈利达到近</w:t>
      </w:r>
      <w:r w:rsidRPr="000A5B5D">
        <w:rPr>
          <w:rFonts w:eastAsia="Times New Roman"/>
          <w:kern w:val="0"/>
          <w:sz w:val="24"/>
          <w:szCs w:val="24"/>
          <w:lang w:val="zh-CN"/>
        </w:rPr>
        <w:t>20</w:t>
      </w:r>
      <w:r w:rsidRPr="000A5B5D">
        <w:rPr>
          <w:rFonts w:ascii="宋体" w:hAnsi="宋体" w:cs="宋体" w:hint="eastAsia"/>
          <w:kern w:val="0"/>
          <w:sz w:val="24"/>
          <w:szCs w:val="24"/>
          <w:lang w:val="zh-CN"/>
        </w:rPr>
        <w:t>多年来的高点，刺激我国开始了新一轮的产能扩张，很多公司纷纷开始上马</w:t>
      </w:r>
      <w:r w:rsidRPr="000A5B5D">
        <w:rPr>
          <w:rFonts w:eastAsia="Times New Roman"/>
          <w:kern w:val="0"/>
          <w:sz w:val="24"/>
          <w:szCs w:val="24"/>
          <w:lang w:val="zh-CN"/>
        </w:rPr>
        <w:t>PTA</w:t>
      </w:r>
      <w:r w:rsidRPr="000A5B5D">
        <w:rPr>
          <w:rFonts w:ascii="宋体" w:hAnsi="宋体" w:cs="宋体" w:hint="eastAsia"/>
          <w:kern w:val="0"/>
          <w:sz w:val="24"/>
          <w:szCs w:val="24"/>
          <w:lang w:val="zh-CN"/>
        </w:rPr>
        <w:t>产能，在随后的</w:t>
      </w:r>
      <w:r w:rsidRPr="000A5B5D">
        <w:rPr>
          <w:rFonts w:eastAsia="Times New Roman"/>
          <w:kern w:val="0"/>
          <w:sz w:val="24"/>
          <w:szCs w:val="24"/>
          <w:lang w:val="zh-CN"/>
        </w:rPr>
        <w:t>2011~2015</w:t>
      </w:r>
      <w:r w:rsidRPr="000A5B5D">
        <w:rPr>
          <w:rFonts w:ascii="宋体" w:hAnsi="宋体" w:cs="宋体" w:hint="eastAsia"/>
          <w:kern w:val="0"/>
          <w:sz w:val="24"/>
          <w:szCs w:val="24"/>
          <w:lang w:val="zh-CN"/>
        </w:rPr>
        <w:t>年我国迎来了</w:t>
      </w:r>
      <w:r w:rsidRPr="000A5B5D">
        <w:rPr>
          <w:rFonts w:eastAsia="Times New Roman"/>
          <w:kern w:val="0"/>
          <w:sz w:val="24"/>
          <w:szCs w:val="24"/>
          <w:lang w:val="zh-CN"/>
        </w:rPr>
        <w:t>PTA</w:t>
      </w:r>
      <w:r w:rsidRPr="000A5B5D">
        <w:rPr>
          <w:rFonts w:ascii="宋体" w:hAnsi="宋体" w:cs="宋体" w:hint="eastAsia"/>
          <w:kern w:val="0"/>
          <w:sz w:val="24"/>
          <w:szCs w:val="24"/>
          <w:lang w:val="zh-CN"/>
        </w:rPr>
        <w:t>投产的高峰，</w:t>
      </w:r>
      <w:r w:rsidRPr="000A5B5D">
        <w:rPr>
          <w:rFonts w:eastAsia="Times New Roman"/>
          <w:kern w:val="0"/>
          <w:sz w:val="24"/>
          <w:szCs w:val="24"/>
          <w:lang w:val="zh-CN"/>
        </w:rPr>
        <w:t>2011~2015</w:t>
      </w:r>
      <w:r w:rsidRPr="000A5B5D">
        <w:rPr>
          <w:rFonts w:ascii="宋体" w:hAnsi="宋体" w:cs="宋体" w:hint="eastAsia"/>
          <w:kern w:val="0"/>
          <w:sz w:val="24"/>
          <w:szCs w:val="24"/>
          <w:lang w:val="zh-CN"/>
        </w:rPr>
        <w:t>年我国</w:t>
      </w:r>
      <w:r w:rsidRPr="000A5B5D">
        <w:rPr>
          <w:rFonts w:eastAsia="Times New Roman"/>
          <w:kern w:val="0"/>
          <w:sz w:val="24"/>
          <w:szCs w:val="24"/>
          <w:lang w:val="zh-CN"/>
        </w:rPr>
        <w:t>PTA</w:t>
      </w:r>
      <w:r w:rsidRPr="000A5B5D">
        <w:rPr>
          <w:rFonts w:ascii="宋体" w:hAnsi="宋体" w:cs="宋体" w:hint="eastAsia"/>
          <w:kern w:val="0"/>
          <w:sz w:val="24"/>
          <w:szCs w:val="24"/>
          <w:lang w:val="zh-CN"/>
        </w:rPr>
        <w:t>产能从</w:t>
      </w:r>
      <w:r w:rsidRPr="000A5B5D">
        <w:rPr>
          <w:rFonts w:eastAsia="Times New Roman"/>
          <w:kern w:val="0"/>
          <w:sz w:val="24"/>
          <w:szCs w:val="24"/>
          <w:lang w:val="zh-CN"/>
        </w:rPr>
        <w:t>2009</w:t>
      </w:r>
      <w:r w:rsidRPr="000A5B5D">
        <w:rPr>
          <w:rFonts w:ascii="宋体" w:hAnsi="宋体" w:cs="宋体" w:hint="eastAsia"/>
          <w:kern w:val="0"/>
          <w:sz w:val="24"/>
          <w:szCs w:val="24"/>
          <w:lang w:val="zh-CN"/>
        </w:rPr>
        <w:t>万吨增长到了</w:t>
      </w:r>
      <w:r w:rsidRPr="000A5B5D">
        <w:rPr>
          <w:rFonts w:eastAsia="Times New Roman"/>
          <w:kern w:val="0"/>
          <w:sz w:val="24"/>
          <w:szCs w:val="24"/>
          <w:lang w:val="zh-CN"/>
        </w:rPr>
        <w:t>4693</w:t>
      </w:r>
      <w:r w:rsidRPr="000A5B5D">
        <w:rPr>
          <w:rFonts w:ascii="宋体" w:hAnsi="宋体" w:cs="宋体" w:hint="eastAsia"/>
          <w:kern w:val="0"/>
          <w:sz w:val="24"/>
          <w:szCs w:val="24"/>
          <w:lang w:val="zh-CN"/>
        </w:rPr>
        <w:t>万吨，增长了</w:t>
      </w:r>
      <w:r w:rsidRPr="000A5B5D">
        <w:rPr>
          <w:rFonts w:eastAsia="Times New Roman"/>
          <w:kern w:val="0"/>
          <w:sz w:val="24"/>
          <w:szCs w:val="24"/>
          <w:lang w:val="zh-CN"/>
        </w:rPr>
        <w:t>134%</w:t>
      </w:r>
      <w:r w:rsidRPr="000A5B5D">
        <w:rPr>
          <w:rFonts w:ascii="宋体" w:hAnsi="宋体" w:cs="宋体" w:hint="eastAsia"/>
          <w:kern w:val="0"/>
          <w:sz w:val="24"/>
          <w:szCs w:val="24"/>
          <w:lang w:val="zh-CN"/>
        </w:rPr>
        <w:t>。预计</w:t>
      </w:r>
      <w:r w:rsidRPr="000A5B5D">
        <w:rPr>
          <w:rFonts w:eastAsia="Times New Roman"/>
          <w:kern w:val="0"/>
          <w:sz w:val="24"/>
          <w:szCs w:val="24"/>
          <w:lang w:val="zh-CN"/>
        </w:rPr>
        <w:t>2016</w:t>
      </w:r>
      <w:r w:rsidRPr="000A5B5D">
        <w:rPr>
          <w:rFonts w:ascii="宋体" w:hAnsi="宋体" w:cs="宋体" w:hint="eastAsia"/>
          <w:kern w:val="0"/>
          <w:sz w:val="24"/>
          <w:szCs w:val="24"/>
          <w:lang w:val="zh-CN"/>
        </w:rPr>
        <w:t>年以后</w:t>
      </w:r>
      <w:r w:rsidRPr="000A5B5D">
        <w:rPr>
          <w:rFonts w:eastAsia="Times New Roman"/>
          <w:kern w:val="0"/>
          <w:sz w:val="24"/>
          <w:szCs w:val="24"/>
          <w:lang w:val="zh-CN"/>
        </w:rPr>
        <w:t>PTA</w:t>
      </w:r>
      <w:r w:rsidRPr="000A5B5D">
        <w:rPr>
          <w:rFonts w:ascii="宋体" w:hAnsi="宋体" w:cs="宋体" w:hint="eastAsia"/>
          <w:kern w:val="0"/>
          <w:sz w:val="24"/>
          <w:szCs w:val="24"/>
          <w:lang w:val="zh-CN"/>
        </w:rPr>
        <w:t>产能投放进入尾声，产能投放几乎为零。同时，部分产能处于淘汰或关停状态，行业将进入一个紧平衡供求格局。</w:t>
      </w:r>
    </w:p>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w:t>
      </w:r>
      <w:r w:rsidRPr="000A5B5D">
        <w:rPr>
          <w:rFonts w:eastAsia="Times New Roman"/>
          <w:kern w:val="0"/>
          <w:sz w:val="24"/>
          <w:szCs w:val="24"/>
          <w:lang w:val="zh-CN"/>
        </w:rPr>
        <w:t>2012</w:t>
      </w:r>
      <w:r w:rsidRPr="000A5B5D">
        <w:rPr>
          <w:rFonts w:ascii="宋体" w:hAnsi="宋体" w:cs="宋体" w:hint="eastAsia"/>
          <w:kern w:val="0"/>
          <w:sz w:val="24"/>
          <w:szCs w:val="24"/>
          <w:lang w:val="zh-CN"/>
        </w:rPr>
        <w:t>年以后</w:t>
      </w:r>
      <w:r w:rsidRPr="000A5B5D">
        <w:rPr>
          <w:rFonts w:eastAsia="Times New Roman"/>
          <w:kern w:val="0"/>
          <w:sz w:val="24"/>
          <w:szCs w:val="24"/>
          <w:lang w:val="zh-CN"/>
        </w:rPr>
        <w:t>PTA</w:t>
      </w:r>
      <w:r w:rsidRPr="000A5B5D">
        <w:rPr>
          <w:rFonts w:ascii="宋体" w:hAnsi="宋体" w:cs="宋体" w:hint="eastAsia"/>
          <w:kern w:val="0"/>
          <w:sz w:val="24"/>
          <w:szCs w:val="24"/>
          <w:lang w:val="zh-CN"/>
        </w:rPr>
        <w:t>产能投放表（单位：万吨）资料来源：</w:t>
      </w:r>
      <w:r w:rsidRPr="000A5B5D">
        <w:rPr>
          <w:rFonts w:eastAsia="Times New Roman"/>
          <w:kern w:val="0"/>
          <w:sz w:val="24"/>
          <w:szCs w:val="24"/>
          <w:lang w:val="zh-CN"/>
        </w:rPr>
        <w:t>CCFEI</w:t>
      </w:r>
    </w:p>
    <w:tbl>
      <w:tblPr>
        <w:tblW w:w="0" w:type="auto"/>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2077"/>
        <w:gridCol w:w="1260"/>
        <w:gridCol w:w="1259"/>
        <w:gridCol w:w="1259"/>
        <w:gridCol w:w="1259"/>
        <w:gridCol w:w="1259"/>
        <w:gridCol w:w="1255"/>
      </w:tblGrid>
      <w:tr w:rsidR="00BC4D56" w:rsidRPr="000A5B5D">
        <w:tc>
          <w:tcPr>
            <w:tcW w:w="2077"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1260"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2012</w:t>
            </w:r>
            <w:r w:rsidRPr="000A5B5D">
              <w:rPr>
                <w:rFonts w:ascii="宋体" w:hAnsi="宋体" w:cs="宋体" w:hint="eastAsia"/>
                <w:kern w:val="0"/>
                <w:sz w:val="24"/>
                <w:szCs w:val="24"/>
                <w:lang w:val="zh-CN"/>
              </w:rPr>
              <w:t>年</w:t>
            </w:r>
          </w:p>
        </w:tc>
        <w:tc>
          <w:tcPr>
            <w:tcW w:w="1259"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2013</w:t>
            </w:r>
            <w:r w:rsidRPr="000A5B5D">
              <w:rPr>
                <w:rFonts w:ascii="宋体" w:hAnsi="宋体" w:cs="宋体" w:hint="eastAsia"/>
                <w:kern w:val="0"/>
                <w:sz w:val="24"/>
                <w:szCs w:val="24"/>
                <w:lang w:val="zh-CN"/>
              </w:rPr>
              <w:t>年</w:t>
            </w:r>
          </w:p>
        </w:tc>
        <w:tc>
          <w:tcPr>
            <w:tcW w:w="1259"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2014</w:t>
            </w:r>
            <w:r w:rsidRPr="000A5B5D">
              <w:rPr>
                <w:rFonts w:ascii="宋体" w:hAnsi="宋体" w:cs="宋体" w:hint="eastAsia"/>
                <w:kern w:val="0"/>
                <w:sz w:val="24"/>
                <w:szCs w:val="24"/>
                <w:lang w:val="zh-CN"/>
              </w:rPr>
              <w:t>年</w:t>
            </w:r>
          </w:p>
        </w:tc>
        <w:tc>
          <w:tcPr>
            <w:tcW w:w="1259"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w:t>
            </w:r>
          </w:p>
        </w:tc>
        <w:tc>
          <w:tcPr>
            <w:tcW w:w="1259"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2016</w:t>
            </w:r>
            <w:r w:rsidRPr="000A5B5D">
              <w:rPr>
                <w:rFonts w:ascii="宋体" w:hAnsi="宋体" w:cs="宋体" w:hint="eastAsia"/>
                <w:kern w:val="0"/>
                <w:sz w:val="24"/>
                <w:szCs w:val="24"/>
                <w:lang w:val="zh-CN"/>
              </w:rPr>
              <w:t>年</w:t>
            </w:r>
            <w:r w:rsidRPr="000A5B5D">
              <w:rPr>
                <w:rFonts w:eastAsia="Times New Roman"/>
                <w:kern w:val="0"/>
                <w:sz w:val="24"/>
                <w:szCs w:val="24"/>
                <w:lang w:val="zh-CN"/>
              </w:rPr>
              <w:t>E</w:t>
            </w:r>
          </w:p>
        </w:tc>
        <w:tc>
          <w:tcPr>
            <w:tcW w:w="1255"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2017</w:t>
            </w:r>
            <w:r w:rsidRPr="000A5B5D">
              <w:rPr>
                <w:rFonts w:ascii="宋体" w:hAnsi="宋体" w:cs="宋体" w:hint="eastAsia"/>
                <w:kern w:val="0"/>
                <w:sz w:val="24"/>
                <w:szCs w:val="24"/>
                <w:lang w:val="zh-CN"/>
              </w:rPr>
              <w:t>年</w:t>
            </w:r>
            <w:r w:rsidRPr="000A5B5D">
              <w:rPr>
                <w:rFonts w:eastAsia="Times New Roman"/>
                <w:kern w:val="0"/>
                <w:sz w:val="24"/>
                <w:szCs w:val="24"/>
                <w:lang w:val="zh-CN"/>
              </w:rPr>
              <w:t>E</w:t>
            </w:r>
          </w:p>
        </w:tc>
      </w:tr>
      <w:tr w:rsidR="00BC4D56" w:rsidRPr="000A5B5D">
        <w:tc>
          <w:tcPr>
            <w:tcW w:w="207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ascii="宋体" w:hAnsi="宋体" w:cs="宋体" w:hint="eastAsia"/>
                <w:kern w:val="0"/>
                <w:sz w:val="24"/>
                <w:szCs w:val="24"/>
                <w:lang w:val="zh-CN"/>
              </w:rPr>
              <w:t>新增产能</w:t>
            </w:r>
          </w:p>
        </w:tc>
        <w:tc>
          <w:tcPr>
            <w:tcW w:w="1260"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1240</w:t>
            </w: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50</w:t>
            </w: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1015</w:t>
            </w: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345</w:t>
            </w: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320</w:t>
            </w:r>
          </w:p>
        </w:tc>
        <w:tc>
          <w:tcPr>
            <w:tcW w:w="1255"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0</w:t>
            </w:r>
          </w:p>
        </w:tc>
      </w:tr>
      <w:tr w:rsidR="00BC4D56" w:rsidRPr="000A5B5D">
        <w:tc>
          <w:tcPr>
            <w:tcW w:w="207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ascii="宋体" w:hAnsi="宋体" w:cs="宋体" w:hint="eastAsia"/>
                <w:kern w:val="0"/>
                <w:sz w:val="24"/>
                <w:szCs w:val="24"/>
                <w:lang w:val="zh-CN"/>
              </w:rPr>
              <w:t>拟退出产能</w:t>
            </w:r>
          </w:p>
        </w:tc>
        <w:tc>
          <w:tcPr>
            <w:tcW w:w="1260"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1259"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2514" w:type="dxa"/>
            <w:gridSpan w:val="2"/>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1295</w:t>
            </w:r>
          </w:p>
        </w:tc>
      </w:tr>
    </w:tbl>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2</w:t>
      </w:r>
      <w:r w:rsidRPr="000A5B5D">
        <w:rPr>
          <w:rFonts w:ascii="宋体" w:hAnsi="宋体" w:cs="宋体" w:hint="eastAsia"/>
          <w:b/>
          <w:kern w:val="0"/>
          <w:sz w:val="24"/>
          <w:szCs w:val="24"/>
          <w:lang w:val="zh-CN"/>
        </w:rPr>
        <w:t>）实际开工率已经处于较高水平，行业毛利率有望企稳回升</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年我国</w:t>
      </w:r>
      <w:r w:rsidRPr="000A5B5D">
        <w:rPr>
          <w:rFonts w:eastAsia="Times New Roman"/>
          <w:kern w:val="0"/>
          <w:sz w:val="24"/>
          <w:szCs w:val="24"/>
          <w:lang w:val="zh-CN"/>
        </w:rPr>
        <w:t>PTA</w:t>
      </w:r>
      <w:r w:rsidRPr="000A5B5D">
        <w:rPr>
          <w:rFonts w:ascii="宋体" w:hAnsi="宋体" w:cs="宋体" w:hint="eastAsia"/>
          <w:kern w:val="0"/>
          <w:sz w:val="24"/>
          <w:szCs w:val="24"/>
          <w:lang w:val="zh-CN"/>
        </w:rPr>
        <w:t>产量约为</w:t>
      </w:r>
      <w:r w:rsidRPr="000A5B5D">
        <w:rPr>
          <w:rFonts w:eastAsia="Times New Roman"/>
          <w:kern w:val="0"/>
          <w:sz w:val="24"/>
          <w:szCs w:val="24"/>
          <w:lang w:val="zh-CN"/>
        </w:rPr>
        <w:t>3033</w:t>
      </w:r>
      <w:r w:rsidRPr="000A5B5D">
        <w:rPr>
          <w:rFonts w:ascii="宋体" w:hAnsi="宋体" w:cs="宋体" w:hint="eastAsia"/>
          <w:kern w:val="0"/>
          <w:sz w:val="24"/>
          <w:szCs w:val="24"/>
          <w:lang w:val="zh-CN"/>
        </w:rPr>
        <w:t>万吨，按照总产能计算，名义开工率约为</w:t>
      </w:r>
      <w:r w:rsidRPr="000A5B5D">
        <w:rPr>
          <w:rFonts w:eastAsia="Times New Roman"/>
          <w:kern w:val="0"/>
          <w:sz w:val="24"/>
          <w:szCs w:val="24"/>
          <w:lang w:val="zh-CN"/>
        </w:rPr>
        <w:t>64.63%</w:t>
      </w:r>
      <w:r w:rsidRPr="000A5B5D">
        <w:rPr>
          <w:rFonts w:ascii="宋体" w:hAnsi="宋体" w:cs="宋体" w:hint="eastAsia"/>
          <w:kern w:val="0"/>
          <w:sz w:val="24"/>
          <w:szCs w:val="24"/>
          <w:lang w:val="zh-CN"/>
        </w:rPr>
        <w:t>，但扣除关停产能以后，实际开工率已经达到</w:t>
      </w:r>
      <w:r w:rsidRPr="000A5B5D">
        <w:rPr>
          <w:rFonts w:eastAsia="Times New Roman"/>
          <w:kern w:val="0"/>
          <w:sz w:val="24"/>
          <w:szCs w:val="24"/>
          <w:lang w:val="zh-CN"/>
        </w:rPr>
        <w:t>89.26%</w:t>
      </w:r>
      <w:r w:rsidRPr="000A5B5D">
        <w:rPr>
          <w:rFonts w:ascii="宋体" w:hAnsi="宋体" w:cs="宋体" w:hint="eastAsia"/>
          <w:kern w:val="0"/>
          <w:sz w:val="24"/>
          <w:szCs w:val="24"/>
          <w:lang w:val="zh-CN"/>
        </w:rPr>
        <w:t>，开工率水平已经处于历史较好水平，因而行业毛利率（价差）有望企稳回升。</w:t>
      </w:r>
    </w:p>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w:t>
      </w:r>
      <w:r w:rsidRPr="000A5B5D">
        <w:rPr>
          <w:rFonts w:eastAsia="Times New Roman"/>
          <w:kern w:val="0"/>
          <w:sz w:val="24"/>
          <w:szCs w:val="24"/>
          <w:lang w:val="zh-CN"/>
        </w:rPr>
        <w:t xml:space="preserve">2009-2015 </w:t>
      </w:r>
      <w:r w:rsidRPr="000A5B5D">
        <w:rPr>
          <w:rFonts w:ascii="宋体" w:hAnsi="宋体" w:cs="宋体" w:hint="eastAsia"/>
          <w:kern w:val="0"/>
          <w:sz w:val="24"/>
          <w:szCs w:val="24"/>
          <w:lang w:val="zh-CN"/>
        </w:rPr>
        <w:t>年</w:t>
      </w:r>
      <w:r w:rsidRPr="000A5B5D">
        <w:rPr>
          <w:rFonts w:eastAsia="Times New Roman"/>
          <w:kern w:val="0"/>
          <w:sz w:val="24"/>
          <w:szCs w:val="24"/>
          <w:lang w:val="zh-CN"/>
        </w:rPr>
        <w:t>PTA</w:t>
      </w:r>
      <w:r w:rsidRPr="000A5B5D">
        <w:rPr>
          <w:rFonts w:ascii="宋体" w:hAnsi="宋体" w:cs="宋体" w:hint="eastAsia"/>
          <w:kern w:val="0"/>
          <w:sz w:val="24"/>
          <w:szCs w:val="24"/>
          <w:lang w:val="zh-CN"/>
        </w:rPr>
        <w:t>产能产量运行情况表（单位：万吨）</w:t>
      </w:r>
      <w:r w:rsidR="00852E5D"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资料来源：</w:t>
      </w:r>
      <w:r w:rsidRPr="000A5B5D">
        <w:rPr>
          <w:rFonts w:eastAsia="Times New Roman"/>
          <w:kern w:val="0"/>
          <w:sz w:val="24"/>
          <w:szCs w:val="24"/>
          <w:lang w:val="zh-CN"/>
        </w:rPr>
        <w:t>CCFEI</w:t>
      </w: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2574"/>
        <w:gridCol w:w="1007"/>
        <w:gridCol w:w="1007"/>
        <w:gridCol w:w="1007"/>
        <w:gridCol w:w="1007"/>
        <w:gridCol w:w="1007"/>
        <w:gridCol w:w="1007"/>
        <w:gridCol w:w="1006"/>
      </w:tblGrid>
      <w:tr w:rsidR="00BC4D56" w:rsidRPr="000A5B5D">
        <w:tc>
          <w:tcPr>
            <w:tcW w:w="2574"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ascii="宋体" w:hAnsi="宋体" w:cs="宋体" w:hint="eastAsia"/>
                <w:kern w:val="0"/>
                <w:sz w:val="24"/>
                <w:szCs w:val="24"/>
                <w:lang w:val="zh-CN"/>
              </w:rPr>
              <w:t>项目</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2009</w:t>
            </w:r>
            <w:r w:rsidRPr="000A5B5D">
              <w:rPr>
                <w:rFonts w:ascii="宋体" w:hAnsi="宋体" w:cs="宋体" w:hint="eastAsia"/>
                <w:kern w:val="0"/>
                <w:sz w:val="24"/>
                <w:szCs w:val="24"/>
                <w:lang w:val="zh-CN"/>
              </w:rPr>
              <w:t>年</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2010</w:t>
            </w:r>
            <w:r w:rsidRPr="000A5B5D">
              <w:rPr>
                <w:rFonts w:ascii="宋体" w:hAnsi="宋体" w:cs="宋体" w:hint="eastAsia"/>
                <w:kern w:val="0"/>
                <w:sz w:val="24"/>
                <w:szCs w:val="24"/>
                <w:lang w:val="zh-CN"/>
              </w:rPr>
              <w:t>年</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2011</w:t>
            </w:r>
            <w:r w:rsidRPr="000A5B5D">
              <w:rPr>
                <w:rFonts w:ascii="宋体" w:hAnsi="宋体" w:cs="宋体" w:hint="eastAsia"/>
                <w:kern w:val="0"/>
                <w:sz w:val="24"/>
                <w:szCs w:val="24"/>
                <w:lang w:val="zh-CN"/>
              </w:rPr>
              <w:t>年</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2012</w:t>
            </w:r>
            <w:r w:rsidRPr="000A5B5D">
              <w:rPr>
                <w:rFonts w:ascii="宋体" w:hAnsi="宋体" w:cs="宋体" w:hint="eastAsia"/>
                <w:kern w:val="0"/>
                <w:sz w:val="24"/>
                <w:szCs w:val="24"/>
                <w:lang w:val="zh-CN"/>
              </w:rPr>
              <w:t>年</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2013</w:t>
            </w:r>
            <w:r w:rsidRPr="000A5B5D">
              <w:rPr>
                <w:rFonts w:ascii="宋体" w:hAnsi="宋体" w:cs="宋体" w:hint="eastAsia"/>
                <w:kern w:val="0"/>
                <w:sz w:val="24"/>
                <w:szCs w:val="24"/>
                <w:lang w:val="zh-CN"/>
              </w:rPr>
              <w:t>年</w:t>
            </w:r>
          </w:p>
        </w:tc>
        <w:tc>
          <w:tcPr>
            <w:tcW w:w="1007"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2014</w:t>
            </w:r>
            <w:r w:rsidRPr="000A5B5D">
              <w:rPr>
                <w:rFonts w:ascii="宋体" w:hAnsi="宋体" w:cs="宋体" w:hint="eastAsia"/>
                <w:kern w:val="0"/>
                <w:sz w:val="24"/>
                <w:szCs w:val="24"/>
                <w:lang w:val="zh-CN"/>
              </w:rPr>
              <w:t>年</w:t>
            </w:r>
          </w:p>
        </w:tc>
        <w:tc>
          <w:tcPr>
            <w:tcW w:w="1006"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产能</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1472</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1612</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2009</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3296</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3326</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4322</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4693</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产量</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1063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1263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1538</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2032</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2563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2768</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3033</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名义开工率</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72.21%</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78.35%</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76.56%</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61.65%</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77.06%</w:t>
            </w:r>
          </w:p>
        </w:tc>
        <w:tc>
          <w:tcPr>
            <w:tcW w:w="100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64.04%</w:t>
            </w:r>
          </w:p>
        </w:tc>
        <w:tc>
          <w:tcPr>
            <w:tcW w:w="1006"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64.63%</w:t>
            </w:r>
          </w:p>
        </w:tc>
      </w:tr>
      <w:tr w:rsidR="00BC4D56" w:rsidRPr="000A5B5D">
        <w:tc>
          <w:tcPr>
            <w:tcW w:w="2574" w:type="dxa"/>
          </w:tcPr>
          <w:p w:rsidR="00BC4D56" w:rsidRPr="000A5B5D" w:rsidRDefault="00BC4D56" w:rsidP="00852E5D">
            <w:pPr>
              <w:autoSpaceDE w:val="0"/>
              <w:autoSpaceDN w:val="0"/>
              <w:adjustRightInd w:val="0"/>
              <w:spacing w:before="0" w:after="0" w:line="360" w:lineRule="auto"/>
              <w:ind w:firstLine="105"/>
              <w:jc w:val="center"/>
              <w:rPr>
                <w:rFonts w:eastAsia="Times New Roman"/>
                <w:kern w:val="0"/>
                <w:sz w:val="24"/>
                <w:szCs w:val="24"/>
                <w:lang w:val="zh-CN"/>
              </w:rPr>
            </w:pPr>
            <w:r w:rsidRPr="000A5B5D">
              <w:rPr>
                <w:rFonts w:ascii="宋体" w:hAnsi="宋体" w:cs="宋体" w:hint="eastAsia"/>
                <w:kern w:val="0"/>
                <w:sz w:val="24"/>
                <w:szCs w:val="24"/>
                <w:lang w:val="zh-CN"/>
              </w:rPr>
              <w:t>产能增速</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17.20%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9.51%</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24.63%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64.06%</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0.91%</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29.95%</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8.58%</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产量增速</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19.71%</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18.81%</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21.77%</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32.12%</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26.13%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8.00%</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9.57%</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进口量</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622.3</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657</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652.7</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537</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273.5</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114.7</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72</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出口量</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2.7</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0.9</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12.5</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43.88</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60</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用于聚酯的消费量</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1671</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1884</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2174</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2568</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2679</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2779</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2962</w:t>
            </w:r>
          </w:p>
        </w:tc>
      </w:tr>
      <w:tr w:rsidR="00BC4D56" w:rsidRPr="000A5B5D">
        <w:tc>
          <w:tcPr>
            <w:tcW w:w="2574"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进口依存度</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34.30%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31.50%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27.50%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21.00%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9.80%</w:t>
            </w:r>
          </w:p>
        </w:tc>
        <w:tc>
          <w:tcPr>
            <w:tcW w:w="1007"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4.20%</w:t>
            </w:r>
          </w:p>
        </w:tc>
        <w:tc>
          <w:tcPr>
            <w:tcW w:w="10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2.50%</w:t>
            </w:r>
          </w:p>
        </w:tc>
      </w:tr>
    </w:tbl>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3</w:t>
      </w:r>
      <w:r w:rsidRPr="000A5B5D">
        <w:rPr>
          <w:rFonts w:ascii="宋体" w:hAnsi="宋体" w:cs="宋体" w:hint="eastAsia"/>
          <w:b/>
          <w:kern w:val="0"/>
          <w:sz w:val="24"/>
          <w:szCs w:val="24"/>
          <w:lang w:val="zh-CN"/>
        </w:rPr>
        <w:t>）行业集中度有效改善，产业链话语权逐步增强</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ascii="宋体" w:hAnsi="宋体" w:cs="宋体" w:hint="eastAsia"/>
          <w:kern w:val="0"/>
          <w:sz w:val="24"/>
          <w:szCs w:val="24"/>
          <w:lang w:val="zh-CN"/>
        </w:rPr>
        <w:lastRenderedPageBreak/>
        <w:t>经历近几年来</w:t>
      </w:r>
      <w:r w:rsidRPr="000A5B5D">
        <w:rPr>
          <w:rFonts w:eastAsia="Times New Roman"/>
          <w:kern w:val="0"/>
          <w:sz w:val="24"/>
          <w:szCs w:val="24"/>
          <w:lang w:val="zh-CN"/>
        </w:rPr>
        <w:t>PTA</w:t>
      </w:r>
      <w:r w:rsidRPr="000A5B5D">
        <w:rPr>
          <w:rFonts w:ascii="宋体" w:hAnsi="宋体" w:cs="宋体" w:hint="eastAsia"/>
          <w:kern w:val="0"/>
          <w:sz w:val="24"/>
          <w:szCs w:val="24"/>
          <w:lang w:val="zh-CN"/>
        </w:rPr>
        <w:t>龙头企业的不断扩产，</w:t>
      </w:r>
      <w:r w:rsidRPr="000A5B5D">
        <w:rPr>
          <w:rFonts w:eastAsia="Times New Roman"/>
          <w:kern w:val="0"/>
          <w:sz w:val="24"/>
          <w:szCs w:val="24"/>
          <w:lang w:val="zh-CN"/>
        </w:rPr>
        <w:t>PTA</w:t>
      </w:r>
      <w:r w:rsidRPr="000A5B5D">
        <w:rPr>
          <w:rFonts w:ascii="宋体" w:hAnsi="宋体" w:cs="宋体" w:hint="eastAsia"/>
          <w:kern w:val="0"/>
          <w:sz w:val="24"/>
          <w:szCs w:val="24"/>
          <w:lang w:val="zh-CN"/>
        </w:rPr>
        <w:t>行业的集中度不断提升，从产业链的产能集中度看，</w:t>
      </w:r>
      <w:r w:rsidRPr="000A5B5D">
        <w:rPr>
          <w:rFonts w:eastAsia="Times New Roman"/>
          <w:kern w:val="0"/>
          <w:sz w:val="24"/>
          <w:szCs w:val="24"/>
          <w:lang w:val="zh-CN"/>
        </w:rPr>
        <w:t>PTA</w:t>
      </w:r>
      <w:r w:rsidRPr="000A5B5D">
        <w:rPr>
          <w:rFonts w:ascii="宋体" w:hAnsi="宋体" w:cs="宋体" w:hint="eastAsia"/>
          <w:kern w:val="0"/>
          <w:sz w:val="24"/>
          <w:szCs w:val="24"/>
          <w:lang w:val="zh-CN"/>
        </w:rPr>
        <w:t>是产业竞争格局最好的，按照国内总产能计算，</w:t>
      </w:r>
      <w:r w:rsidRPr="000A5B5D">
        <w:rPr>
          <w:rFonts w:eastAsia="Times New Roman"/>
          <w:kern w:val="0"/>
          <w:sz w:val="24"/>
          <w:szCs w:val="24"/>
          <w:lang w:val="zh-CN"/>
        </w:rPr>
        <w:t>CR3</w:t>
      </w:r>
      <w:r w:rsidRPr="000A5B5D">
        <w:rPr>
          <w:rFonts w:ascii="宋体" w:hAnsi="宋体" w:cs="宋体" w:hint="eastAsia"/>
          <w:kern w:val="0"/>
          <w:sz w:val="24"/>
          <w:szCs w:val="24"/>
          <w:lang w:val="zh-CN"/>
        </w:rPr>
        <w:t>占比达到</w:t>
      </w:r>
      <w:r w:rsidRPr="000A5B5D">
        <w:rPr>
          <w:rFonts w:eastAsia="Times New Roman"/>
          <w:kern w:val="0"/>
          <w:sz w:val="24"/>
          <w:szCs w:val="24"/>
          <w:lang w:val="zh-CN"/>
        </w:rPr>
        <w:t>55.95%</w:t>
      </w:r>
      <w:r w:rsidRPr="000A5B5D">
        <w:rPr>
          <w:rFonts w:ascii="宋体" w:hAnsi="宋体" w:cs="宋体" w:hint="eastAsia"/>
          <w:kern w:val="0"/>
          <w:sz w:val="24"/>
          <w:szCs w:val="24"/>
          <w:lang w:val="zh-CN"/>
        </w:rPr>
        <w:t>，未来几年随着产能投放减少和落后产能退出，预计行业集中度进一步改善，</w:t>
      </w:r>
      <w:r w:rsidRPr="000A5B5D">
        <w:rPr>
          <w:rFonts w:eastAsia="Times New Roman"/>
          <w:kern w:val="0"/>
          <w:sz w:val="24"/>
          <w:szCs w:val="24"/>
          <w:lang w:val="zh-CN"/>
        </w:rPr>
        <w:t>PTA</w:t>
      </w:r>
      <w:r w:rsidRPr="000A5B5D">
        <w:rPr>
          <w:rFonts w:ascii="宋体" w:hAnsi="宋体" w:cs="宋体" w:hint="eastAsia"/>
          <w:kern w:val="0"/>
          <w:sz w:val="24"/>
          <w:szCs w:val="24"/>
          <w:lang w:val="zh-CN"/>
        </w:rPr>
        <w:t>在产业链中的话语权逐步增强。</w:t>
      </w:r>
    </w:p>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表：截止到</w:t>
      </w:r>
      <w:r w:rsidRPr="000A5B5D">
        <w:rPr>
          <w:rFonts w:eastAsia="Times New Roman"/>
          <w:kern w:val="0"/>
          <w:sz w:val="24"/>
          <w:szCs w:val="24"/>
          <w:lang w:val="zh-CN"/>
        </w:rPr>
        <w:t>2015</w:t>
      </w:r>
      <w:r w:rsidRPr="000A5B5D">
        <w:rPr>
          <w:rFonts w:ascii="宋体" w:hAnsi="宋体" w:cs="宋体" w:hint="eastAsia"/>
          <w:kern w:val="0"/>
          <w:sz w:val="24"/>
          <w:szCs w:val="24"/>
          <w:lang w:val="zh-CN"/>
        </w:rPr>
        <w:t>年底中国前</w:t>
      </w:r>
      <w:r w:rsidRPr="000A5B5D">
        <w:rPr>
          <w:rFonts w:eastAsia="Times New Roman"/>
          <w:kern w:val="0"/>
          <w:sz w:val="24"/>
          <w:szCs w:val="24"/>
          <w:lang w:val="zh-CN"/>
        </w:rPr>
        <w:t>3</w:t>
      </w:r>
      <w:r w:rsidRPr="000A5B5D">
        <w:rPr>
          <w:rFonts w:ascii="宋体" w:hAnsi="宋体" w:cs="宋体" w:hint="eastAsia"/>
          <w:kern w:val="0"/>
          <w:sz w:val="24"/>
          <w:szCs w:val="24"/>
          <w:lang w:val="zh-CN"/>
        </w:rPr>
        <w:t>大</w:t>
      </w:r>
      <w:r w:rsidRPr="000A5B5D">
        <w:rPr>
          <w:rFonts w:eastAsia="Times New Roman"/>
          <w:kern w:val="0"/>
          <w:sz w:val="24"/>
          <w:szCs w:val="24"/>
          <w:lang w:val="zh-CN"/>
        </w:rPr>
        <w:t>PTA</w:t>
      </w:r>
      <w:r w:rsidRPr="000A5B5D">
        <w:rPr>
          <w:rFonts w:ascii="宋体" w:hAnsi="宋体" w:cs="宋体" w:hint="eastAsia"/>
          <w:kern w:val="0"/>
          <w:sz w:val="24"/>
          <w:szCs w:val="24"/>
          <w:lang w:val="zh-CN"/>
        </w:rPr>
        <w:t>生产企业（单位：万吨）</w:t>
      </w:r>
      <w:r w:rsidR="00852E5D"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资料来源：</w:t>
      </w:r>
      <w:r w:rsidRPr="000A5B5D">
        <w:rPr>
          <w:rFonts w:eastAsia="Times New Roman"/>
          <w:kern w:val="0"/>
          <w:sz w:val="24"/>
          <w:szCs w:val="24"/>
          <w:lang w:val="zh-CN"/>
        </w:rPr>
        <w:t>CCFEI</w:t>
      </w: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1133"/>
        <w:gridCol w:w="5606"/>
        <w:gridCol w:w="2883"/>
      </w:tblGrid>
      <w:tr w:rsidR="00BC4D56" w:rsidRPr="000A5B5D">
        <w:tc>
          <w:tcPr>
            <w:tcW w:w="1133"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序号</w:t>
            </w:r>
          </w:p>
        </w:tc>
        <w:tc>
          <w:tcPr>
            <w:tcW w:w="5606"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企业</w:t>
            </w:r>
          </w:p>
        </w:tc>
        <w:tc>
          <w:tcPr>
            <w:tcW w:w="2883"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大致总产能</w:t>
            </w:r>
          </w:p>
        </w:tc>
      </w:tr>
      <w:tr w:rsidR="00BC4D56" w:rsidRPr="000A5B5D">
        <w:tc>
          <w:tcPr>
            <w:tcW w:w="113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w:t>
            </w:r>
          </w:p>
        </w:tc>
        <w:tc>
          <w:tcPr>
            <w:tcW w:w="56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中国逸盛石化</w:t>
            </w:r>
          </w:p>
        </w:tc>
        <w:tc>
          <w:tcPr>
            <w:tcW w:w="288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1350</w:t>
            </w:r>
          </w:p>
        </w:tc>
      </w:tr>
      <w:tr w:rsidR="00BC4D56" w:rsidRPr="000A5B5D">
        <w:tc>
          <w:tcPr>
            <w:tcW w:w="113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w:t>
            </w:r>
          </w:p>
        </w:tc>
        <w:tc>
          <w:tcPr>
            <w:tcW w:w="56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中国恒力石化</w:t>
            </w:r>
          </w:p>
        </w:tc>
        <w:tc>
          <w:tcPr>
            <w:tcW w:w="288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660</w:t>
            </w:r>
          </w:p>
        </w:tc>
      </w:tr>
      <w:tr w:rsidR="00BC4D56" w:rsidRPr="000A5B5D">
        <w:tc>
          <w:tcPr>
            <w:tcW w:w="113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w:t>
            </w:r>
          </w:p>
        </w:tc>
        <w:tc>
          <w:tcPr>
            <w:tcW w:w="5606"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中国翔鹭石化</w:t>
            </w:r>
          </w:p>
        </w:tc>
        <w:tc>
          <w:tcPr>
            <w:tcW w:w="2883"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615</w:t>
            </w:r>
          </w:p>
        </w:tc>
      </w:tr>
    </w:tbl>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eastAsia="Times New Roman"/>
          <w:b/>
          <w:kern w:val="0"/>
          <w:sz w:val="24"/>
          <w:szCs w:val="24"/>
          <w:lang w:val="zh-CN"/>
        </w:rPr>
        <w:t>2</w:t>
      </w:r>
      <w:r w:rsidRPr="000A5B5D">
        <w:rPr>
          <w:rFonts w:ascii="宋体" w:hAnsi="宋体" w:cs="宋体" w:hint="eastAsia"/>
          <w:b/>
          <w:kern w:val="0"/>
          <w:sz w:val="24"/>
          <w:szCs w:val="24"/>
          <w:lang w:val="zh-CN"/>
        </w:rPr>
        <w:t>、聚酯纤维需求有望继续保持中高速增长</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eastAsia="Times New Roman"/>
          <w:kern w:val="0"/>
          <w:sz w:val="24"/>
          <w:szCs w:val="24"/>
          <w:lang w:val="zh-CN"/>
        </w:rPr>
        <w:t>PTA</w:t>
      </w:r>
      <w:r w:rsidRPr="000A5B5D">
        <w:rPr>
          <w:rFonts w:ascii="宋体" w:hAnsi="宋体" w:cs="宋体" w:hint="eastAsia"/>
          <w:kern w:val="0"/>
          <w:sz w:val="24"/>
          <w:szCs w:val="24"/>
          <w:lang w:val="zh-CN"/>
        </w:rPr>
        <w:t>产品</w:t>
      </w:r>
      <w:r w:rsidRPr="000A5B5D">
        <w:rPr>
          <w:rFonts w:eastAsia="Times New Roman"/>
          <w:kern w:val="0"/>
          <w:sz w:val="24"/>
          <w:szCs w:val="24"/>
          <w:lang w:val="zh-CN"/>
        </w:rPr>
        <w:t>90%</w:t>
      </w:r>
      <w:r w:rsidRPr="000A5B5D">
        <w:rPr>
          <w:rFonts w:ascii="宋体" w:hAnsi="宋体" w:cs="宋体" w:hint="eastAsia"/>
          <w:kern w:val="0"/>
          <w:sz w:val="24"/>
          <w:szCs w:val="24"/>
          <w:lang w:val="zh-CN"/>
        </w:rPr>
        <w:t>以上用于生产聚对苯二甲酸乙二醇酯（</w:t>
      </w:r>
      <w:r w:rsidRPr="000A5B5D">
        <w:rPr>
          <w:rFonts w:eastAsia="Times New Roman"/>
          <w:kern w:val="0"/>
          <w:sz w:val="24"/>
          <w:szCs w:val="24"/>
          <w:lang w:val="zh-CN"/>
        </w:rPr>
        <w:t>PET</w:t>
      </w:r>
      <w:r w:rsidRPr="000A5B5D">
        <w:rPr>
          <w:rFonts w:ascii="宋体" w:hAnsi="宋体" w:cs="宋体" w:hint="eastAsia"/>
          <w:kern w:val="0"/>
          <w:sz w:val="24"/>
          <w:szCs w:val="24"/>
          <w:lang w:val="zh-CN"/>
        </w:rPr>
        <w:t>），</w:t>
      </w:r>
      <w:r w:rsidRPr="000A5B5D">
        <w:rPr>
          <w:rFonts w:eastAsia="Times New Roman"/>
          <w:kern w:val="0"/>
          <w:sz w:val="24"/>
          <w:szCs w:val="24"/>
          <w:lang w:val="zh-CN"/>
        </w:rPr>
        <w:t>PET</w:t>
      </w:r>
      <w:r w:rsidRPr="000A5B5D">
        <w:rPr>
          <w:rFonts w:ascii="宋体" w:hAnsi="宋体" w:cs="宋体" w:hint="eastAsia"/>
          <w:kern w:val="0"/>
          <w:sz w:val="24"/>
          <w:szCs w:val="24"/>
          <w:lang w:val="zh-CN"/>
        </w:rPr>
        <w:t>按照用途可分为长丝、瓶片、短纤、工业丝等，</w:t>
      </w:r>
      <w:r w:rsidRPr="000A5B5D">
        <w:rPr>
          <w:rFonts w:eastAsia="Times New Roman"/>
          <w:kern w:val="0"/>
          <w:sz w:val="24"/>
          <w:szCs w:val="24"/>
          <w:lang w:val="zh-CN"/>
        </w:rPr>
        <w:t>2015</w:t>
      </w:r>
      <w:r w:rsidRPr="000A5B5D">
        <w:rPr>
          <w:rFonts w:ascii="宋体" w:hAnsi="宋体" w:cs="宋体" w:hint="eastAsia"/>
          <w:kern w:val="0"/>
          <w:sz w:val="24"/>
          <w:szCs w:val="24"/>
          <w:lang w:val="zh-CN"/>
        </w:rPr>
        <w:t>年中国</w:t>
      </w:r>
      <w:r w:rsidRPr="000A5B5D">
        <w:rPr>
          <w:rFonts w:eastAsia="Times New Roman"/>
          <w:kern w:val="0"/>
          <w:sz w:val="24"/>
          <w:szCs w:val="24"/>
          <w:lang w:val="zh-CN"/>
        </w:rPr>
        <w:t>PET</w:t>
      </w:r>
      <w:r w:rsidRPr="000A5B5D">
        <w:rPr>
          <w:rFonts w:ascii="宋体" w:hAnsi="宋体" w:cs="宋体" w:hint="eastAsia"/>
          <w:kern w:val="0"/>
          <w:sz w:val="24"/>
          <w:szCs w:val="24"/>
          <w:lang w:val="zh-CN"/>
        </w:rPr>
        <w:t>按上述用途划分，产能占比分别为</w:t>
      </w:r>
      <w:r w:rsidRPr="000A5B5D">
        <w:rPr>
          <w:rFonts w:eastAsia="Times New Roman"/>
          <w:kern w:val="0"/>
          <w:sz w:val="24"/>
          <w:szCs w:val="24"/>
          <w:lang w:val="zh-CN"/>
        </w:rPr>
        <w:t>65%</w:t>
      </w:r>
      <w:r w:rsidRPr="000A5B5D">
        <w:rPr>
          <w:rFonts w:ascii="宋体" w:hAnsi="宋体" w:cs="宋体" w:hint="eastAsia"/>
          <w:kern w:val="0"/>
          <w:sz w:val="24"/>
          <w:szCs w:val="24"/>
          <w:lang w:val="zh-CN"/>
        </w:rPr>
        <w:t>、</w:t>
      </w:r>
      <w:r w:rsidRPr="000A5B5D">
        <w:rPr>
          <w:rFonts w:eastAsia="Times New Roman"/>
          <w:kern w:val="0"/>
          <w:sz w:val="24"/>
          <w:szCs w:val="24"/>
          <w:lang w:val="zh-CN"/>
        </w:rPr>
        <w:t>18%</w:t>
      </w:r>
      <w:r w:rsidRPr="000A5B5D">
        <w:rPr>
          <w:rFonts w:ascii="宋体" w:hAnsi="宋体" w:cs="宋体" w:hint="eastAsia"/>
          <w:kern w:val="0"/>
          <w:sz w:val="24"/>
          <w:szCs w:val="24"/>
          <w:lang w:val="zh-CN"/>
        </w:rPr>
        <w:t>、</w:t>
      </w:r>
      <w:r w:rsidRPr="000A5B5D">
        <w:rPr>
          <w:rFonts w:eastAsia="Times New Roman"/>
          <w:kern w:val="0"/>
          <w:sz w:val="24"/>
          <w:szCs w:val="24"/>
          <w:lang w:val="zh-CN"/>
        </w:rPr>
        <w:t>13%</w:t>
      </w:r>
      <w:r w:rsidRPr="000A5B5D">
        <w:rPr>
          <w:rFonts w:ascii="宋体" w:hAnsi="宋体" w:cs="宋体" w:hint="eastAsia"/>
          <w:kern w:val="0"/>
          <w:sz w:val="24"/>
          <w:szCs w:val="24"/>
          <w:lang w:val="zh-CN"/>
        </w:rPr>
        <w:t>和</w:t>
      </w:r>
      <w:r w:rsidRPr="000A5B5D">
        <w:rPr>
          <w:rFonts w:eastAsia="Times New Roman"/>
          <w:kern w:val="0"/>
          <w:sz w:val="24"/>
          <w:szCs w:val="24"/>
          <w:lang w:val="zh-CN"/>
        </w:rPr>
        <w:t>4%</w:t>
      </w:r>
      <w:r w:rsidRPr="000A5B5D">
        <w:rPr>
          <w:rFonts w:ascii="宋体" w:hAnsi="宋体" w:cs="宋体" w:hint="eastAsia"/>
          <w:kern w:val="0"/>
          <w:sz w:val="24"/>
          <w:szCs w:val="24"/>
          <w:lang w:val="zh-CN"/>
        </w:rPr>
        <w:t>。从用途来看，主要集中在聚酯纤维和聚酯瓶片。</w:t>
      </w:r>
    </w:p>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1</w:t>
      </w:r>
      <w:r w:rsidRPr="000A5B5D">
        <w:rPr>
          <w:rFonts w:ascii="宋体" w:hAnsi="宋体" w:cs="宋体" w:hint="eastAsia"/>
          <w:b/>
          <w:kern w:val="0"/>
          <w:sz w:val="24"/>
          <w:szCs w:val="24"/>
          <w:lang w:val="zh-CN"/>
        </w:rPr>
        <w:t>）聚酯纤维需求稳健增长</w:t>
      </w:r>
    </w:p>
    <w:p w:rsidR="00BC4D56" w:rsidRPr="000A5B5D" w:rsidRDefault="00BC4D56" w:rsidP="00852E5D">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聚酯纤维主要用于服装、家纺和产业用纺织品。服装方面如服装面料、里料、内衣、</w:t>
      </w:r>
      <w:r w:rsidR="00852E5D" w:rsidRPr="000A5B5D">
        <w:rPr>
          <w:rFonts w:ascii="宋体" w:hAnsi="宋体" w:cs="宋体" w:hint="eastAsia"/>
          <w:kern w:val="0"/>
          <w:sz w:val="24"/>
          <w:szCs w:val="24"/>
          <w:lang w:val="zh-CN"/>
        </w:rPr>
        <w:t>袜子、服装填充物等，家纺领域如窗帘、窗纱、浴帘、床被、桌布、装潢</w:t>
      </w:r>
      <w:r w:rsidRPr="000A5B5D">
        <w:rPr>
          <w:rFonts w:ascii="宋体" w:hAnsi="宋体" w:cs="宋体" w:hint="eastAsia"/>
          <w:kern w:val="0"/>
          <w:sz w:val="24"/>
          <w:szCs w:val="24"/>
          <w:lang w:val="zh-CN"/>
        </w:rPr>
        <w:t>材料等，产业用纺织品广泛应用于交通运输、环境保护、医疗卫生、航空航天、土木工程、国防军工等。其中服装用纺织品的消费量占到整个纺织业消费量的</w:t>
      </w:r>
      <w:r w:rsidRPr="000A5B5D">
        <w:rPr>
          <w:rFonts w:eastAsia="Times New Roman"/>
          <w:kern w:val="0"/>
          <w:sz w:val="24"/>
          <w:szCs w:val="24"/>
          <w:lang w:val="zh-CN"/>
        </w:rPr>
        <w:t>70%</w:t>
      </w:r>
      <w:r w:rsidRPr="000A5B5D">
        <w:rPr>
          <w:rFonts w:ascii="宋体" w:hAnsi="宋体" w:cs="宋体" w:hint="eastAsia"/>
          <w:kern w:val="0"/>
          <w:sz w:val="24"/>
          <w:szCs w:val="24"/>
          <w:lang w:val="zh-CN"/>
        </w:rPr>
        <w:t>，发达国家的产业用纺织品在其纤维加工总量的比重一般占到</w:t>
      </w:r>
      <w:r w:rsidRPr="000A5B5D">
        <w:rPr>
          <w:rFonts w:eastAsia="Times New Roman"/>
          <w:kern w:val="0"/>
          <w:sz w:val="24"/>
          <w:szCs w:val="24"/>
          <w:lang w:val="zh-CN"/>
        </w:rPr>
        <w:t>30%</w:t>
      </w:r>
      <w:r w:rsidRPr="000A5B5D">
        <w:rPr>
          <w:rFonts w:ascii="宋体" w:hAnsi="宋体" w:cs="宋体" w:hint="eastAsia"/>
          <w:kern w:val="0"/>
          <w:sz w:val="24"/>
          <w:szCs w:val="24"/>
          <w:lang w:val="zh-CN"/>
        </w:rPr>
        <w:t>以上，个别国家占比甚至能达到</w:t>
      </w:r>
      <w:r w:rsidRPr="000A5B5D">
        <w:rPr>
          <w:rFonts w:eastAsia="Times New Roman"/>
          <w:kern w:val="0"/>
          <w:sz w:val="24"/>
          <w:szCs w:val="24"/>
          <w:lang w:val="zh-CN"/>
        </w:rPr>
        <w:t>40%</w:t>
      </w:r>
      <w:r w:rsidRPr="000A5B5D">
        <w:rPr>
          <w:rFonts w:ascii="宋体" w:hAnsi="宋体" w:cs="宋体" w:hint="eastAsia"/>
          <w:kern w:val="0"/>
          <w:sz w:val="24"/>
          <w:szCs w:val="24"/>
          <w:lang w:val="zh-CN"/>
        </w:rPr>
        <w:t>左右，而我国目前仅占</w:t>
      </w:r>
      <w:r w:rsidRPr="000A5B5D">
        <w:rPr>
          <w:rFonts w:eastAsia="Times New Roman"/>
          <w:kern w:val="0"/>
          <w:sz w:val="24"/>
          <w:szCs w:val="24"/>
          <w:lang w:val="zh-CN"/>
        </w:rPr>
        <w:t>23%</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年我国聚酯纤维中聚酯长丝产量</w:t>
      </w:r>
      <w:r w:rsidRPr="000A5B5D">
        <w:rPr>
          <w:rFonts w:eastAsia="Times New Roman"/>
          <w:kern w:val="0"/>
          <w:sz w:val="24"/>
          <w:szCs w:val="24"/>
          <w:lang w:val="zh-CN"/>
        </w:rPr>
        <w:t>2238</w:t>
      </w:r>
      <w:r w:rsidRPr="000A5B5D">
        <w:rPr>
          <w:rFonts w:ascii="宋体" w:hAnsi="宋体" w:cs="宋体" w:hint="eastAsia"/>
          <w:kern w:val="0"/>
          <w:sz w:val="24"/>
          <w:szCs w:val="24"/>
          <w:lang w:val="zh-CN"/>
        </w:rPr>
        <w:t>万吨，产能为</w:t>
      </w:r>
      <w:r w:rsidRPr="000A5B5D">
        <w:rPr>
          <w:rFonts w:eastAsia="Times New Roman"/>
          <w:kern w:val="0"/>
          <w:sz w:val="24"/>
          <w:szCs w:val="24"/>
          <w:lang w:val="zh-CN"/>
        </w:rPr>
        <w:t>3342</w:t>
      </w:r>
      <w:r w:rsidRPr="000A5B5D">
        <w:rPr>
          <w:rFonts w:ascii="宋体" w:hAnsi="宋体" w:cs="宋体" w:hint="eastAsia"/>
          <w:kern w:val="0"/>
          <w:sz w:val="24"/>
          <w:szCs w:val="24"/>
          <w:lang w:val="zh-CN"/>
        </w:rPr>
        <w:t>万吨，占聚酯纤维产能的</w:t>
      </w:r>
      <w:r w:rsidRPr="000A5B5D">
        <w:rPr>
          <w:rFonts w:eastAsia="Times New Roman"/>
          <w:kern w:val="0"/>
          <w:sz w:val="24"/>
          <w:szCs w:val="24"/>
          <w:lang w:val="zh-CN"/>
        </w:rPr>
        <w:t>80%</w:t>
      </w:r>
      <w:r w:rsidRPr="000A5B5D">
        <w:rPr>
          <w:rFonts w:ascii="宋体" w:hAnsi="宋体" w:cs="宋体" w:hint="eastAsia"/>
          <w:kern w:val="0"/>
          <w:sz w:val="24"/>
          <w:szCs w:val="24"/>
          <w:lang w:val="zh-CN"/>
        </w:rPr>
        <w:t>。</w:t>
      </w:r>
    </w:p>
    <w:p w:rsidR="00BC4D56" w:rsidRPr="000A5B5D" w:rsidRDefault="00BC4D56" w:rsidP="00852E5D">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图：服装鞋帽纺织品类销售额继续保持中高速增长</w:t>
      </w:r>
      <w:r w:rsidR="00852E5D" w:rsidRPr="000A5B5D">
        <w:rPr>
          <w:rFonts w:ascii="宋体" w:hAnsi="宋体" w:cs="宋体"/>
          <w:kern w:val="0"/>
          <w:sz w:val="24"/>
          <w:szCs w:val="24"/>
          <w:lang w:val="zh-CN"/>
        </w:rPr>
        <w:t xml:space="preserve"> </w:t>
      </w: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数据来源：</w:t>
      </w:r>
      <w:r w:rsidRPr="000A5B5D">
        <w:rPr>
          <w:rFonts w:eastAsia="Times New Roman"/>
          <w:kern w:val="0"/>
          <w:sz w:val="24"/>
          <w:szCs w:val="24"/>
          <w:lang w:val="zh-CN"/>
        </w:rPr>
        <w:t>CCFEI</w:t>
      </w:r>
    </w:p>
    <w:p w:rsidR="00BC4D56" w:rsidRPr="000A5B5D" w:rsidRDefault="0024594D" w:rsidP="00852E5D">
      <w:pPr>
        <w:autoSpaceDE w:val="0"/>
        <w:autoSpaceDN w:val="0"/>
        <w:adjustRightInd w:val="0"/>
        <w:spacing w:before="0" w:after="0" w:line="360" w:lineRule="auto"/>
        <w:rPr>
          <w:rFonts w:eastAsia="Times New Roman"/>
          <w:kern w:val="0"/>
          <w:sz w:val="24"/>
          <w:szCs w:val="24"/>
          <w:lang w:val="zh-CN"/>
        </w:rPr>
      </w:pPr>
      <w:r w:rsidRPr="000A5B5D">
        <w:rPr>
          <w:rFonts w:eastAsia="Times New Roman"/>
          <w:noProof/>
          <w:kern w:val="0"/>
          <w:sz w:val="24"/>
          <w:szCs w:val="24"/>
        </w:rPr>
        <w:drawing>
          <wp:inline distT="0" distB="0" distL="0" distR="0">
            <wp:extent cx="6096000" cy="23336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2333625"/>
                    </a:xfrm>
                    <a:prstGeom prst="rect">
                      <a:avLst/>
                    </a:prstGeom>
                    <a:noFill/>
                    <a:ln>
                      <a:noFill/>
                    </a:ln>
                  </pic:spPr>
                </pic:pic>
              </a:graphicData>
            </a:graphic>
          </wp:inline>
        </w:drawing>
      </w:r>
    </w:p>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ascii="宋体" w:hAnsi="宋体" w:cs="宋体" w:hint="eastAsia"/>
          <w:b/>
          <w:kern w:val="0"/>
          <w:sz w:val="24"/>
          <w:szCs w:val="24"/>
          <w:lang w:val="zh-CN"/>
        </w:rPr>
        <w:lastRenderedPageBreak/>
        <w:t>（</w:t>
      </w:r>
      <w:r w:rsidRPr="000A5B5D">
        <w:rPr>
          <w:rFonts w:eastAsia="Times New Roman"/>
          <w:b/>
          <w:kern w:val="0"/>
          <w:sz w:val="24"/>
          <w:szCs w:val="24"/>
          <w:lang w:val="zh-CN"/>
        </w:rPr>
        <w:t>2</w:t>
      </w:r>
      <w:r w:rsidRPr="000A5B5D">
        <w:rPr>
          <w:rFonts w:ascii="宋体" w:hAnsi="宋体" w:cs="宋体" w:hint="eastAsia"/>
          <w:b/>
          <w:kern w:val="0"/>
          <w:sz w:val="24"/>
          <w:szCs w:val="24"/>
          <w:lang w:val="zh-CN"/>
        </w:rPr>
        <w:t>）软饮料市场有望迎来快速增长，带动瓶级聚酯需求增长</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ascii="宋体" w:hAnsi="宋体" w:cs="宋体" w:hint="eastAsia"/>
          <w:kern w:val="0"/>
          <w:sz w:val="24"/>
          <w:szCs w:val="24"/>
          <w:lang w:val="zh-CN"/>
        </w:rPr>
        <w:t>瓶级聚酯主要用于饮料包装、食品包装，占比在</w:t>
      </w:r>
      <w:r w:rsidRPr="000A5B5D">
        <w:rPr>
          <w:rFonts w:eastAsia="Times New Roman"/>
          <w:kern w:val="0"/>
          <w:sz w:val="24"/>
          <w:szCs w:val="24"/>
          <w:lang w:val="zh-CN"/>
        </w:rPr>
        <w:t>80%</w:t>
      </w:r>
      <w:r w:rsidRPr="000A5B5D">
        <w:rPr>
          <w:rFonts w:ascii="宋体" w:hAnsi="宋体" w:cs="宋体" w:hint="eastAsia"/>
          <w:kern w:val="0"/>
          <w:sz w:val="24"/>
          <w:szCs w:val="24"/>
          <w:lang w:val="zh-CN"/>
        </w:rPr>
        <w:t>以上，现在也扩展到医药、农药、化妆品包装等领域，未来有望应用到热灌装饮料和啤酒包装市场。</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年我国聚酯瓶片的产量达到</w:t>
      </w:r>
      <w:r w:rsidRPr="000A5B5D">
        <w:rPr>
          <w:rFonts w:eastAsia="Times New Roman"/>
          <w:kern w:val="0"/>
          <w:sz w:val="24"/>
          <w:szCs w:val="24"/>
          <w:lang w:val="zh-CN"/>
        </w:rPr>
        <w:t>574</w:t>
      </w:r>
      <w:r w:rsidRPr="000A5B5D">
        <w:rPr>
          <w:rFonts w:ascii="宋体" w:hAnsi="宋体" w:cs="宋体" w:hint="eastAsia"/>
          <w:kern w:val="0"/>
          <w:sz w:val="24"/>
          <w:szCs w:val="24"/>
          <w:lang w:val="zh-CN"/>
        </w:rPr>
        <w:t>万吨，较</w:t>
      </w:r>
      <w:r w:rsidRPr="000A5B5D">
        <w:rPr>
          <w:rFonts w:eastAsia="Times New Roman"/>
          <w:kern w:val="0"/>
          <w:sz w:val="24"/>
          <w:szCs w:val="24"/>
          <w:lang w:val="zh-CN"/>
        </w:rPr>
        <w:t>2010</w:t>
      </w:r>
      <w:r w:rsidRPr="000A5B5D">
        <w:rPr>
          <w:rFonts w:ascii="宋体" w:hAnsi="宋体" w:cs="宋体" w:hint="eastAsia"/>
          <w:kern w:val="0"/>
          <w:sz w:val="24"/>
          <w:szCs w:val="24"/>
          <w:lang w:val="zh-CN"/>
        </w:rPr>
        <w:t>年的</w:t>
      </w:r>
      <w:r w:rsidRPr="000A5B5D">
        <w:rPr>
          <w:rFonts w:eastAsia="Times New Roman"/>
          <w:kern w:val="0"/>
          <w:sz w:val="24"/>
          <w:szCs w:val="24"/>
          <w:lang w:val="zh-CN"/>
        </w:rPr>
        <w:t>339</w:t>
      </w:r>
      <w:r w:rsidRPr="000A5B5D">
        <w:rPr>
          <w:rFonts w:ascii="宋体" w:hAnsi="宋体" w:cs="宋体" w:hint="eastAsia"/>
          <w:kern w:val="0"/>
          <w:sz w:val="24"/>
          <w:szCs w:val="24"/>
          <w:lang w:val="zh-CN"/>
        </w:rPr>
        <w:t>万吨，增长</w:t>
      </w:r>
      <w:r w:rsidRPr="000A5B5D">
        <w:rPr>
          <w:rFonts w:eastAsia="Times New Roman"/>
          <w:kern w:val="0"/>
          <w:sz w:val="24"/>
          <w:szCs w:val="24"/>
          <w:lang w:val="zh-CN"/>
        </w:rPr>
        <w:t>69.32%</w:t>
      </w:r>
      <w:r w:rsidRPr="000A5B5D">
        <w:rPr>
          <w:rFonts w:ascii="宋体" w:hAnsi="宋体" w:cs="宋体" w:hint="eastAsia"/>
          <w:kern w:val="0"/>
          <w:sz w:val="24"/>
          <w:szCs w:val="24"/>
          <w:lang w:val="zh-CN"/>
        </w:rPr>
        <w:t>。聚酯瓶片的主要下游软饮料市场在我国呈现较快增长。一般情况下软饮料与居民可支配收入呈正相关，未来随着我国人均收入水平的提升，软饮料的消费量和产量还将保持比较快的增长。</w:t>
      </w:r>
    </w:p>
    <w:p w:rsidR="00BC4D56" w:rsidRPr="000A5B5D" w:rsidRDefault="00BC4D56" w:rsidP="00852E5D">
      <w:pPr>
        <w:autoSpaceDE w:val="0"/>
        <w:autoSpaceDN w:val="0"/>
        <w:adjustRightInd w:val="0"/>
        <w:spacing w:before="0" w:after="0" w:line="360" w:lineRule="auto"/>
        <w:ind w:firstLine="562"/>
        <w:rPr>
          <w:rFonts w:eastAsia="Times New Roman"/>
          <w:b/>
          <w:kern w:val="0"/>
          <w:sz w:val="24"/>
          <w:szCs w:val="24"/>
          <w:lang w:val="zh-CN"/>
        </w:rPr>
      </w:pPr>
      <w:r w:rsidRPr="000A5B5D">
        <w:rPr>
          <w:rFonts w:eastAsia="Times New Roman"/>
          <w:b/>
          <w:kern w:val="0"/>
          <w:sz w:val="24"/>
          <w:szCs w:val="24"/>
          <w:lang w:val="zh-CN"/>
        </w:rPr>
        <w:t>3</w:t>
      </w:r>
      <w:r w:rsidRPr="000A5B5D">
        <w:rPr>
          <w:rFonts w:ascii="宋体" w:hAnsi="宋体" w:cs="宋体" w:hint="eastAsia"/>
          <w:b/>
          <w:kern w:val="0"/>
          <w:sz w:val="24"/>
          <w:szCs w:val="24"/>
          <w:lang w:val="zh-CN"/>
        </w:rPr>
        <w:t>、</w:t>
      </w:r>
      <w:r w:rsidRPr="000A5B5D">
        <w:rPr>
          <w:rFonts w:eastAsia="Times New Roman"/>
          <w:b/>
          <w:kern w:val="0"/>
          <w:sz w:val="24"/>
          <w:szCs w:val="24"/>
          <w:lang w:val="zh-CN"/>
        </w:rPr>
        <w:t>PX</w:t>
      </w:r>
      <w:r w:rsidRPr="000A5B5D">
        <w:rPr>
          <w:rFonts w:ascii="宋体" w:hAnsi="宋体" w:cs="宋体" w:hint="eastAsia"/>
          <w:b/>
          <w:kern w:val="0"/>
          <w:sz w:val="24"/>
          <w:szCs w:val="24"/>
          <w:lang w:val="zh-CN"/>
        </w:rPr>
        <w:t>投放有望加速，今后几年产业链盈利将逐步向</w:t>
      </w:r>
      <w:r w:rsidRPr="000A5B5D">
        <w:rPr>
          <w:rFonts w:eastAsia="Times New Roman"/>
          <w:b/>
          <w:kern w:val="0"/>
          <w:sz w:val="24"/>
          <w:szCs w:val="24"/>
          <w:lang w:val="zh-CN"/>
        </w:rPr>
        <w:t>PTA</w:t>
      </w:r>
      <w:r w:rsidRPr="000A5B5D">
        <w:rPr>
          <w:rFonts w:ascii="宋体" w:hAnsi="宋体" w:cs="宋体" w:hint="eastAsia"/>
          <w:b/>
          <w:kern w:val="0"/>
          <w:sz w:val="24"/>
          <w:szCs w:val="24"/>
          <w:lang w:val="zh-CN"/>
        </w:rPr>
        <w:t>端转移</w:t>
      </w:r>
    </w:p>
    <w:p w:rsidR="00BC4D56" w:rsidRPr="000A5B5D" w:rsidRDefault="00BC4D56" w:rsidP="00852E5D">
      <w:pPr>
        <w:autoSpaceDE w:val="0"/>
        <w:autoSpaceDN w:val="0"/>
        <w:adjustRightInd w:val="0"/>
        <w:spacing w:before="0" w:after="0" w:line="360" w:lineRule="auto"/>
        <w:ind w:firstLine="560"/>
        <w:rPr>
          <w:rFonts w:eastAsia="Times New Roman"/>
          <w:kern w:val="0"/>
          <w:sz w:val="24"/>
          <w:szCs w:val="24"/>
          <w:lang w:val="zh-CN"/>
        </w:rPr>
      </w:pPr>
      <w:r w:rsidRPr="000A5B5D">
        <w:rPr>
          <w:rFonts w:ascii="宋体" w:hAnsi="宋体" w:cs="宋体" w:hint="eastAsia"/>
          <w:kern w:val="0"/>
          <w:sz w:val="24"/>
          <w:szCs w:val="24"/>
          <w:lang w:val="zh-CN"/>
        </w:rPr>
        <w:t>在</w:t>
      </w:r>
      <w:r w:rsidRPr="000A5B5D">
        <w:rPr>
          <w:rFonts w:eastAsia="Times New Roman"/>
          <w:kern w:val="0"/>
          <w:sz w:val="24"/>
          <w:szCs w:val="24"/>
          <w:lang w:val="zh-CN"/>
        </w:rPr>
        <w:t>PX-PTA-</w:t>
      </w:r>
      <w:r w:rsidRPr="000A5B5D">
        <w:rPr>
          <w:rFonts w:ascii="宋体" w:hAnsi="宋体" w:cs="宋体" w:hint="eastAsia"/>
          <w:kern w:val="0"/>
          <w:sz w:val="24"/>
          <w:szCs w:val="24"/>
          <w:lang w:val="zh-CN"/>
        </w:rPr>
        <w:t>聚酯纤维产业链上，</w:t>
      </w:r>
      <w:r w:rsidRPr="000A5B5D">
        <w:rPr>
          <w:rFonts w:eastAsia="Times New Roman"/>
          <w:kern w:val="0"/>
          <w:sz w:val="24"/>
          <w:szCs w:val="24"/>
          <w:lang w:val="zh-CN"/>
        </w:rPr>
        <w:t>2012-2015</w:t>
      </w:r>
      <w:r w:rsidRPr="000A5B5D">
        <w:rPr>
          <w:rFonts w:ascii="宋体" w:hAnsi="宋体" w:cs="宋体" w:hint="eastAsia"/>
          <w:kern w:val="0"/>
          <w:sz w:val="24"/>
          <w:szCs w:val="24"/>
          <w:lang w:val="zh-CN"/>
        </w:rPr>
        <w:t>年</w:t>
      </w:r>
      <w:r w:rsidRPr="000A5B5D">
        <w:rPr>
          <w:rFonts w:eastAsia="Times New Roman"/>
          <w:kern w:val="0"/>
          <w:sz w:val="24"/>
          <w:szCs w:val="24"/>
          <w:lang w:val="zh-CN"/>
        </w:rPr>
        <w:t>PX</w:t>
      </w:r>
      <w:r w:rsidRPr="000A5B5D">
        <w:rPr>
          <w:rFonts w:ascii="宋体" w:hAnsi="宋体" w:cs="宋体" w:hint="eastAsia"/>
          <w:kern w:val="0"/>
          <w:sz w:val="24"/>
          <w:szCs w:val="24"/>
          <w:lang w:val="zh-CN"/>
        </w:rPr>
        <w:t>的盈利一直最为丰厚，主要的原因是我国</w:t>
      </w:r>
      <w:r w:rsidRPr="000A5B5D">
        <w:rPr>
          <w:rFonts w:eastAsia="Times New Roman"/>
          <w:kern w:val="0"/>
          <w:sz w:val="24"/>
          <w:szCs w:val="24"/>
          <w:lang w:val="zh-CN"/>
        </w:rPr>
        <w:t>PX</w:t>
      </w:r>
      <w:r w:rsidRPr="000A5B5D">
        <w:rPr>
          <w:rFonts w:ascii="宋体" w:hAnsi="宋体" w:cs="宋体" w:hint="eastAsia"/>
          <w:kern w:val="0"/>
          <w:sz w:val="24"/>
          <w:szCs w:val="24"/>
          <w:lang w:val="zh-CN"/>
        </w:rPr>
        <w:t>项目建设缓慢，导致我国</w:t>
      </w:r>
      <w:r w:rsidRPr="000A5B5D">
        <w:rPr>
          <w:rFonts w:eastAsia="Times New Roman"/>
          <w:kern w:val="0"/>
          <w:sz w:val="24"/>
          <w:szCs w:val="24"/>
          <w:lang w:val="zh-CN"/>
        </w:rPr>
        <w:t>PX</w:t>
      </w:r>
      <w:r w:rsidRPr="000A5B5D">
        <w:rPr>
          <w:rFonts w:ascii="宋体" w:hAnsi="宋体" w:cs="宋体" w:hint="eastAsia"/>
          <w:kern w:val="0"/>
          <w:sz w:val="24"/>
          <w:szCs w:val="24"/>
          <w:lang w:val="zh-CN"/>
        </w:rPr>
        <w:t>产能增长缓慢，</w:t>
      </w:r>
      <w:r w:rsidRPr="000A5B5D">
        <w:rPr>
          <w:rFonts w:eastAsia="Times New Roman"/>
          <w:kern w:val="0"/>
          <w:sz w:val="24"/>
          <w:szCs w:val="24"/>
          <w:lang w:val="zh-CN"/>
        </w:rPr>
        <w:t>PX</w:t>
      </w:r>
      <w:r w:rsidRPr="000A5B5D">
        <w:rPr>
          <w:rFonts w:ascii="宋体" w:hAnsi="宋体" w:cs="宋体" w:hint="eastAsia"/>
          <w:kern w:val="0"/>
          <w:sz w:val="24"/>
          <w:szCs w:val="24"/>
          <w:lang w:val="zh-CN"/>
        </w:rPr>
        <w:t>进口依赖度一直居高不下，保持在</w:t>
      </w:r>
      <w:r w:rsidRPr="000A5B5D">
        <w:rPr>
          <w:rFonts w:eastAsia="Times New Roman"/>
          <w:kern w:val="0"/>
          <w:sz w:val="24"/>
          <w:szCs w:val="24"/>
          <w:lang w:val="zh-CN"/>
        </w:rPr>
        <w:t>50%</w:t>
      </w:r>
      <w:r w:rsidRPr="000A5B5D">
        <w:rPr>
          <w:rFonts w:ascii="宋体" w:hAnsi="宋体" w:cs="宋体" w:hint="eastAsia"/>
          <w:kern w:val="0"/>
          <w:sz w:val="24"/>
          <w:szCs w:val="24"/>
          <w:lang w:val="zh-CN"/>
        </w:rPr>
        <w:t>以上，至</w:t>
      </w:r>
      <w:r w:rsidRPr="000A5B5D">
        <w:rPr>
          <w:rFonts w:eastAsia="Times New Roman"/>
          <w:kern w:val="0"/>
          <w:sz w:val="24"/>
          <w:szCs w:val="24"/>
          <w:lang w:val="zh-CN"/>
        </w:rPr>
        <w:t xml:space="preserve"> 2015 </w:t>
      </w:r>
      <w:r w:rsidRPr="000A5B5D">
        <w:rPr>
          <w:rFonts w:ascii="宋体" w:hAnsi="宋体" w:cs="宋体" w:hint="eastAsia"/>
          <w:kern w:val="0"/>
          <w:sz w:val="24"/>
          <w:szCs w:val="24"/>
          <w:lang w:val="zh-CN"/>
        </w:rPr>
        <w:t>年底，我国共有</w:t>
      </w:r>
      <w:r w:rsidRPr="000A5B5D">
        <w:rPr>
          <w:rFonts w:eastAsia="Times New Roman"/>
          <w:kern w:val="0"/>
          <w:sz w:val="24"/>
          <w:szCs w:val="24"/>
          <w:lang w:val="zh-CN"/>
        </w:rPr>
        <w:t xml:space="preserve"> PX </w:t>
      </w:r>
      <w:r w:rsidRPr="000A5B5D">
        <w:rPr>
          <w:rFonts w:ascii="宋体" w:hAnsi="宋体" w:cs="宋体" w:hint="eastAsia"/>
          <w:kern w:val="0"/>
          <w:sz w:val="24"/>
          <w:szCs w:val="24"/>
          <w:lang w:val="zh-CN"/>
        </w:rPr>
        <w:t>生产厂家</w:t>
      </w:r>
      <w:r w:rsidRPr="000A5B5D">
        <w:rPr>
          <w:rFonts w:eastAsia="Times New Roman"/>
          <w:kern w:val="0"/>
          <w:sz w:val="24"/>
          <w:szCs w:val="24"/>
          <w:lang w:val="zh-CN"/>
        </w:rPr>
        <w:t>19</w:t>
      </w:r>
      <w:r w:rsidRPr="000A5B5D">
        <w:rPr>
          <w:rFonts w:ascii="宋体" w:hAnsi="宋体" w:cs="宋体" w:hint="eastAsia"/>
          <w:kern w:val="0"/>
          <w:sz w:val="24"/>
          <w:szCs w:val="24"/>
          <w:lang w:val="zh-CN"/>
        </w:rPr>
        <w:t>家，总产能在</w:t>
      </w:r>
      <w:r w:rsidRPr="000A5B5D">
        <w:rPr>
          <w:rFonts w:eastAsia="Times New Roman"/>
          <w:kern w:val="0"/>
          <w:sz w:val="24"/>
          <w:szCs w:val="24"/>
          <w:lang w:val="zh-CN"/>
        </w:rPr>
        <w:t>1439.6</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年，中国</w:t>
      </w:r>
      <w:r w:rsidRPr="000A5B5D">
        <w:rPr>
          <w:rFonts w:eastAsia="Times New Roman"/>
          <w:kern w:val="0"/>
          <w:sz w:val="24"/>
          <w:szCs w:val="24"/>
          <w:lang w:val="zh-CN"/>
        </w:rPr>
        <w:t>PX</w:t>
      </w:r>
      <w:r w:rsidRPr="000A5B5D">
        <w:rPr>
          <w:rFonts w:ascii="宋体" w:hAnsi="宋体" w:cs="宋体" w:hint="eastAsia"/>
          <w:kern w:val="0"/>
          <w:sz w:val="24"/>
          <w:szCs w:val="24"/>
          <w:lang w:val="zh-CN"/>
        </w:rPr>
        <w:t>供应的偏紧导致在整个产业链中</w:t>
      </w:r>
      <w:r w:rsidRPr="000A5B5D">
        <w:rPr>
          <w:rFonts w:eastAsia="Times New Roman"/>
          <w:kern w:val="0"/>
          <w:sz w:val="24"/>
          <w:szCs w:val="24"/>
          <w:lang w:val="zh-CN"/>
        </w:rPr>
        <w:t>PX</w:t>
      </w:r>
      <w:r w:rsidRPr="000A5B5D">
        <w:rPr>
          <w:rFonts w:ascii="宋体" w:hAnsi="宋体" w:cs="宋体" w:hint="eastAsia"/>
          <w:kern w:val="0"/>
          <w:sz w:val="24"/>
          <w:szCs w:val="24"/>
          <w:lang w:val="zh-CN"/>
        </w:rPr>
        <w:t>盈利最为丰厚。未来，随着</w:t>
      </w:r>
      <w:r w:rsidRPr="000A5B5D">
        <w:rPr>
          <w:rFonts w:eastAsia="Times New Roman"/>
          <w:kern w:val="0"/>
          <w:sz w:val="24"/>
          <w:szCs w:val="24"/>
          <w:lang w:val="zh-CN"/>
        </w:rPr>
        <w:t>PX</w:t>
      </w:r>
      <w:r w:rsidRPr="000A5B5D">
        <w:rPr>
          <w:rFonts w:ascii="宋体" w:hAnsi="宋体" w:cs="宋体" w:hint="eastAsia"/>
          <w:kern w:val="0"/>
          <w:sz w:val="24"/>
          <w:szCs w:val="24"/>
          <w:lang w:val="zh-CN"/>
        </w:rPr>
        <w:t>投放加速，今后几年产业链盈利将逐步向</w:t>
      </w:r>
      <w:r w:rsidRPr="000A5B5D">
        <w:rPr>
          <w:rFonts w:eastAsia="Times New Roman"/>
          <w:kern w:val="0"/>
          <w:sz w:val="24"/>
          <w:szCs w:val="24"/>
          <w:lang w:val="zh-CN"/>
        </w:rPr>
        <w:t>PTA</w:t>
      </w:r>
      <w:r w:rsidRPr="000A5B5D">
        <w:rPr>
          <w:rFonts w:ascii="宋体" w:hAnsi="宋体" w:cs="宋体" w:hint="eastAsia"/>
          <w:kern w:val="0"/>
          <w:sz w:val="24"/>
          <w:szCs w:val="24"/>
          <w:lang w:val="zh-CN"/>
        </w:rPr>
        <w:t>端转移。</w:t>
      </w:r>
    </w:p>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w:t>
      </w:r>
      <w:r w:rsidRPr="000A5B5D">
        <w:rPr>
          <w:rFonts w:eastAsia="Times New Roman"/>
          <w:kern w:val="0"/>
          <w:sz w:val="24"/>
          <w:szCs w:val="24"/>
          <w:lang w:val="zh-CN"/>
        </w:rPr>
        <w:t xml:space="preserve">2009-2015 </w:t>
      </w:r>
      <w:r w:rsidRPr="000A5B5D">
        <w:rPr>
          <w:rFonts w:ascii="宋体" w:hAnsi="宋体" w:cs="宋体" w:hint="eastAsia"/>
          <w:kern w:val="0"/>
          <w:sz w:val="24"/>
          <w:szCs w:val="24"/>
          <w:lang w:val="zh-CN"/>
        </w:rPr>
        <w:t>年</w:t>
      </w:r>
      <w:r w:rsidRPr="000A5B5D">
        <w:rPr>
          <w:rFonts w:eastAsia="Times New Roman"/>
          <w:kern w:val="0"/>
          <w:sz w:val="24"/>
          <w:szCs w:val="24"/>
          <w:lang w:val="zh-CN"/>
        </w:rPr>
        <w:t xml:space="preserve"> PX </w:t>
      </w:r>
      <w:r w:rsidRPr="000A5B5D">
        <w:rPr>
          <w:rFonts w:ascii="宋体" w:hAnsi="宋体" w:cs="宋体" w:hint="eastAsia"/>
          <w:kern w:val="0"/>
          <w:sz w:val="24"/>
          <w:szCs w:val="24"/>
          <w:lang w:val="zh-CN"/>
        </w:rPr>
        <w:t>产能产量运行情况（单位：万吨）</w:t>
      </w:r>
      <w:r w:rsidRPr="000A5B5D">
        <w:rPr>
          <w:rFonts w:eastAsia="Times New Roman"/>
          <w:kern w:val="0"/>
          <w:sz w:val="24"/>
          <w:szCs w:val="24"/>
          <w:lang w:val="zh-CN"/>
        </w:rPr>
        <w:t xml:space="preserve"> </w:t>
      </w:r>
      <w:r w:rsidR="00852E5D" w:rsidRPr="000A5B5D">
        <w:rPr>
          <w:rFonts w:eastAsiaTheme="minorEastAsia"/>
          <w:kern w:val="0"/>
          <w:sz w:val="24"/>
          <w:szCs w:val="24"/>
          <w:lang w:val="zh-CN"/>
        </w:rPr>
        <w:t xml:space="preserve"> </w:t>
      </w:r>
      <w:r w:rsidRPr="000A5B5D">
        <w:rPr>
          <w:rFonts w:ascii="宋体" w:hAnsi="宋体" w:cs="宋体" w:hint="eastAsia"/>
          <w:kern w:val="0"/>
          <w:sz w:val="24"/>
          <w:szCs w:val="24"/>
          <w:lang w:val="zh-CN"/>
        </w:rPr>
        <w:t>数据来源：</w:t>
      </w:r>
      <w:r w:rsidRPr="000A5B5D">
        <w:rPr>
          <w:rFonts w:eastAsia="Times New Roman"/>
          <w:kern w:val="0"/>
          <w:sz w:val="24"/>
          <w:szCs w:val="24"/>
          <w:lang w:val="zh-CN"/>
        </w:rPr>
        <w:t>CCFEI</w:t>
      </w: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1801"/>
        <w:gridCol w:w="1122"/>
        <w:gridCol w:w="1122"/>
        <w:gridCol w:w="1122"/>
        <w:gridCol w:w="1122"/>
        <w:gridCol w:w="1122"/>
        <w:gridCol w:w="1122"/>
        <w:gridCol w:w="1089"/>
      </w:tblGrid>
      <w:tr w:rsidR="00BC4D56" w:rsidRPr="000A5B5D">
        <w:tc>
          <w:tcPr>
            <w:tcW w:w="1801"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2009</w:t>
            </w:r>
            <w:r w:rsidRPr="000A5B5D">
              <w:rPr>
                <w:rFonts w:ascii="宋体" w:hAnsi="宋体" w:cs="宋体" w:hint="eastAsia"/>
                <w:kern w:val="0"/>
                <w:sz w:val="24"/>
                <w:szCs w:val="24"/>
                <w:lang w:val="zh-CN"/>
              </w:rPr>
              <w:t>年</w:t>
            </w: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2010</w:t>
            </w:r>
            <w:r w:rsidRPr="000A5B5D">
              <w:rPr>
                <w:rFonts w:ascii="宋体" w:hAnsi="宋体" w:cs="宋体" w:hint="eastAsia"/>
                <w:kern w:val="0"/>
                <w:sz w:val="24"/>
                <w:szCs w:val="24"/>
                <w:lang w:val="zh-CN"/>
              </w:rPr>
              <w:t>年</w:t>
            </w: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2011</w:t>
            </w:r>
            <w:r w:rsidRPr="000A5B5D">
              <w:rPr>
                <w:rFonts w:ascii="宋体" w:hAnsi="宋体" w:cs="宋体" w:hint="eastAsia"/>
                <w:kern w:val="0"/>
                <w:sz w:val="24"/>
                <w:szCs w:val="24"/>
                <w:lang w:val="zh-CN"/>
              </w:rPr>
              <w:t>年</w:t>
            </w: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2012</w:t>
            </w:r>
            <w:r w:rsidRPr="000A5B5D">
              <w:rPr>
                <w:rFonts w:ascii="宋体" w:hAnsi="宋体" w:cs="宋体" w:hint="eastAsia"/>
                <w:kern w:val="0"/>
                <w:sz w:val="24"/>
                <w:szCs w:val="24"/>
                <w:lang w:val="zh-CN"/>
              </w:rPr>
              <w:t>年</w:t>
            </w: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2013</w:t>
            </w:r>
            <w:r w:rsidRPr="000A5B5D">
              <w:rPr>
                <w:rFonts w:ascii="宋体" w:hAnsi="宋体" w:cs="宋体" w:hint="eastAsia"/>
                <w:kern w:val="0"/>
                <w:sz w:val="24"/>
                <w:szCs w:val="24"/>
                <w:lang w:val="zh-CN"/>
              </w:rPr>
              <w:t>年</w:t>
            </w:r>
          </w:p>
        </w:tc>
        <w:tc>
          <w:tcPr>
            <w:tcW w:w="1122"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2014</w:t>
            </w:r>
            <w:r w:rsidRPr="000A5B5D">
              <w:rPr>
                <w:rFonts w:ascii="宋体" w:hAnsi="宋体" w:cs="宋体" w:hint="eastAsia"/>
                <w:kern w:val="0"/>
                <w:sz w:val="24"/>
                <w:szCs w:val="24"/>
                <w:lang w:val="zh-CN"/>
              </w:rPr>
              <w:t>年</w:t>
            </w:r>
          </w:p>
        </w:tc>
        <w:tc>
          <w:tcPr>
            <w:tcW w:w="1089" w:type="dxa"/>
            <w:shd w:val="clear" w:color="auto" w:fill="BFBFBF"/>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 xml:space="preserve">PX </w:t>
            </w:r>
            <w:r w:rsidRPr="000A5B5D">
              <w:rPr>
                <w:rFonts w:ascii="宋体" w:hAnsi="宋体" w:cs="宋体" w:hint="eastAsia"/>
                <w:kern w:val="0"/>
                <w:sz w:val="24"/>
                <w:szCs w:val="24"/>
                <w:lang w:val="zh-CN"/>
              </w:rPr>
              <w:t>产能</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772.6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872.6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872.6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942.6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1179.6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1279.6</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1439.6</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 xml:space="preserve">PX </w:t>
            </w:r>
            <w:r w:rsidRPr="000A5B5D">
              <w:rPr>
                <w:rFonts w:ascii="宋体" w:hAnsi="宋体" w:cs="宋体" w:hint="eastAsia"/>
                <w:kern w:val="0"/>
                <w:sz w:val="24"/>
                <w:szCs w:val="24"/>
                <w:lang w:val="zh-CN"/>
              </w:rPr>
              <w:t>产量</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479.8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576.8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692.4</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764.5</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837.9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935.7</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920</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产能增速</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60.1%</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12.9%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0.0%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25.1%</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8.5%</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12.5%</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产量增速</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46.0%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20.2%</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20.0%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10.4%</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11.7%</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-1.7%</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进口量</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370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355</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498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629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905</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982</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972</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出口量</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16</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37</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10</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9</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表观消费量</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580.8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695.2</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826.0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1005.9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1328.9</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1676.2</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1810.3</w:t>
            </w:r>
          </w:p>
        </w:tc>
      </w:tr>
      <w:tr w:rsidR="00BC4D56" w:rsidRPr="000A5B5D">
        <w:tc>
          <w:tcPr>
            <w:tcW w:w="1801"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进口依存度</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45.40%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37.40%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43.38%</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45.61%</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51.80%</w:t>
            </w:r>
          </w:p>
        </w:tc>
        <w:tc>
          <w:tcPr>
            <w:tcW w:w="1122"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55.00%</w:t>
            </w:r>
          </w:p>
        </w:tc>
        <w:tc>
          <w:tcPr>
            <w:tcW w:w="1089" w:type="dxa"/>
          </w:tcPr>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eastAsia="Times New Roman"/>
                <w:kern w:val="0"/>
                <w:sz w:val="24"/>
                <w:szCs w:val="24"/>
                <w:lang w:val="zh-CN"/>
              </w:rPr>
              <w:t>57%</w:t>
            </w:r>
          </w:p>
        </w:tc>
      </w:tr>
    </w:tbl>
    <w:p w:rsidR="00BC4D56" w:rsidRPr="000A5B5D" w:rsidRDefault="00BC4D56" w:rsidP="00852E5D">
      <w:pPr>
        <w:autoSpaceDE w:val="0"/>
        <w:autoSpaceDN w:val="0"/>
        <w:adjustRightInd w:val="0"/>
        <w:spacing w:before="0" w:after="0" w:line="360" w:lineRule="auto"/>
        <w:jc w:val="center"/>
        <w:rPr>
          <w:rFonts w:eastAsia="Times New Roman"/>
          <w:kern w:val="0"/>
          <w:sz w:val="24"/>
          <w:szCs w:val="24"/>
          <w:lang w:val="zh-CN"/>
        </w:rPr>
      </w:pPr>
      <w:r w:rsidRPr="000A5B5D">
        <w:rPr>
          <w:rFonts w:ascii="宋体" w:hAnsi="宋体" w:cs="宋体" w:hint="eastAsia"/>
          <w:kern w:val="0"/>
          <w:sz w:val="24"/>
          <w:szCs w:val="24"/>
          <w:lang w:val="zh-CN"/>
        </w:rPr>
        <w:t>表：</w:t>
      </w:r>
      <w:r w:rsidRPr="000A5B5D">
        <w:rPr>
          <w:rFonts w:eastAsia="Times New Roman"/>
          <w:kern w:val="0"/>
          <w:sz w:val="24"/>
          <w:szCs w:val="24"/>
          <w:lang w:val="zh-CN"/>
        </w:rPr>
        <w:t>2014</w:t>
      </w:r>
      <w:r w:rsidRPr="000A5B5D">
        <w:rPr>
          <w:rFonts w:ascii="宋体" w:hAnsi="宋体" w:cs="宋体" w:hint="eastAsia"/>
          <w:kern w:val="0"/>
          <w:sz w:val="24"/>
          <w:szCs w:val="24"/>
          <w:lang w:val="zh-CN"/>
        </w:rPr>
        <w:t>年以后</w:t>
      </w:r>
      <w:r w:rsidRPr="000A5B5D">
        <w:rPr>
          <w:rFonts w:eastAsia="Times New Roman"/>
          <w:kern w:val="0"/>
          <w:sz w:val="24"/>
          <w:szCs w:val="24"/>
          <w:lang w:val="zh-CN"/>
        </w:rPr>
        <w:t>PX</w:t>
      </w:r>
      <w:r w:rsidRPr="000A5B5D">
        <w:rPr>
          <w:rFonts w:ascii="宋体" w:hAnsi="宋体" w:cs="宋体" w:hint="eastAsia"/>
          <w:kern w:val="0"/>
          <w:sz w:val="24"/>
          <w:szCs w:val="24"/>
          <w:lang w:val="zh-CN"/>
        </w:rPr>
        <w:t>预计产能投放表（单位：万吨）</w:t>
      </w:r>
      <w:r w:rsidR="00852E5D" w:rsidRPr="000A5B5D">
        <w:rPr>
          <w:rFonts w:ascii="宋体" w:hAnsi="宋体" w:cs="宋体"/>
          <w:kern w:val="0"/>
          <w:sz w:val="24"/>
          <w:szCs w:val="24"/>
          <w:lang w:val="zh-CN"/>
        </w:rPr>
        <w:t xml:space="preserve"> </w:t>
      </w: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数据来源：</w:t>
      </w:r>
      <w:r w:rsidRPr="000A5B5D">
        <w:rPr>
          <w:rFonts w:eastAsia="Times New Roman"/>
          <w:kern w:val="0"/>
          <w:sz w:val="24"/>
          <w:szCs w:val="24"/>
          <w:lang w:val="zh-CN"/>
        </w:rPr>
        <w:t>CCFEI</w:t>
      </w:r>
    </w:p>
    <w:tbl>
      <w:tblPr>
        <w:tblW w:w="0" w:type="auto"/>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1703"/>
        <w:gridCol w:w="1287"/>
        <w:gridCol w:w="1287"/>
        <w:gridCol w:w="1495"/>
        <w:gridCol w:w="1494"/>
        <w:gridCol w:w="1494"/>
        <w:gridCol w:w="868"/>
      </w:tblGrid>
      <w:tr w:rsidR="00BC4D56" w:rsidRPr="000A5B5D">
        <w:tc>
          <w:tcPr>
            <w:tcW w:w="1703"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p>
        </w:tc>
        <w:tc>
          <w:tcPr>
            <w:tcW w:w="1287"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2014</w:t>
            </w:r>
            <w:r w:rsidRPr="000A5B5D">
              <w:rPr>
                <w:rFonts w:ascii="宋体" w:hAnsi="宋体" w:cs="宋体" w:hint="eastAsia"/>
                <w:kern w:val="0"/>
                <w:sz w:val="24"/>
                <w:szCs w:val="24"/>
                <w:lang w:val="zh-CN"/>
              </w:rPr>
              <w:t>年</w:t>
            </w:r>
          </w:p>
        </w:tc>
        <w:tc>
          <w:tcPr>
            <w:tcW w:w="1287"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w:t>
            </w:r>
          </w:p>
        </w:tc>
        <w:tc>
          <w:tcPr>
            <w:tcW w:w="1495"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2016</w:t>
            </w:r>
            <w:r w:rsidRPr="000A5B5D">
              <w:rPr>
                <w:rFonts w:ascii="宋体" w:hAnsi="宋体" w:cs="宋体" w:hint="eastAsia"/>
                <w:kern w:val="0"/>
                <w:sz w:val="24"/>
                <w:szCs w:val="24"/>
                <w:lang w:val="zh-CN"/>
              </w:rPr>
              <w:t>年</w:t>
            </w:r>
            <w:r w:rsidRPr="000A5B5D">
              <w:rPr>
                <w:rFonts w:eastAsia="Times New Roman"/>
                <w:kern w:val="0"/>
                <w:sz w:val="24"/>
                <w:szCs w:val="24"/>
                <w:lang w:val="zh-CN"/>
              </w:rPr>
              <w:t>E</w:t>
            </w:r>
          </w:p>
        </w:tc>
        <w:tc>
          <w:tcPr>
            <w:tcW w:w="1494"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2017</w:t>
            </w:r>
            <w:r w:rsidRPr="000A5B5D">
              <w:rPr>
                <w:rFonts w:ascii="宋体" w:hAnsi="宋体" w:cs="宋体" w:hint="eastAsia"/>
                <w:kern w:val="0"/>
                <w:sz w:val="24"/>
                <w:szCs w:val="24"/>
                <w:lang w:val="zh-CN"/>
              </w:rPr>
              <w:t>年</w:t>
            </w:r>
            <w:r w:rsidRPr="000A5B5D">
              <w:rPr>
                <w:rFonts w:eastAsia="Times New Roman"/>
                <w:kern w:val="0"/>
                <w:sz w:val="24"/>
                <w:szCs w:val="24"/>
                <w:lang w:val="zh-CN"/>
              </w:rPr>
              <w:t>E</w:t>
            </w:r>
          </w:p>
        </w:tc>
        <w:tc>
          <w:tcPr>
            <w:tcW w:w="1494"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2018</w:t>
            </w:r>
            <w:r w:rsidRPr="000A5B5D">
              <w:rPr>
                <w:rFonts w:ascii="宋体" w:hAnsi="宋体" w:cs="宋体" w:hint="eastAsia"/>
                <w:kern w:val="0"/>
                <w:sz w:val="24"/>
                <w:szCs w:val="24"/>
                <w:lang w:val="zh-CN"/>
              </w:rPr>
              <w:t>年</w:t>
            </w:r>
            <w:r w:rsidRPr="000A5B5D">
              <w:rPr>
                <w:rFonts w:eastAsia="Times New Roman"/>
                <w:kern w:val="0"/>
                <w:sz w:val="24"/>
                <w:szCs w:val="24"/>
                <w:lang w:val="zh-CN"/>
              </w:rPr>
              <w:t>E</w:t>
            </w:r>
          </w:p>
        </w:tc>
        <w:tc>
          <w:tcPr>
            <w:tcW w:w="868" w:type="dxa"/>
            <w:shd w:val="clear" w:color="auto" w:fill="BFBFBF"/>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ascii="宋体" w:hAnsi="宋体" w:cs="宋体" w:hint="eastAsia"/>
                <w:kern w:val="0"/>
                <w:sz w:val="24"/>
                <w:szCs w:val="24"/>
                <w:lang w:val="zh-CN"/>
              </w:rPr>
              <w:t>合计</w:t>
            </w:r>
          </w:p>
        </w:tc>
      </w:tr>
      <w:tr w:rsidR="00BC4D56" w:rsidRPr="000A5B5D">
        <w:tc>
          <w:tcPr>
            <w:tcW w:w="1703"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ascii="宋体" w:hAnsi="宋体" w:cs="宋体" w:hint="eastAsia"/>
                <w:kern w:val="0"/>
                <w:sz w:val="24"/>
                <w:szCs w:val="24"/>
                <w:lang w:val="zh-CN"/>
              </w:rPr>
              <w:t>新增产能</w:t>
            </w:r>
          </w:p>
        </w:tc>
        <w:tc>
          <w:tcPr>
            <w:tcW w:w="128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560</w:t>
            </w:r>
          </w:p>
        </w:tc>
        <w:tc>
          <w:tcPr>
            <w:tcW w:w="1287"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222</w:t>
            </w:r>
          </w:p>
        </w:tc>
        <w:tc>
          <w:tcPr>
            <w:tcW w:w="1495"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280</w:t>
            </w:r>
          </w:p>
        </w:tc>
        <w:tc>
          <w:tcPr>
            <w:tcW w:w="1494"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275</w:t>
            </w:r>
          </w:p>
        </w:tc>
        <w:tc>
          <w:tcPr>
            <w:tcW w:w="1494"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815</w:t>
            </w:r>
          </w:p>
        </w:tc>
        <w:tc>
          <w:tcPr>
            <w:tcW w:w="868" w:type="dxa"/>
          </w:tcPr>
          <w:p w:rsidR="00BC4D56" w:rsidRPr="000A5B5D" w:rsidRDefault="00BC4D56" w:rsidP="00852E5D">
            <w:pPr>
              <w:autoSpaceDE w:val="0"/>
              <w:autoSpaceDN w:val="0"/>
              <w:adjustRightInd w:val="0"/>
              <w:spacing w:line="360" w:lineRule="auto"/>
              <w:jc w:val="center"/>
              <w:rPr>
                <w:rFonts w:eastAsia="Times New Roman"/>
                <w:kern w:val="0"/>
                <w:sz w:val="24"/>
                <w:szCs w:val="24"/>
                <w:lang w:val="zh-CN"/>
              </w:rPr>
            </w:pPr>
            <w:r w:rsidRPr="000A5B5D">
              <w:rPr>
                <w:rFonts w:eastAsia="Times New Roman"/>
                <w:kern w:val="0"/>
                <w:sz w:val="24"/>
                <w:szCs w:val="24"/>
                <w:lang w:val="zh-CN"/>
              </w:rPr>
              <w:t>2152</w:t>
            </w:r>
          </w:p>
        </w:tc>
      </w:tr>
    </w:tbl>
    <w:p w:rsidR="00BC4D56" w:rsidRPr="000A5B5D" w:rsidRDefault="00BC4D56">
      <w:pPr>
        <w:pStyle w:val="Chapter"/>
        <w:outlineLvl w:val="1"/>
        <w:rPr>
          <w:bCs w:val="0"/>
        </w:rPr>
      </w:pPr>
      <w:r w:rsidRPr="000A5B5D">
        <w:rPr>
          <w:rFonts w:hint="eastAsia"/>
          <w:bCs w:val="0"/>
        </w:rPr>
        <w:lastRenderedPageBreak/>
        <w:t>二、主要资产重大变化情况</w:t>
      </w:r>
    </w:p>
    <w:p w:rsidR="00BC4D56" w:rsidRPr="000A5B5D" w:rsidRDefault="00BC4D56" w:rsidP="00852E5D">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、主要资产重大变化情况</w:t>
      </w:r>
    </w:p>
    <w:tbl>
      <w:tblPr>
        <w:tblW w:w="0" w:type="auto"/>
        <w:tblInd w:w="28" w:type="dxa"/>
        <w:tblLayout w:type="fixed"/>
        <w:tblCellMar>
          <w:left w:w="28" w:type="dxa"/>
          <w:right w:w="28" w:type="dxa"/>
        </w:tblCellMar>
        <w:tblLook w:val="0000" w:firstRow="0" w:lastRow="0" w:firstColumn="0" w:lastColumn="0" w:noHBand="0" w:noVBand="0"/>
      </w:tblPr>
      <w:tblGrid>
        <w:gridCol w:w="2694"/>
        <w:gridCol w:w="6874"/>
      </w:tblGrid>
      <w:tr w:rsidR="00BC4D56" w:rsidRPr="000A5B5D" w:rsidTr="00852E5D">
        <w:trPr>
          <w:trHeight w:val="508"/>
        </w:trPr>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主要资产</w:t>
            </w:r>
          </w:p>
        </w:tc>
        <w:tc>
          <w:tcPr>
            <w:tcW w:w="687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重大变化说明</w:t>
            </w:r>
          </w:p>
        </w:tc>
      </w:tr>
      <w:tr w:rsidR="00BC4D56" w:rsidRPr="000A5B5D" w:rsidTr="00852E5D">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股权资产</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spacing w:line="360" w:lineRule="auto"/>
              <w:jc w:val="left"/>
              <w:rPr>
                <w:sz w:val="24"/>
                <w:szCs w:val="24"/>
              </w:rPr>
            </w:pPr>
            <w:r w:rsidRPr="000A5B5D">
              <w:rPr>
                <w:rFonts w:hint="eastAsia"/>
                <w:sz w:val="24"/>
                <w:szCs w:val="24"/>
              </w:rPr>
              <w:t>对浙商银行的投资增加，由可供出售金融资产转为权益法核算</w:t>
            </w:r>
          </w:p>
        </w:tc>
      </w:tr>
      <w:tr w:rsidR="00BC4D56" w:rsidRPr="000A5B5D" w:rsidTr="00852E5D">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固定资产</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spacing w:line="360" w:lineRule="auto"/>
              <w:jc w:val="left"/>
              <w:rPr>
                <w:sz w:val="24"/>
                <w:szCs w:val="24"/>
              </w:rPr>
            </w:pPr>
            <w:r w:rsidRPr="000A5B5D">
              <w:rPr>
                <w:rFonts w:hint="eastAsia"/>
                <w:sz w:val="24"/>
                <w:szCs w:val="24"/>
              </w:rPr>
              <w:t>无重大变动</w:t>
            </w:r>
          </w:p>
        </w:tc>
      </w:tr>
      <w:tr w:rsidR="00BC4D56" w:rsidRPr="000A5B5D" w:rsidTr="00852E5D">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无形资产</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spacing w:line="360" w:lineRule="auto"/>
              <w:jc w:val="left"/>
              <w:rPr>
                <w:sz w:val="24"/>
                <w:szCs w:val="24"/>
              </w:rPr>
            </w:pPr>
            <w:r w:rsidRPr="000A5B5D">
              <w:rPr>
                <w:rFonts w:hint="eastAsia"/>
                <w:sz w:val="24"/>
                <w:szCs w:val="24"/>
              </w:rPr>
              <w:t>无重大变动</w:t>
            </w:r>
          </w:p>
        </w:tc>
      </w:tr>
      <w:tr w:rsidR="00BC4D56" w:rsidRPr="000A5B5D" w:rsidTr="00852E5D">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spacing w:line="360" w:lineRule="auto"/>
              <w:jc w:val="center"/>
              <w:rPr>
                <w:sz w:val="24"/>
                <w:szCs w:val="24"/>
              </w:rPr>
            </w:pPr>
            <w:r w:rsidRPr="000A5B5D">
              <w:rPr>
                <w:rFonts w:hint="eastAsia"/>
                <w:sz w:val="24"/>
                <w:szCs w:val="24"/>
              </w:rPr>
              <w:t>在建工程</w:t>
            </w:r>
          </w:p>
        </w:tc>
        <w:tc>
          <w:tcPr>
            <w:tcW w:w="687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spacing w:line="360" w:lineRule="auto"/>
              <w:jc w:val="left"/>
              <w:rPr>
                <w:sz w:val="24"/>
                <w:szCs w:val="24"/>
              </w:rPr>
            </w:pPr>
            <w:r w:rsidRPr="000A5B5D">
              <w:rPr>
                <w:rFonts w:hint="eastAsia"/>
                <w:sz w:val="24"/>
                <w:szCs w:val="24"/>
              </w:rPr>
              <w:t>主要系增加文莱项目建设投资</w:t>
            </w:r>
          </w:p>
        </w:tc>
      </w:tr>
    </w:tbl>
    <w:p w:rsidR="00BC4D56" w:rsidRPr="000A5B5D" w:rsidRDefault="00BC4D56" w:rsidP="00852E5D">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、主要境外资产情况</w:t>
      </w:r>
    </w:p>
    <w:tbl>
      <w:tblPr>
        <w:tblW w:w="0" w:type="auto"/>
        <w:tblInd w:w="28" w:type="dxa"/>
        <w:tblLayout w:type="fixed"/>
        <w:tblCellMar>
          <w:left w:w="28" w:type="dxa"/>
          <w:right w:w="28" w:type="dxa"/>
        </w:tblCellMar>
        <w:tblLook w:val="0000" w:firstRow="0" w:lastRow="0" w:firstColumn="0" w:lastColumn="0" w:noHBand="0" w:noVBand="0"/>
      </w:tblPr>
      <w:tblGrid>
        <w:gridCol w:w="1064"/>
        <w:gridCol w:w="779"/>
        <w:gridCol w:w="1559"/>
        <w:gridCol w:w="993"/>
        <w:gridCol w:w="992"/>
        <w:gridCol w:w="1559"/>
        <w:gridCol w:w="500"/>
        <w:gridCol w:w="1062"/>
        <w:gridCol w:w="1061"/>
      </w:tblGrid>
      <w:tr w:rsidR="00BC4D56" w:rsidRPr="000A5B5D" w:rsidTr="00852E5D">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资产的具体内容</w:t>
            </w:r>
          </w:p>
        </w:tc>
        <w:tc>
          <w:tcPr>
            <w:tcW w:w="77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形成原因</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资产规模</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所在地</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运营模式</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保障资产安全性的控制措施</w:t>
            </w:r>
          </w:p>
        </w:tc>
        <w:tc>
          <w:tcPr>
            <w:tcW w:w="50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收益状况</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境外资产占公司净资产的比重</w:t>
            </w: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center"/>
              <w:rPr>
                <w:rFonts w:asciiTheme="minorEastAsia" w:eastAsiaTheme="minorEastAsia" w:hAnsiTheme="minorEastAsia"/>
              </w:rPr>
            </w:pPr>
            <w:r w:rsidRPr="000A5B5D">
              <w:rPr>
                <w:rFonts w:asciiTheme="minorEastAsia" w:eastAsiaTheme="minorEastAsia" w:hAnsiTheme="minorEastAsia" w:hint="eastAsia"/>
              </w:rPr>
              <w:t>是否存在重大减值风险</w:t>
            </w:r>
          </w:p>
        </w:tc>
      </w:tr>
      <w:tr w:rsidR="00BC4D56" w:rsidRPr="000A5B5D" w:rsidTr="00852E5D">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控股子公司</w:t>
            </w:r>
          </w:p>
        </w:tc>
        <w:tc>
          <w:tcPr>
            <w:tcW w:w="77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海外投资</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rPr>
              <w:t>4</w:t>
            </w:r>
            <w:r w:rsidR="00852E5D" w:rsidRPr="000A5B5D">
              <w:rPr>
                <w:rFonts w:asciiTheme="minorEastAsia" w:eastAsiaTheme="minorEastAsia" w:hAnsiTheme="minorEastAsia"/>
              </w:rPr>
              <w:t>,</w:t>
            </w:r>
            <w:r w:rsidRPr="000A5B5D">
              <w:rPr>
                <w:rFonts w:asciiTheme="minorEastAsia" w:eastAsiaTheme="minorEastAsia" w:hAnsiTheme="minorEastAsia"/>
              </w:rPr>
              <w:t>018</w:t>
            </w:r>
            <w:r w:rsidR="00852E5D" w:rsidRPr="000A5B5D">
              <w:rPr>
                <w:rFonts w:asciiTheme="minorEastAsia" w:eastAsiaTheme="minorEastAsia" w:hAnsiTheme="minorEastAsia"/>
              </w:rPr>
              <w:t>,</w:t>
            </w:r>
            <w:r w:rsidRPr="000A5B5D">
              <w:rPr>
                <w:rFonts w:asciiTheme="minorEastAsia" w:eastAsiaTheme="minorEastAsia" w:hAnsiTheme="minorEastAsia"/>
              </w:rPr>
              <w:t>278</w:t>
            </w:r>
            <w:r w:rsidR="00852E5D" w:rsidRPr="000A5B5D">
              <w:rPr>
                <w:rFonts w:asciiTheme="minorEastAsia" w:eastAsiaTheme="minorEastAsia" w:hAnsiTheme="minorEastAsia"/>
              </w:rPr>
              <w:t>,</w:t>
            </w:r>
            <w:r w:rsidRPr="000A5B5D">
              <w:rPr>
                <w:rFonts w:asciiTheme="minorEastAsia" w:eastAsiaTheme="minorEastAsia" w:hAnsiTheme="minorEastAsia"/>
              </w:rPr>
              <w:t>778.36</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香港</w:t>
            </w:r>
            <w:r w:rsidRPr="000A5B5D">
              <w:rPr>
                <w:rFonts w:asciiTheme="minorEastAsia" w:eastAsiaTheme="minorEastAsia" w:hAnsiTheme="minorEastAsia"/>
              </w:rPr>
              <w:t>/</w:t>
            </w:r>
            <w:r w:rsidRPr="000A5B5D">
              <w:rPr>
                <w:rFonts w:asciiTheme="minorEastAsia" w:eastAsiaTheme="minorEastAsia" w:hAnsiTheme="minorEastAsia" w:hint="eastAsia"/>
              </w:rPr>
              <w:t>文莱</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公司自用于日常经营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加强母公司对境外子公司管理控制</w:t>
            </w:r>
          </w:p>
        </w:tc>
        <w:tc>
          <w:tcPr>
            <w:tcW w:w="50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良好</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C20A1" w:rsidP="00852E5D">
            <w:pPr>
              <w:jc w:val="right"/>
              <w:rPr>
                <w:rFonts w:asciiTheme="minorEastAsia" w:eastAsiaTheme="minorEastAsia" w:hAnsiTheme="minorEastAsia"/>
              </w:rPr>
            </w:pPr>
            <w:r w:rsidRPr="000A5B5D">
              <w:rPr>
                <w:rFonts w:ascii="宋体" w:hAnsi="宋体"/>
              </w:rPr>
              <w:t>14.08%</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否</w:t>
            </w:r>
          </w:p>
        </w:tc>
      </w:tr>
      <w:tr w:rsidR="00BC4D56" w:rsidRPr="000A5B5D">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其他情况说明</w:t>
            </w:r>
          </w:p>
        </w:tc>
        <w:tc>
          <w:tcPr>
            <w:tcW w:w="8505"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2E5D">
            <w:pPr>
              <w:jc w:val="left"/>
              <w:rPr>
                <w:rFonts w:asciiTheme="minorEastAsia" w:eastAsiaTheme="minorEastAsia" w:hAnsiTheme="minorEastAsia"/>
              </w:rPr>
            </w:pPr>
            <w:r w:rsidRPr="000A5B5D">
              <w:rPr>
                <w:rFonts w:asciiTheme="minorEastAsia" w:eastAsiaTheme="minorEastAsia" w:hAnsiTheme="minorEastAsia" w:hint="eastAsia"/>
              </w:rPr>
              <w:t>境外子公司合并抵消后的情况</w:t>
            </w:r>
          </w:p>
        </w:tc>
      </w:tr>
    </w:tbl>
    <w:p w:rsidR="00BC4D56" w:rsidRPr="000A5B5D" w:rsidRDefault="00BC4D56">
      <w:pPr>
        <w:pStyle w:val="Chapter"/>
        <w:outlineLvl w:val="1"/>
        <w:rPr>
          <w:bCs w:val="0"/>
        </w:rPr>
      </w:pPr>
      <w:r w:rsidRPr="000A5B5D">
        <w:rPr>
          <w:rFonts w:hint="eastAsia"/>
          <w:bCs w:val="0"/>
        </w:rPr>
        <w:t>三、核心竞争力分析</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1</w:t>
      </w:r>
      <w:r w:rsidRPr="000A5B5D">
        <w:rPr>
          <w:rFonts w:asciiTheme="minorEastAsia" w:eastAsiaTheme="minorEastAsia" w:hAnsiTheme="minorEastAsia" w:hint="eastAsia"/>
          <w:b/>
          <w:kern w:val="0"/>
          <w:sz w:val="24"/>
          <w:szCs w:val="24"/>
          <w:lang w:val="zh-CN"/>
        </w:rPr>
        <w:t>、战略领先优势</w:t>
      </w:r>
    </w:p>
    <w:p w:rsidR="00BC4D56" w:rsidRPr="000A5B5D" w:rsidRDefault="00BC4D56" w:rsidP="00570D78">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公司是最早使用熔体直纺技术的民营企业，是最早进入</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hint="eastAsia"/>
          <w:kern w:val="0"/>
          <w:sz w:val="24"/>
          <w:szCs w:val="24"/>
          <w:lang w:val="zh-CN"/>
        </w:rPr>
        <w:t>生产领域的民营企业，同时也是最早与中石化合资进入己内酰胺生产领域的民营企业。公司自成立以来，紧紧围绕</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巩固、突出和提升主营业务竞争力</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的战略方针，联合战略合作方实现优势互补，逐步成为全球综合实力最强的竞争业务公司，并率先向石化产业链上游延伸。在发展过程中，公司坚持技术创新和产品研发、坚持节能减排和大规模装置技术的应用，坚持运营、管理创新稳步实现了公司从行业跟跑者到行业领跑者的转变，牢牢树立了石化主营业务龙头地位。未来，公司将蓄力前行，借助文莱</w:t>
      </w:r>
      <w:r w:rsidRPr="000A5B5D">
        <w:rPr>
          <w:rFonts w:asciiTheme="minorEastAsia" w:eastAsiaTheme="minorEastAsia" w:hAnsiTheme="minorEastAsia"/>
          <w:kern w:val="0"/>
          <w:sz w:val="24"/>
          <w:szCs w:val="24"/>
          <w:lang w:val="zh-CN"/>
        </w:rPr>
        <w:t>PMB</w:t>
      </w:r>
      <w:r w:rsidRPr="000A5B5D">
        <w:rPr>
          <w:rFonts w:asciiTheme="minorEastAsia" w:eastAsiaTheme="minorEastAsia" w:hAnsiTheme="minorEastAsia" w:hint="eastAsia"/>
          <w:kern w:val="0"/>
          <w:sz w:val="24"/>
          <w:szCs w:val="24"/>
          <w:lang w:val="zh-CN"/>
        </w:rPr>
        <w:t>石油化工项目实现又一次的跨越式前进，逐步打造成全球综合实力最强的石化企业之一。</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2</w:t>
      </w:r>
      <w:r w:rsidRPr="000A5B5D">
        <w:rPr>
          <w:rFonts w:asciiTheme="minorEastAsia" w:eastAsiaTheme="minorEastAsia" w:hAnsiTheme="minorEastAsia" w:hint="eastAsia"/>
          <w:b/>
          <w:kern w:val="0"/>
          <w:sz w:val="24"/>
          <w:szCs w:val="24"/>
          <w:lang w:val="zh-CN"/>
        </w:rPr>
        <w:t>、双轮驱动的发展优势</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hint="eastAsia"/>
          <w:kern w:val="0"/>
          <w:sz w:val="24"/>
          <w:szCs w:val="24"/>
          <w:lang w:val="zh-CN"/>
        </w:rPr>
        <w:t>公司拥有石油化工产业及金融业务，</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石化</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金融</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双驱动发展模式初具雏形。截止本</w:t>
      </w:r>
      <w:r w:rsidRPr="000A5B5D">
        <w:rPr>
          <w:rFonts w:asciiTheme="minorEastAsia" w:eastAsiaTheme="minorEastAsia" w:hAnsiTheme="minorEastAsia" w:hint="eastAsia"/>
          <w:kern w:val="0"/>
          <w:sz w:val="24"/>
          <w:szCs w:val="24"/>
          <w:lang w:val="zh-CN"/>
        </w:rPr>
        <w:lastRenderedPageBreak/>
        <w:t>报告期末，金融业务主要为浙商银行股权投资，公司累计持有浙商银行</w:t>
      </w:r>
      <w:r w:rsidRPr="000A5B5D">
        <w:rPr>
          <w:rFonts w:asciiTheme="minorEastAsia" w:eastAsiaTheme="minorEastAsia" w:hAnsiTheme="minorEastAsia"/>
          <w:kern w:val="0"/>
          <w:sz w:val="24"/>
          <w:szCs w:val="24"/>
          <w:lang w:val="zh-CN"/>
        </w:rPr>
        <w:t>5.16%</w:t>
      </w:r>
      <w:r w:rsidRPr="000A5B5D">
        <w:rPr>
          <w:rFonts w:asciiTheme="minorEastAsia" w:eastAsiaTheme="minorEastAsia" w:hAnsiTheme="minorEastAsia" w:hint="eastAsia"/>
          <w:kern w:val="0"/>
          <w:sz w:val="24"/>
          <w:szCs w:val="24"/>
          <w:lang w:val="zh-CN"/>
        </w:rPr>
        <w:t>的股份，公司所持的金融股权形成相对稳定的收益，从而对公司所处行业效益有着重要的支撑作用。随着浙商银行成功登陆</w:t>
      </w:r>
      <w:r w:rsidRPr="000A5B5D">
        <w:rPr>
          <w:rFonts w:asciiTheme="minorEastAsia" w:eastAsiaTheme="minorEastAsia" w:hAnsiTheme="minorEastAsia"/>
          <w:kern w:val="0"/>
          <w:sz w:val="24"/>
          <w:szCs w:val="24"/>
          <w:lang w:val="zh-CN"/>
        </w:rPr>
        <w:t>H</w:t>
      </w:r>
      <w:r w:rsidRPr="000A5B5D">
        <w:rPr>
          <w:rFonts w:asciiTheme="minorEastAsia" w:eastAsiaTheme="minorEastAsia" w:hAnsiTheme="minorEastAsia" w:hint="eastAsia"/>
          <w:kern w:val="0"/>
          <w:sz w:val="24"/>
          <w:szCs w:val="24"/>
          <w:lang w:val="zh-CN"/>
        </w:rPr>
        <w:t>股市场，将对恒逸坚持产业链一体战略和产融互动战略提供有力支撑。未来，公司将利用在石化化纤产业链积累的资源优势，充分借助互联网技术和平台战略，深度挖掘供应链体系，持续推进供应链金融的发展。</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3</w:t>
      </w:r>
      <w:r w:rsidRPr="000A5B5D">
        <w:rPr>
          <w:rFonts w:asciiTheme="minorEastAsia" w:eastAsiaTheme="minorEastAsia" w:hAnsiTheme="minorEastAsia" w:hint="eastAsia"/>
          <w:b/>
          <w:kern w:val="0"/>
          <w:sz w:val="24"/>
          <w:szCs w:val="24"/>
          <w:lang w:val="zh-CN"/>
        </w:rPr>
        <w:t>、全产业链竞争优势</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目前，公司已建成国内最大、综合实力最强的</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hint="eastAsia"/>
          <w:kern w:val="0"/>
          <w:sz w:val="24"/>
          <w:szCs w:val="24"/>
          <w:lang w:val="zh-CN"/>
        </w:rPr>
        <w:t>聚酯纤维产业链一体化的生产企业；同时公司正加快投资建设文莱</w:t>
      </w:r>
      <w:r w:rsidRPr="000A5B5D">
        <w:rPr>
          <w:rFonts w:asciiTheme="minorEastAsia" w:eastAsiaTheme="minorEastAsia" w:hAnsiTheme="minorEastAsia"/>
          <w:kern w:val="0"/>
          <w:sz w:val="24"/>
          <w:szCs w:val="24"/>
          <w:lang w:val="zh-CN"/>
        </w:rPr>
        <w:t>PMB</w:t>
      </w:r>
      <w:r w:rsidRPr="000A5B5D">
        <w:rPr>
          <w:rFonts w:asciiTheme="minorEastAsia" w:eastAsiaTheme="minorEastAsia" w:hAnsiTheme="minorEastAsia" w:hint="eastAsia"/>
          <w:kern w:val="0"/>
          <w:sz w:val="24"/>
          <w:szCs w:val="24"/>
          <w:lang w:val="zh-CN"/>
        </w:rPr>
        <w:t>石油化工项目，并积极拓展</w:t>
      </w:r>
      <w:r w:rsidRPr="000A5B5D">
        <w:rPr>
          <w:rFonts w:asciiTheme="minorEastAsia" w:eastAsiaTheme="minorEastAsia" w:hAnsiTheme="minorEastAsia"/>
          <w:kern w:val="0"/>
          <w:sz w:val="24"/>
          <w:szCs w:val="24"/>
          <w:lang w:val="zh-CN"/>
        </w:rPr>
        <w:t>CPL-</w:t>
      </w:r>
      <w:r w:rsidRPr="000A5B5D">
        <w:rPr>
          <w:rFonts w:asciiTheme="minorEastAsia" w:eastAsiaTheme="minorEastAsia" w:hAnsiTheme="minorEastAsia" w:hint="eastAsia"/>
          <w:kern w:val="0"/>
          <w:sz w:val="24"/>
          <w:szCs w:val="24"/>
          <w:lang w:val="zh-CN"/>
        </w:rPr>
        <w:t>锦纶产业链。未来公司将形成原油</w:t>
      </w:r>
      <w:r w:rsidRPr="000A5B5D">
        <w:rPr>
          <w:rFonts w:asciiTheme="minorEastAsia" w:eastAsiaTheme="minorEastAsia" w:hAnsiTheme="minorEastAsia"/>
          <w:kern w:val="0"/>
          <w:sz w:val="24"/>
          <w:szCs w:val="24"/>
          <w:lang w:val="zh-CN"/>
        </w:rPr>
        <w:t>-PX-PTA-</w:t>
      </w:r>
      <w:r w:rsidRPr="000A5B5D">
        <w:rPr>
          <w:rFonts w:asciiTheme="minorEastAsia" w:eastAsiaTheme="minorEastAsia" w:hAnsiTheme="minorEastAsia" w:hint="eastAsia"/>
          <w:kern w:val="0"/>
          <w:sz w:val="24"/>
          <w:szCs w:val="24"/>
          <w:lang w:val="zh-CN"/>
        </w:rPr>
        <w:t>涤纶和原油</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苯</w:t>
      </w:r>
      <w:r w:rsidRPr="000A5B5D">
        <w:rPr>
          <w:rFonts w:asciiTheme="minorEastAsia" w:eastAsiaTheme="minorEastAsia" w:hAnsiTheme="minorEastAsia"/>
          <w:kern w:val="0"/>
          <w:sz w:val="24"/>
          <w:szCs w:val="24"/>
          <w:lang w:val="zh-CN"/>
        </w:rPr>
        <w:t>-CPL-</w:t>
      </w:r>
      <w:r w:rsidRPr="000A5B5D">
        <w:rPr>
          <w:rFonts w:asciiTheme="minorEastAsia" w:eastAsiaTheme="minorEastAsia" w:hAnsiTheme="minorEastAsia" w:hint="eastAsia"/>
          <w:kern w:val="0"/>
          <w:sz w:val="24"/>
          <w:szCs w:val="24"/>
          <w:lang w:val="zh-CN"/>
        </w:rPr>
        <w:t>锦纶的全产业链竞争格局，实现真正意义石化行业的一体化经营。当前阶段，中国石化产业的发展正从过去的不均衡发展转变为均衡发展，因此拥有全产业链竞争优势的企业率先将从产业格局均衡发展中受益。</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4</w:t>
      </w:r>
      <w:r w:rsidRPr="000A5B5D">
        <w:rPr>
          <w:rFonts w:asciiTheme="minorEastAsia" w:eastAsiaTheme="minorEastAsia" w:hAnsiTheme="minorEastAsia" w:hint="eastAsia"/>
          <w:b/>
          <w:kern w:val="0"/>
          <w:sz w:val="24"/>
          <w:szCs w:val="24"/>
          <w:lang w:val="zh-CN"/>
        </w:rPr>
        <w:t>、拥有全世界最具竞争力的</w:t>
      </w:r>
      <w:r w:rsidRPr="000A5B5D">
        <w:rPr>
          <w:rFonts w:asciiTheme="minorEastAsia" w:eastAsiaTheme="minorEastAsia" w:hAnsiTheme="minorEastAsia"/>
          <w:b/>
          <w:kern w:val="0"/>
          <w:sz w:val="24"/>
          <w:szCs w:val="24"/>
          <w:lang w:val="zh-CN"/>
        </w:rPr>
        <w:t>PTA</w:t>
      </w:r>
      <w:r w:rsidRPr="000A5B5D">
        <w:rPr>
          <w:rFonts w:asciiTheme="minorEastAsia" w:eastAsiaTheme="minorEastAsia" w:hAnsiTheme="minorEastAsia" w:hint="eastAsia"/>
          <w:b/>
          <w:kern w:val="0"/>
          <w:sz w:val="24"/>
          <w:szCs w:val="24"/>
          <w:lang w:val="zh-CN"/>
        </w:rPr>
        <w:t>产业链</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目前，公司参控股</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hint="eastAsia"/>
          <w:kern w:val="0"/>
          <w:sz w:val="24"/>
          <w:szCs w:val="24"/>
          <w:lang w:val="zh-CN"/>
        </w:rPr>
        <w:t>全球产能最大，下游配套聚酯纤维产能位列全球前列，市场占有率持续提升，市场话语权持续增强，规模优势明显；不仅如此，公司始终推进大规模装置和节能降耗技术的应用，是全球第一家应用单套</w:t>
      </w:r>
      <w:r w:rsidRPr="000A5B5D">
        <w:rPr>
          <w:rFonts w:asciiTheme="minorEastAsia" w:eastAsiaTheme="minorEastAsia" w:hAnsiTheme="minorEastAsia"/>
          <w:kern w:val="0"/>
          <w:sz w:val="24"/>
          <w:szCs w:val="24"/>
          <w:lang w:val="zh-CN"/>
        </w:rPr>
        <w:t>200</w:t>
      </w:r>
      <w:r w:rsidRPr="000A5B5D">
        <w:rPr>
          <w:rFonts w:asciiTheme="minorEastAsia" w:eastAsiaTheme="minorEastAsia" w:hAnsiTheme="minorEastAsia" w:hint="eastAsia"/>
          <w:kern w:val="0"/>
          <w:sz w:val="24"/>
          <w:szCs w:val="24"/>
          <w:lang w:val="zh-CN"/>
        </w:rPr>
        <w:t>万吨</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hint="eastAsia"/>
          <w:kern w:val="0"/>
          <w:sz w:val="24"/>
          <w:szCs w:val="24"/>
          <w:lang w:val="zh-CN"/>
        </w:rPr>
        <w:t>装置和单套</w:t>
      </w:r>
      <w:r w:rsidRPr="000A5B5D">
        <w:rPr>
          <w:rFonts w:asciiTheme="minorEastAsia" w:eastAsiaTheme="minorEastAsia" w:hAnsiTheme="minorEastAsia"/>
          <w:kern w:val="0"/>
          <w:sz w:val="24"/>
          <w:szCs w:val="24"/>
          <w:lang w:val="zh-CN"/>
        </w:rPr>
        <w:t>60</w:t>
      </w:r>
      <w:r w:rsidRPr="000A5B5D">
        <w:rPr>
          <w:rFonts w:asciiTheme="minorEastAsia" w:eastAsiaTheme="minorEastAsia" w:hAnsiTheme="minorEastAsia" w:hint="eastAsia"/>
          <w:kern w:val="0"/>
          <w:sz w:val="24"/>
          <w:szCs w:val="24"/>
          <w:lang w:val="zh-CN"/>
        </w:rPr>
        <w:t>万吨聚酯熔体装置的企业；同时，投资成本、制造成本、物流成本等在同行业的均处于最好水平，具有无可比拟的竞争优势。综合来看，公司掌控全世界最具竞争力的</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hint="eastAsia"/>
          <w:kern w:val="0"/>
          <w:sz w:val="24"/>
          <w:szCs w:val="24"/>
          <w:lang w:val="zh-CN"/>
        </w:rPr>
        <w:t>产业链，随着，国家供给侧改革的持续推进，在产业中拥有领先优势的企业将会进一步凸显其发展潜力。</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5</w:t>
      </w:r>
      <w:r w:rsidRPr="000A5B5D">
        <w:rPr>
          <w:rFonts w:asciiTheme="minorEastAsia" w:eastAsiaTheme="minorEastAsia" w:hAnsiTheme="minorEastAsia" w:hint="eastAsia"/>
          <w:b/>
          <w:kern w:val="0"/>
          <w:sz w:val="24"/>
          <w:szCs w:val="24"/>
          <w:lang w:val="zh-CN"/>
        </w:rPr>
        <w:t>、人才优势</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经过多年的努力，公司已建立全面完善的人力资源管理体系，通过有效的分权管控体系及信息化手段，实现对产业链控股企业人力资源有效的网络化管理，并为未来海外项目人力资源跨境管理奠定了基础。多年持续不断地优化形成的员工发展成长机制以及员工个性化激励政策，也帮助公司有效培养并保留了发展所需人才。</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同时，通过采取专家引进与内部人才培养并举的方式，形成一支强有力可快速移植的产业人才梯队，为公司现有产业做大做强奠定基础。此外，持续不断地内部挖潜及资源整合，也有效提升公司产业人力资源运营效率。同时，公司近年来通过多种渠道引进了众多境内外高级管理人才、金融投资人才、营销人才、技术研发骨干人才和一批石油化工工程与运营专家，形成了一支国际化、专业化、职业化管理队伍，此外，持续每年知名大学毕业生的储备及培养，已帮助公司建立起一定规模的储备人才库，为公司未来发展战略的落地提供人力资</w:t>
      </w:r>
      <w:r w:rsidRPr="000A5B5D">
        <w:rPr>
          <w:rFonts w:asciiTheme="minorEastAsia" w:eastAsiaTheme="minorEastAsia" w:hAnsiTheme="minorEastAsia" w:hint="eastAsia"/>
          <w:kern w:val="0"/>
          <w:sz w:val="24"/>
          <w:szCs w:val="24"/>
          <w:lang w:val="zh-CN"/>
        </w:rPr>
        <w:lastRenderedPageBreak/>
        <w:t>源保障。</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6</w:t>
      </w:r>
      <w:r w:rsidRPr="000A5B5D">
        <w:rPr>
          <w:rFonts w:asciiTheme="minorEastAsia" w:eastAsiaTheme="minorEastAsia" w:hAnsiTheme="minorEastAsia" w:hint="eastAsia"/>
          <w:b/>
          <w:kern w:val="0"/>
          <w:sz w:val="24"/>
          <w:szCs w:val="24"/>
          <w:lang w:val="zh-CN"/>
        </w:rPr>
        <w:t>、市场资源优势</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公司通过科学有效的客户关系管理，积累了丰富的客户市场资源。通过不断强化市场客户资源深度合作，建立准确的客户定位和客户数据库；并通过持续的以市场为导向进行产品结构调整与优化，提升了客户的满意度与品牌效应；同时，随着，近年来公司加大海外市场的销售，公司逐步形成了内外并举的销售格局，海外客户资源得到快速发展，有效增强了公司的市场竞争力。</w:t>
      </w:r>
    </w:p>
    <w:p w:rsidR="00BC4D56" w:rsidRPr="000A5B5D" w:rsidRDefault="00BC4D56" w:rsidP="00570D78">
      <w:pPr>
        <w:autoSpaceDE w:val="0"/>
        <w:autoSpaceDN w:val="0"/>
        <w:adjustRightInd w:val="0"/>
        <w:spacing w:before="0" w:after="0" w:line="360" w:lineRule="auto"/>
        <w:ind w:firstLine="482"/>
        <w:jc w:val="left"/>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7</w:t>
      </w:r>
      <w:r w:rsidRPr="000A5B5D">
        <w:rPr>
          <w:rFonts w:asciiTheme="minorEastAsia" w:eastAsiaTheme="minorEastAsia" w:hAnsiTheme="minorEastAsia" w:hint="eastAsia"/>
          <w:b/>
          <w:kern w:val="0"/>
          <w:sz w:val="24"/>
          <w:szCs w:val="24"/>
          <w:lang w:val="zh-CN"/>
        </w:rPr>
        <w:t>、信息化优势</w:t>
      </w:r>
    </w:p>
    <w:p w:rsidR="00BC4D56" w:rsidRPr="000A5B5D" w:rsidRDefault="00BC4D56" w:rsidP="00570D78">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hint="eastAsia"/>
          <w:kern w:val="0"/>
          <w:sz w:val="24"/>
          <w:szCs w:val="24"/>
          <w:lang w:val="zh-CN"/>
        </w:rPr>
        <w:t>秉承</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从实际出来，以业务主导，用适合技术，建设具有公司特色的信息化</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这一原则，信息技术已在公司内部得到广泛应用，尤其在管理信息化、业务数据化、总部智慧化建设方面取得了一定的成果。目前我们在做好传统信息化的基础上，也积极配合公司进行传统制作业的转行，努力论证尝试实施</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互联网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互联网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w:t>
      </w:r>
      <w:r w:rsidRPr="000A5B5D">
        <w:rPr>
          <w:rFonts w:asciiTheme="minorEastAsia" w:eastAsiaTheme="minorEastAsia" w:hAnsiTheme="minorEastAsia"/>
          <w:kern w:val="0"/>
          <w:sz w:val="24"/>
          <w:szCs w:val="24"/>
          <w:lang w:val="zh-CN"/>
        </w:rPr>
        <w:t xml:space="preserve"> </w:t>
      </w:r>
      <w:r w:rsidRPr="000A5B5D">
        <w:rPr>
          <w:rFonts w:asciiTheme="minorEastAsia" w:eastAsiaTheme="minorEastAsia" w:hAnsiTheme="minorEastAsia" w:hint="eastAsia"/>
          <w:kern w:val="0"/>
          <w:sz w:val="24"/>
          <w:szCs w:val="24"/>
          <w:lang w:val="zh-CN"/>
        </w:rPr>
        <w:t>是公司信息化的一个新起点、新模式，通过制定</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互联网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行动计划，重点推动电子商务、大数据、机器换人、机联网等与公司业务进行结合，来推进公司生产由</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制造</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智造</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的转型，推进公司经营模式由</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生产制造</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供应链协同</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的转型。</w:t>
      </w:r>
    </w:p>
    <w:p w:rsidR="00BC4D56" w:rsidRPr="000A5B5D" w:rsidRDefault="00BC4D56" w:rsidP="00570D78">
      <w:pPr>
        <w:autoSpaceDE w:val="0"/>
        <w:autoSpaceDN w:val="0"/>
        <w:adjustRightInd w:val="0"/>
        <w:spacing w:before="0" w:after="0" w:line="360" w:lineRule="auto"/>
        <w:jc w:val="left"/>
        <w:rPr>
          <w:rFonts w:asciiTheme="minorEastAsia" w:eastAsiaTheme="minorEastAsia" w:hAnsiTheme="minorEastAsia"/>
          <w:kern w:val="0"/>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4" w:name="_Toc449101528"/>
      <w:r w:rsidRPr="000A5B5D">
        <w:rPr>
          <w:rFonts w:hint="eastAsia"/>
          <w:bCs w:val="0"/>
          <w:szCs w:val="24"/>
        </w:rPr>
        <w:lastRenderedPageBreak/>
        <w:t>第四节</w:t>
      </w:r>
      <w:r w:rsidRPr="000A5B5D">
        <w:rPr>
          <w:bCs w:val="0"/>
          <w:szCs w:val="24"/>
        </w:rPr>
        <w:t xml:space="preserve"> </w:t>
      </w:r>
      <w:r w:rsidRPr="000A5B5D">
        <w:rPr>
          <w:rFonts w:hint="eastAsia"/>
          <w:bCs w:val="0"/>
          <w:szCs w:val="24"/>
        </w:rPr>
        <w:t>管理层讨论与分析</w:t>
      </w:r>
      <w:bookmarkEnd w:id="4"/>
    </w:p>
    <w:p w:rsidR="00BC4D56" w:rsidRPr="000A5B5D" w:rsidRDefault="00BC4D56">
      <w:pPr>
        <w:pStyle w:val="Chapter"/>
        <w:outlineLvl w:val="1"/>
        <w:rPr>
          <w:bCs w:val="0"/>
        </w:rPr>
      </w:pPr>
      <w:r w:rsidRPr="000A5B5D">
        <w:rPr>
          <w:rFonts w:hint="eastAsia"/>
          <w:bCs w:val="0"/>
        </w:rPr>
        <w:t>一、概述</w:t>
      </w:r>
    </w:p>
    <w:p w:rsidR="00BC4D56" w:rsidRPr="000A5B5D" w:rsidRDefault="00BC4D56" w:rsidP="00570D78">
      <w:pPr>
        <w:autoSpaceDE w:val="0"/>
        <w:autoSpaceDN w:val="0"/>
        <w:adjustRightInd w:val="0"/>
        <w:spacing w:before="0" w:after="0" w:line="360" w:lineRule="auto"/>
        <w:jc w:val="left"/>
        <w:rPr>
          <w:rFonts w:eastAsia="Times New Roman"/>
          <w:b/>
          <w:kern w:val="0"/>
          <w:sz w:val="24"/>
          <w:szCs w:val="24"/>
          <w:lang w:val="zh-CN"/>
        </w:rPr>
      </w:pPr>
      <w:r w:rsidRPr="000A5B5D">
        <w:rPr>
          <w:rFonts w:ascii="宋体" w:hAnsi="宋体" w:cs="宋体" w:hint="eastAsia"/>
          <w:b/>
          <w:kern w:val="0"/>
          <w:sz w:val="24"/>
          <w:szCs w:val="24"/>
          <w:lang w:val="zh-CN"/>
        </w:rPr>
        <w:t>（一）</w:t>
      </w:r>
      <w:r w:rsidR="00570D78" w:rsidRPr="000A5B5D">
        <w:rPr>
          <w:rFonts w:ascii="宋体" w:hAnsi="宋体" w:cs="宋体" w:hint="eastAsia"/>
          <w:b/>
          <w:kern w:val="0"/>
          <w:sz w:val="24"/>
          <w:szCs w:val="24"/>
          <w:lang w:val="zh-CN"/>
        </w:rPr>
        <w:t>行业及经营情况</w:t>
      </w:r>
      <w:r w:rsidRPr="000A5B5D">
        <w:rPr>
          <w:rFonts w:ascii="宋体" w:hAnsi="宋体" w:cs="宋体" w:hint="eastAsia"/>
          <w:b/>
          <w:kern w:val="0"/>
          <w:sz w:val="24"/>
          <w:szCs w:val="24"/>
          <w:lang w:val="zh-CN"/>
        </w:rPr>
        <w:t>概述</w:t>
      </w:r>
    </w:p>
    <w:p w:rsidR="00BC4D56" w:rsidRPr="000A5B5D" w:rsidRDefault="00BC4D56" w:rsidP="00570D78">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年度，国内外经济形势复杂多变，金融市场波动剧烈，市场需求依然疲软，国际油价持续下跌，这些加剧了公司经营环境的不确定性和效益的波动。欣喜的是，</w:t>
      </w:r>
      <w:r w:rsidRPr="000A5B5D">
        <w:rPr>
          <w:rFonts w:eastAsia="Times New Roman"/>
          <w:kern w:val="0"/>
          <w:sz w:val="24"/>
          <w:szCs w:val="24"/>
          <w:lang w:val="zh-CN"/>
        </w:rPr>
        <w:t>2015</w:t>
      </w:r>
      <w:r w:rsidRPr="000A5B5D">
        <w:rPr>
          <w:rFonts w:ascii="宋体" w:hAnsi="宋体" w:cs="宋体" w:hint="eastAsia"/>
          <w:kern w:val="0"/>
          <w:sz w:val="24"/>
          <w:szCs w:val="24"/>
          <w:lang w:val="zh-CN"/>
        </w:rPr>
        <w:t>年公司所处的石化化纤行业出现了积极缓慢复苏信号，产品供求关系矛盾有效趋缓，产品毛利率趋向稳定，面对行业出现的有利变化，公司紧抓市场发展机遇，创新经营思维，逆风破浪，在生产经营实现产销两旺、经营业绩扭亏为赢。</w:t>
      </w:r>
    </w:p>
    <w:p w:rsidR="00BC4D56" w:rsidRPr="000A5B5D" w:rsidRDefault="00BC4D56" w:rsidP="00570D78">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度，公司继续坚持做大、做强主业，全面巩固和提升主营业务核心竞争力，稳步实施年初制定的重点经营计划。报告期内，公司抓住有利时机，加快发展步伐，通过创新经营模式，加大技术改造，优化管理职能，进一步激发员工创造性等措施，增强了行业领先地位，牢牢巩固了核心竞争优势，为</w:t>
      </w:r>
      <w:r w:rsidRPr="000A5B5D">
        <w:rPr>
          <w:rFonts w:eastAsia="Times New Roman"/>
          <w:kern w:val="0"/>
          <w:sz w:val="24"/>
          <w:szCs w:val="24"/>
          <w:lang w:val="zh-CN"/>
        </w:rPr>
        <w:t>2016</w:t>
      </w:r>
      <w:r w:rsidRPr="000A5B5D">
        <w:rPr>
          <w:rFonts w:ascii="宋体" w:hAnsi="宋体" w:cs="宋体" w:hint="eastAsia"/>
          <w:kern w:val="0"/>
          <w:sz w:val="24"/>
          <w:szCs w:val="24"/>
          <w:lang w:val="zh-CN"/>
        </w:rPr>
        <w:t>年全面提升业绩奠定了坚实基础。</w:t>
      </w:r>
    </w:p>
    <w:p w:rsidR="00BC4D56" w:rsidRPr="000A5B5D" w:rsidRDefault="00BC4D56" w:rsidP="00570D78">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ascii="宋体" w:hAnsi="宋体" w:cs="宋体" w:hint="eastAsia"/>
          <w:kern w:val="0"/>
          <w:sz w:val="24"/>
          <w:szCs w:val="24"/>
          <w:lang w:val="zh-CN"/>
        </w:rPr>
        <w:t>报告期内，虽然受产品价格低启的影响，公司实现的营业总收入</w:t>
      </w:r>
      <w:r w:rsidRPr="000A5B5D">
        <w:rPr>
          <w:rFonts w:eastAsia="Times New Roman"/>
          <w:kern w:val="0"/>
          <w:sz w:val="24"/>
          <w:szCs w:val="24"/>
          <w:lang w:val="zh-CN"/>
        </w:rPr>
        <w:t>303.18</w:t>
      </w:r>
      <w:r w:rsidRPr="000A5B5D">
        <w:rPr>
          <w:rFonts w:ascii="宋体" w:hAnsi="宋体" w:cs="宋体" w:hint="eastAsia"/>
          <w:kern w:val="0"/>
          <w:sz w:val="24"/>
          <w:szCs w:val="24"/>
          <w:lang w:val="zh-CN"/>
        </w:rPr>
        <w:t>亿元，较上年同期增长</w:t>
      </w:r>
      <w:r w:rsidRPr="000A5B5D">
        <w:rPr>
          <w:rFonts w:eastAsia="Times New Roman"/>
          <w:kern w:val="0"/>
          <w:sz w:val="24"/>
          <w:szCs w:val="24"/>
          <w:lang w:val="zh-CN"/>
        </w:rPr>
        <w:t>8.04%</w:t>
      </w:r>
      <w:r w:rsidRPr="000A5B5D">
        <w:rPr>
          <w:rFonts w:ascii="宋体" w:hAnsi="宋体" w:cs="宋体" w:hint="eastAsia"/>
          <w:kern w:val="0"/>
          <w:sz w:val="24"/>
          <w:szCs w:val="24"/>
          <w:lang w:val="zh-CN"/>
        </w:rPr>
        <w:t>，但产品产销量快速增长，其中，</w:t>
      </w:r>
      <w:r w:rsidRPr="000A5B5D">
        <w:rPr>
          <w:rFonts w:eastAsia="Times New Roman"/>
          <w:kern w:val="0"/>
          <w:sz w:val="24"/>
          <w:szCs w:val="24"/>
          <w:lang w:val="zh-CN"/>
        </w:rPr>
        <w:t>PTA</w:t>
      </w:r>
      <w:r w:rsidRPr="000A5B5D">
        <w:rPr>
          <w:rFonts w:ascii="宋体" w:hAnsi="宋体" w:cs="宋体" w:hint="eastAsia"/>
          <w:kern w:val="0"/>
          <w:sz w:val="24"/>
          <w:szCs w:val="24"/>
          <w:lang w:val="zh-CN"/>
        </w:rPr>
        <w:t>产品产销量（控股子公司浙江逸盛）分别达</w:t>
      </w:r>
      <w:r w:rsidRPr="000A5B5D">
        <w:rPr>
          <w:rFonts w:eastAsia="Times New Roman"/>
          <w:kern w:val="0"/>
          <w:sz w:val="24"/>
          <w:szCs w:val="24"/>
          <w:lang w:val="zh-CN"/>
        </w:rPr>
        <w:t>465.88</w:t>
      </w:r>
      <w:r w:rsidRPr="000A5B5D">
        <w:rPr>
          <w:rFonts w:ascii="宋体" w:hAnsi="宋体" w:cs="宋体" w:hint="eastAsia"/>
          <w:kern w:val="0"/>
          <w:sz w:val="24"/>
          <w:szCs w:val="24"/>
          <w:lang w:val="zh-CN"/>
        </w:rPr>
        <w:t>万吨和</w:t>
      </w:r>
      <w:r w:rsidRPr="000A5B5D">
        <w:rPr>
          <w:rFonts w:eastAsia="Times New Roman"/>
          <w:kern w:val="0"/>
          <w:sz w:val="24"/>
          <w:szCs w:val="24"/>
          <w:lang w:val="zh-CN"/>
        </w:rPr>
        <w:t>468.96</w:t>
      </w:r>
      <w:r w:rsidRPr="000A5B5D">
        <w:rPr>
          <w:rFonts w:ascii="宋体" w:hAnsi="宋体" w:cs="宋体" w:hint="eastAsia"/>
          <w:kern w:val="0"/>
          <w:sz w:val="24"/>
          <w:szCs w:val="24"/>
          <w:lang w:val="zh-CN"/>
        </w:rPr>
        <w:t>万吨，同比分别增长</w:t>
      </w:r>
      <w:r w:rsidRPr="000A5B5D">
        <w:rPr>
          <w:rFonts w:eastAsia="Times New Roman"/>
          <w:kern w:val="0"/>
          <w:sz w:val="24"/>
          <w:szCs w:val="24"/>
          <w:lang w:val="zh-CN"/>
        </w:rPr>
        <w:t>34.71%</w:t>
      </w:r>
      <w:r w:rsidRPr="000A5B5D">
        <w:rPr>
          <w:rFonts w:ascii="宋体" w:hAnsi="宋体" w:cs="宋体" w:hint="eastAsia"/>
          <w:kern w:val="0"/>
          <w:sz w:val="24"/>
          <w:szCs w:val="24"/>
          <w:lang w:val="zh-CN"/>
        </w:rPr>
        <w:t>和</w:t>
      </w:r>
      <w:r w:rsidRPr="000A5B5D">
        <w:rPr>
          <w:rFonts w:eastAsia="Times New Roman"/>
          <w:kern w:val="0"/>
          <w:sz w:val="24"/>
          <w:szCs w:val="24"/>
          <w:lang w:val="zh-CN"/>
        </w:rPr>
        <w:t>37.02%</w:t>
      </w:r>
      <w:r w:rsidRPr="000A5B5D">
        <w:rPr>
          <w:rFonts w:ascii="宋体" w:hAnsi="宋体" w:cs="宋体" w:hint="eastAsia"/>
          <w:kern w:val="0"/>
          <w:sz w:val="24"/>
          <w:szCs w:val="24"/>
          <w:lang w:val="zh-CN"/>
        </w:rPr>
        <w:t>；聚酯纤维产品产销量分别为</w:t>
      </w:r>
      <w:r w:rsidRPr="000A5B5D">
        <w:rPr>
          <w:rFonts w:eastAsia="Times New Roman"/>
          <w:kern w:val="0"/>
          <w:sz w:val="24"/>
          <w:szCs w:val="24"/>
          <w:lang w:val="zh-CN"/>
        </w:rPr>
        <w:t>220.74</w:t>
      </w:r>
      <w:r w:rsidRPr="000A5B5D">
        <w:rPr>
          <w:rFonts w:ascii="宋体" w:hAnsi="宋体" w:cs="宋体" w:hint="eastAsia"/>
          <w:kern w:val="0"/>
          <w:sz w:val="24"/>
          <w:szCs w:val="24"/>
          <w:lang w:val="zh-CN"/>
        </w:rPr>
        <w:t>万吨、</w:t>
      </w:r>
      <w:r w:rsidRPr="000A5B5D">
        <w:rPr>
          <w:rFonts w:eastAsia="Times New Roman"/>
          <w:kern w:val="0"/>
          <w:sz w:val="24"/>
          <w:szCs w:val="24"/>
          <w:lang w:val="zh-CN"/>
        </w:rPr>
        <w:t>217.94</w:t>
      </w:r>
      <w:r w:rsidRPr="000A5B5D">
        <w:rPr>
          <w:rFonts w:ascii="宋体" w:hAnsi="宋体" w:cs="宋体" w:hint="eastAsia"/>
          <w:kern w:val="0"/>
          <w:sz w:val="24"/>
          <w:szCs w:val="24"/>
          <w:lang w:val="zh-CN"/>
        </w:rPr>
        <w:t>万吨，同比分别增长</w:t>
      </w:r>
      <w:r w:rsidRPr="000A5B5D">
        <w:rPr>
          <w:rFonts w:eastAsia="Times New Roman"/>
          <w:kern w:val="0"/>
          <w:sz w:val="24"/>
          <w:szCs w:val="24"/>
          <w:lang w:val="zh-CN"/>
        </w:rPr>
        <w:t>0.79%</w:t>
      </w:r>
      <w:r w:rsidRPr="000A5B5D">
        <w:rPr>
          <w:rFonts w:ascii="宋体" w:hAnsi="宋体" w:cs="宋体" w:hint="eastAsia"/>
          <w:kern w:val="0"/>
          <w:sz w:val="24"/>
          <w:szCs w:val="24"/>
          <w:lang w:val="zh-CN"/>
        </w:rPr>
        <w:t>、</w:t>
      </w:r>
      <w:r w:rsidRPr="000A5B5D">
        <w:rPr>
          <w:rFonts w:eastAsia="Times New Roman"/>
          <w:kern w:val="0"/>
          <w:sz w:val="24"/>
          <w:szCs w:val="24"/>
          <w:lang w:val="zh-CN"/>
        </w:rPr>
        <w:t>-1.24%</w:t>
      </w:r>
      <w:r w:rsidRPr="000A5B5D">
        <w:rPr>
          <w:rFonts w:ascii="宋体" w:hAnsi="宋体" w:cs="宋体" w:hint="eastAsia"/>
          <w:kern w:val="0"/>
          <w:sz w:val="24"/>
          <w:szCs w:val="24"/>
          <w:lang w:val="zh-CN"/>
        </w:rPr>
        <w:t>；己内酰胺依然保持满负荷生产，产销量同比基本持平，分别为</w:t>
      </w:r>
      <w:r w:rsidRPr="000A5B5D">
        <w:rPr>
          <w:rFonts w:eastAsia="Times New Roman"/>
          <w:kern w:val="0"/>
          <w:sz w:val="24"/>
          <w:szCs w:val="24"/>
          <w:lang w:val="zh-CN"/>
        </w:rPr>
        <w:t>22.32</w:t>
      </w:r>
      <w:r w:rsidRPr="000A5B5D">
        <w:rPr>
          <w:rFonts w:ascii="宋体" w:hAnsi="宋体" w:cs="宋体" w:hint="eastAsia"/>
          <w:kern w:val="0"/>
          <w:sz w:val="24"/>
          <w:szCs w:val="24"/>
          <w:lang w:val="zh-CN"/>
        </w:rPr>
        <w:t>万吨和</w:t>
      </w:r>
      <w:r w:rsidRPr="000A5B5D">
        <w:rPr>
          <w:rFonts w:eastAsia="Times New Roman"/>
          <w:kern w:val="0"/>
          <w:sz w:val="24"/>
          <w:szCs w:val="24"/>
          <w:lang w:val="zh-CN"/>
        </w:rPr>
        <w:t>22.37</w:t>
      </w:r>
      <w:r w:rsidRPr="000A5B5D">
        <w:rPr>
          <w:rFonts w:ascii="宋体" w:hAnsi="宋体" w:cs="宋体" w:hint="eastAsia"/>
          <w:kern w:val="0"/>
          <w:sz w:val="24"/>
          <w:szCs w:val="24"/>
          <w:lang w:val="zh-CN"/>
        </w:rPr>
        <w:t>万吨。报告期内，公司实现归属于上市公司股东的净利润</w:t>
      </w:r>
      <w:r w:rsidRPr="000A5B5D">
        <w:rPr>
          <w:rFonts w:eastAsia="Times New Roman"/>
          <w:kern w:val="0"/>
          <w:sz w:val="24"/>
          <w:szCs w:val="24"/>
          <w:lang w:val="zh-CN"/>
        </w:rPr>
        <w:t>18</w:t>
      </w:r>
      <w:r w:rsidR="00265888" w:rsidRPr="000A5B5D">
        <w:rPr>
          <w:rFonts w:eastAsiaTheme="minorEastAsia"/>
          <w:kern w:val="0"/>
          <w:sz w:val="24"/>
          <w:szCs w:val="24"/>
          <w:lang w:val="zh-CN"/>
        </w:rPr>
        <w:t>,</w:t>
      </w:r>
      <w:r w:rsidRPr="000A5B5D">
        <w:rPr>
          <w:rFonts w:eastAsia="Times New Roman"/>
          <w:kern w:val="0"/>
          <w:sz w:val="24"/>
          <w:szCs w:val="24"/>
          <w:lang w:val="zh-CN"/>
        </w:rPr>
        <w:t>460.5</w:t>
      </w:r>
      <w:r w:rsidRPr="000A5B5D">
        <w:rPr>
          <w:rFonts w:ascii="宋体" w:hAnsi="宋体" w:cs="宋体" w:hint="eastAsia"/>
          <w:kern w:val="0"/>
          <w:sz w:val="24"/>
          <w:szCs w:val="24"/>
          <w:lang w:val="zh-CN"/>
        </w:rPr>
        <w:t>万元，较去年同期大幅增长</w:t>
      </w:r>
      <w:r w:rsidRPr="000A5B5D">
        <w:rPr>
          <w:rFonts w:eastAsia="Times New Roman"/>
          <w:kern w:val="0"/>
          <w:sz w:val="24"/>
          <w:szCs w:val="24"/>
          <w:lang w:val="zh-CN"/>
        </w:rPr>
        <w:t>15</w:t>
      </w:r>
      <w:r w:rsidR="00265888" w:rsidRPr="000A5B5D">
        <w:rPr>
          <w:rFonts w:eastAsiaTheme="minorEastAsia"/>
          <w:kern w:val="0"/>
          <w:sz w:val="24"/>
          <w:szCs w:val="24"/>
          <w:lang w:val="zh-CN"/>
        </w:rPr>
        <w:t>2</w:t>
      </w:r>
      <w:r w:rsidRPr="000A5B5D">
        <w:rPr>
          <w:rFonts w:eastAsia="Times New Roman"/>
          <w:kern w:val="0"/>
          <w:sz w:val="24"/>
          <w:szCs w:val="24"/>
          <w:lang w:val="zh-CN"/>
        </w:rPr>
        <w:t>.</w:t>
      </w:r>
      <w:r w:rsidR="00265888" w:rsidRPr="000A5B5D">
        <w:rPr>
          <w:rFonts w:eastAsiaTheme="minorEastAsia"/>
          <w:kern w:val="0"/>
          <w:sz w:val="24"/>
          <w:szCs w:val="24"/>
          <w:lang w:val="zh-CN"/>
        </w:rPr>
        <w:t>34</w:t>
      </w:r>
      <w:r w:rsidRPr="000A5B5D">
        <w:rPr>
          <w:rFonts w:eastAsia="Times New Roman"/>
          <w:kern w:val="0"/>
          <w:sz w:val="24"/>
          <w:szCs w:val="24"/>
          <w:lang w:val="zh-CN"/>
        </w:rPr>
        <w:t>%</w:t>
      </w:r>
      <w:r w:rsidRPr="000A5B5D">
        <w:rPr>
          <w:rFonts w:ascii="宋体" w:hAnsi="宋体" w:cs="宋体" w:hint="eastAsia"/>
          <w:kern w:val="0"/>
          <w:sz w:val="24"/>
          <w:szCs w:val="24"/>
          <w:lang w:val="zh-CN"/>
        </w:rPr>
        <w:t>。截止</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w:t>
      </w:r>
      <w:r w:rsidRPr="000A5B5D">
        <w:rPr>
          <w:rFonts w:eastAsia="Times New Roman"/>
          <w:kern w:val="0"/>
          <w:sz w:val="24"/>
          <w:szCs w:val="24"/>
          <w:lang w:val="zh-CN"/>
        </w:rPr>
        <w:t>31</w:t>
      </w:r>
      <w:r w:rsidRPr="000A5B5D">
        <w:rPr>
          <w:rFonts w:ascii="宋体" w:hAnsi="宋体" w:cs="宋体" w:hint="eastAsia"/>
          <w:kern w:val="0"/>
          <w:sz w:val="24"/>
          <w:szCs w:val="24"/>
          <w:lang w:val="zh-CN"/>
        </w:rPr>
        <w:t>日，公司总资产</w:t>
      </w:r>
      <w:r w:rsidRPr="000A5B5D">
        <w:rPr>
          <w:rFonts w:eastAsia="Times New Roman"/>
          <w:kern w:val="0"/>
          <w:sz w:val="24"/>
          <w:szCs w:val="24"/>
          <w:lang w:val="zh-CN"/>
        </w:rPr>
        <w:t>252.0</w:t>
      </w:r>
      <w:r w:rsidR="004556E0" w:rsidRPr="000A5B5D">
        <w:rPr>
          <w:rFonts w:eastAsiaTheme="minorEastAsia"/>
          <w:kern w:val="0"/>
          <w:sz w:val="24"/>
          <w:szCs w:val="24"/>
          <w:lang w:val="zh-CN"/>
        </w:rPr>
        <w:t>9</w:t>
      </w:r>
      <w:r w:rsidRPr="000A5B5D">
        <w:rPr>
          <w:rFonts w:ascii="宋体" w:hAnsi="宋体" w:cs="宋体" w:hint="eastAsia"/>
          <w:kern w:val="0"/>
          <w:sz w:val="24"/>
          <w:szCs w:val="24"/>
          <w:lang w:val="zh-CN"/>
        </w:rPr>
        <w:t>亿元，较年初减少</w:t>
      </w:r>
      <w:r w:rsidRPr="000A5B5D">
        <w:rPr>
          <w:rFonts w:eastAsia="Times New Roman"/>
          <w:kern w:val="0"/>
          <w:sz w:val="24"/>
          <w:szCs w:val="24"/>
          <w:lang w:val="zh-CN"/>
        </w:rPr>
        <w:t>5.</w:t>
      </w:r>
      <w:r w:rsidR="001F072A" w:rsidRPr="000A5B5D">
        <w:rPr>
          <w:rFonts w:eastAsiaTheme="minorEastAsia"/>
          <w:kern w:val="0"/>
          <w:sz w:val="24"/>
          <w:szCs w:val="24"/>
          <w:lang w:val="zh-CN"/>
        </w:rPr>
        <w:t>70</w:t>
      </w:r>
      <w:r w:rsidRPr="000A5B5D">
        <w:rPr>
          <w:rFonts w:eastAsia="Times New Roman"/>
          <w:kern w:val="0"/>
          <w:sz w:val="24"/>
          <w:szCs w:val="24"/>
          <w:lang w:val="zh-CN"/>
        </w:rPr>
        <w:t>%</w:t>
      </w:r>
      <w:r w:rsidRPr="000A5B5D">
        <w:rPr>
          <w:rFonts w:ascii="宋体" w:hAnsi="宋体" w:cs="宋体" w:hint="eastAsia"/>
          <w:kern w:val="0"/>
          <w:sz w:val="24"/>
          <w:szCs w:val="24"/>
          <w:lang w:val="zh-CN"/>
        </w:rPr>
        <w:t>；归属于上市公司股东的所有者权益</w:t>
      </w:r>
      <w:r w:rsidRPr="000A5B5D">
        <w:rPr>
          <w:rFonts w:eastAsia="Times New Roman"/>
          <w:kern w:val="0"/>
          <w:sz w:val="24"/>
          <w:szCs w:val="24"/>
          <w:lang w:val="zh-CN"/>
        </w:rPr>
        <w:t>62.</w:t>
      </w:r>
      <w:r w:rsidR="001F072A" w:rsidRPr="000A5B5D">
        <w:rPr>
          <w:rFonts w:eastAsiaTheme="minorEastAsia"/>
          <w:kern w:val="0"/>
          <w:sz w:val="24"/>
          <w:szCs w:val="24"/>
          <w:lang w:val="zh-CN"/>
        </w:rPr>
        <w:t>52</w:t>
      </w:r>
      <w:r w:rsidRPr="000A5B5D">
        <w:rPr>
          <w:rFonts w:ascii="宋体" w:hAnsi="宋体" w:cs="宋体" w:hint="eastAsia"/>
          <w:kern w:val="0"/>
          <w:sz w:val="24"/>
          <w:szCs w:val="24"/>
          <w:lang w:val="zh-CN"/>
        </w:rPr>
        <w:t>亿元，归属于上市公司股东的每股净资产</w:t>
      </w:r>
      <w:r w:rsidRPr="000A5B5D">
        <w:rPr>
          <w:rFonts w:eastAsia="Times New Roman"/>
          <w:kern w:val="0"/>
          <w:sz w:val="24"/>
          <w:szCs w:val="24"/>
          <w:lang w:val="zh-CN"/>
        </w:rPr>
        <w:t>4.</w:t>
      </w:r>
      <w:r w:rsidR="001F072A" w:rsidRPr="000A5B5D">
        <w:rPr>
          <w:rFonts w:eastAsiaTheme="minorEastAsia"/>
          <w:kern w:val="0"/>
          <w:sz w:val="24"/>
          <w:szCs w:val="24"/>
          <w:lang w:val="zh-CN"/>
        </w:rPr>
        <w:t>79</w:t>
      </w:r>
      <w:r w:rsidRPr="000A5B5D">
        <w:rPr>
          <w:rFonts w:ascii="宋体" w:hAnsi="宋体" w:cs="宋体" w:hint="eastAsia"/>
          <w:kern w:val="0"/>
          <w:sz w:val="24"/>
          <w:szCs w:val="24"/>
          <w:lang w:val="zh-CN"/>
        </w:rPr>
        <w:t>元；加权平均净资产收益率</w:t>
      </w:r>
      <w:r w:rsidRPr="000A5B5D">
        <w:rPr>
          <w:rFonts w:eastAsia="Times New Roman"/>
          <w:kern w:val="0"/>
          <w:sz w:val="24"/>
          <w:szCs w:val="24"/>
          <w:lang w:val="zh-CN"/>
        </w:rPr>
        <w:t>3.</w:t>
      </w:r>
      <w:r w:rsidR="001F072A" w:rsidRPr="000A5B5D">
        <w:rPr>
          <w:rFonts w:eastAsiaTheme="minorEastAsia"/>
          <w:kern w:val="0"/>
          <w:sz w:val="24"/>
          <w:szCs w:val="24"/>
          <w:lang w:val="zh-CN"/>
        </w:rPr>
        <w:t>55</w:t>
      </w:r>
      <w:r w:rsidRPr="000A5B5D">
        <w:rPr>
          <w:rFonts w:eastAsia="Times New Roman"/>
          <w:kern w:val="0"/>
          <w:sz w:val="24"/>
          <w:szCs w:val="24"/>
          <w:lang w:val="zh-CN"/>
        </w:rPr>
        <w:t>%</w:t>
      </w:r>
      <w:r w:rsidRPr="000A5B5D">
        <w:rPr>
          <w:rFonts w:ascii="宋体" w:hAnsi="宋体" w:cs="宋体" w:hint="eastAsia"/>
          <w:kern w:val="0"/>
          <w:sz w:val="24"/>
          <w:szCs w:val="24"/>
          <w:lang w:val="zh-CN"/>
        </w:rPr>
        <w:t>。</w:t>
      </w:r>
    </w:p>
    <w:p w:rsidR="00BC4D56" w:rsidRPr="000A5B5D" w:rsidRDefault="00BC4D56" w:rsidP="00570D78">
      <w:pPr>
        <w:autoSpaceDE w:val="0"/>
        <w:autoSpaceDN w:val="0"/>
        <w:adjustRightInd w:val="0"/>
        <w:spacing w:before="0" w:after="0" w:line="360" w:lineRule="auto"/>
        <w:jc w:val="left"/>
        <w:rPr>
          <w:rFonts w:eastAsia="Times New Roman"/>
          <w:b/>
          <w:kern w:val="0"/>
          <w:sz w:val="24"/>
          <w:szCs w:val="24"/>
          <w:lang w:val="zh-CN"/>
        </w:rPr>
      </w:pPr>
      <w:r w:rsidRPr="000A5B5D">
        <w:rPr>
          <w:rFonts w:ascii="宋体" w:hAnsi="宋体" w:cs="宋体" w:hint="eastAsia"/>
          <w:b/>
          <w:kern w:val="0"/>
          <w:sz w:val="24"/>
          <w:szCs w:val="24"/>
          <w:lang w:val="zh-CN"/>
        </w:rPr>
        <w:t>（二）前期披露的经营计划在报告期内的进展</w:t>
      </w:r>
    </w:p>
    <w:p w:rsidR="00BC4D56" w:rsidRPr="000A5B5D" w:rsidRDefault="00BC4D56" w:rsidP="00570D78">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年，公司继续始终坚持做大做强石化化纤主营业务，以产业链为核心向上游延伸产业布局，持续提升产业链竞争优势。</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1</w:t>
      </w:r>
      <w:r w:rsidRPr="000A5B5D">
        <w:rPr>
          <w:rFonts w:ascii="宋体" w:hAnsi="宋体" w:cs="宋体" w:hint="eastAsia"/>
          <w:b/>
          <w:kern w:val="0"/>
          <w:sz w:val="24"/>
          <w:szCs w:val="24"/>
          <w:lang w:val="zh-CN"/>
        </w:rPr>
        <w:t>、稳步有序推进</w:t>
      </w:r>
      <w:r w:rsidRPr="000A5B5D">
        <w:rPr>
          <w:rFonts w:eastAsia="Times New Roman"/>
          <w:b/>
          <w:kern w:val="0"/>
          <w:sz w:val="24"/>
          <w:szCs w:val="24"/>
          <w:lang w:val="zh-CN"/>
        </w:rPr>
        <w:t>PMB</w:t>
      </w:r>
      <w:r w:rsidRPr="000A5B5D">
        <w:rPr>
          <w:rFonts w:ascii="宋体" w:hAnsi="宋体" w:cs="宋体" w:hint="eastAsia"/>
          <w:b/>
          <w:kern w:val="0"/>
          <w:sz w:val="24"/>
          <w:szCs w:val="24"/>
          <w:lang w:val="zh-CN"/>
        </w:rPr>
        <w:t>石油化工项目</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公司根据国际石化市场环境发生，优化工艺技术路线，新增灵活焦化、提前建设单点系泊，降低项目物流成本，进一步提高项目持续的竞争优势。并根据优化方案完成了项目可研报告的修订，增加了异构化处理，深入完善工艺流程设置，进一步优化了产品结构</w:t>
      </w:r>
      <w:r w:rsidRPr="000A5B5D">
        <w:rPr>
          <w:rFonts w:ascii="宋体" w:hAnsi="宋体" w:cs="宋体" w:hint="eastAsia"/>
          <w:kern w:val="0"/>
          <w:sz w:val="24"/>
          <w:szCs w:val="24"/>
          <w:lang w:val="zh-CN"/>
        </w:rPr>
        <w:lastRenderedPageBreak/>
        <w:t>和提高了产品规格标准。同时，公司快速推进电站及配套码头、海水淡化、单点系泊等配套设施的基础工程设计和建设。截止到</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002134F7" w:rsidRPr="000A5B5D">
        <w:rPr>
          <w:rFonts w:ascii="宋体" w:hAnsi="宋体" w:cs="宋体" w:hint="eastAsia"/>
          <w:kern w:val="0"/>
          <w:sz w:val="24"/>
          <w:szCs w:val="24"/>
          <w:lang w:val="zh-CN"/>
        </w:rPr>
        <w:t>月底，文莱项目已累计发生建设期投资额</w:t>
      </w:r>
      <w:r w:rsidR="002134F7" w:rsidRPr="000A5B5D">
        <w:rPr>
          <w:rFonts w:ascii="宋体" w:hAnsi="宋体" w:cs="宋体"/>
          <w:kern w:val="0"/>
          <w:sz w:val="24"/>
          <w:szCs w:val="24"/>
          <w:lang w:val="zh-CN"/>
        </w:rPr>
        <w:t>12,525</w:t>
      </w:r>
      <w:r w:rsidR="002134F7" w:rsidRPr="000A5B5D">
        <w:rPr>
          <w:rFonts w:ascii="宋体" w:hAnsi="宋体" w:cs="宋体" w:hint="eastAsia"/>
          <w:kern w:val="0"/>
          <w:sz w:val="24"/>
          <w:szCs w:val="24"/>
          <w:lang w:val="zh-CN"/>
        </w:rPr>
        <w:t>万美元</w:t>
      </w:r>
      <w:r w:rsidRPr="000A5B5D">
        <w:rPr>
          <w:rFonts w:ascii="宋体" w:hAnsi="宋体" w:cs="宋体" w:hint="eastAsia"/>
          <w:kern w:val="0"/>
          <w:sz w:val="24"/>
          <w:szCs w:val="24"/>
          <w:lang w:val="zh-CN"/>
        </w:rPr>
        <w:t>。</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2</w:t>
      </w:r>
      <w:r w:rsidRPr="000A5B5D">
        <w:rPr>
          <w:rFonts w:ascii="宋体" w:hAnsi="宋体" w:cs="宋体" w:hint="eastAsia"/>
          <w:b/>
          <w:kern w:val="0"/>
          <w:sz w:val="24"/>
          <w:szCs w:val="24"/>
          <w:lang w:val="zh-CN"/>
        </w:rPr>
        <w:t>、创新</w:t>
      </w:r>
      <w:r w:rsidRPr="000A5B5D">
        <w:rPr>
          <w:rFonts w:eastAsia="Times New Roman"/>
          <w:b/>
          <w:kern w:val="0"/>
          <w:sz w:val="24"/>
          <w:szCs w:val="24"/>
          <w:lang w:val="zh-CN"/>
        </w:rPr>
        <w:t>PTA</w:t>
      </w:r>
      <w:r w:rsidRPr="000A5B5D">
        <w:rPr>
          <w:rFonts w:ascii="宋体" w:hAnsi="宋体" w:cs="宋体" w:hint="eastAsia"/>
          <w:b/>
          <w:kern w:val="0"/>
          <w:sz w:val="24"/>
          <w:szCs w:val="24"/>
          <w:lang w:val="zh-CN"/>
        </w:rPr>
        <w:t>经营模式，提升持续领先的竞争优势</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年，国内</w:t>
      </w:r>
      <w:r w:rsidRPr="000A5B5D">
        <w:rPr>
          <w:rFonts w:eastAsia="Times New Roman"/>
          <w:kern w:val="0"/>
          <w:sz w:val="24"/>
          <w:szCs w:val="24"/>
          <w:lang w:val="zh-CN"/>
        </w:rPr>
        <w:t>PTA</w:t>
      </w:r>
      <w:r w:rsidRPr="000A5B5D">
        <w:rPr>
          <w:rFonts w:ascii="宋体" w:hAnsi="宋体" w:cs="宋体" w:hint="eastAsia"/>
          <w:kern w:val="0"/>
          <w:sz w:val="24"/>
          <w:szCs w:val="24"/>
          <w:lang w:val="zh-CN"/>
        </w:rPr>
        <w:t>产能淘汰力度加大，供求关系矛盾有效趋缓，公司适时推出利差交易、点价交易、远期货物交易仓单交易和交割等创新经营策略，同时按照三网均价推出现货均价结算模式。此外，进一步优化了</w:t>
      </w:r>
      <w:r w:rsidRPr="000A5B5D">
        <w:rPr>
          <w:rFonts w:eastAsia="Times New Roman"/>
          <w:kern w:val="0"/>
          <w:sz w:val="24"/>
          <w:szCs w:val="24"/>
          <w:lang w:val="zh-CN"/>
        </w:rPr>
        <w:t>PTA</w:t>
      </w:r>
      <w:r w:rsidRPr="000A5B5D">
        <w:rPr>
          <w:rFonts w:ascii="宋体" w:hAnsi="宋体" w:cs="宋体" w:hint="eastAsia"/>
          <w:kern w:val="0"/>
          <w:sz w:val="24"/>
          <w:szCs w:val="24"/>
          <w:lang w:val="zh-CN"/>
        </w:rPr>
        <w:t>产业链市场研判和信息反馈联动机制，统筹调度内部资源，科学安排检修，增加物流运输协调性，优化库存调节模式，这些举措提升了</w:t>
      </w:r>
      <w:r w:rsidRPr="000A5B5D">
        <w:rPr>
          <w:rFonts w:eastAsia="Times New Roman"/>
          <w:kern w:val="0"/>
          <w:sz w:val="24"/>
          <w:szCs w:val="24"/>
          <w:lang w:val="zh-CN"/>
        </w:rPr>
        <w:t>PTA</w:t>
      </w:r>
      <w:r w:rsidRPr="000A5B5D">
        <w:rPr>
          <w:rFonts w:ascii="宋体" w:hAnsi="宋体" w:cs="宋体" w:hint="eastAsia"/>
          <w:kern w:val="0"/>
          <w:sz w:val="24"/>
          <w:szCs w:val="24"/>
          <w:lang w:val="zh-CN"/>
        </w:rPr>
        <w:t>持续领先的比较竞争优势。</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3</w:t>
      </w:r>
      <w:r w:rsidRPr="000A5B5D">
        <w:rPr>
          <w:rFonts w:ascii="宋体" w:hAnsi="宋体" w:cs="宋体" w:hint="eastAsia"/>
          <w:b/>
          <w:kern w:val="0"/>
          <w:sz w:val="24"/>
          <w:szCs w:val="24"/>
          <w:lang w:val="zh-CN"/>
        </w:rPr>
        <w:t>、集中优势资源，降低生产成本</w:t>
      </w:r>
    </w:p>
    <w:p w:rsidR="00BC4D56" w:rsidRPr="000A5B5D" w:rsidRDefault="00BC4D56" w:rsidP="00570D78">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asciiTheme="minorEastAsia" w:eastAsiaTheme="minorEastAsia" w:hAnsiTheme="minorEastAsia" w:cs="宋体" w:hint="eastAsia"/>
          <w:kern w:val="0"/>
          <w:sz w:val="24"/>
          <w:szCs w:val="24"/>
          <w:lang w:val="zh-CN"/>
        </w:rPr>
        <w:t>公司继续以</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降成本、提效益</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为抓手，提升成本考核机制的激励力度，优化整合公用工程资源，提高尾气和水的循环利用，进一步降低能耗指标。以浙江逸盛</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产品而言，非</w:t>
      </w:r>
      <w:r w:rsidRPr="000A5B5D">
        <w:rPr>
          <w:rFonts w:asciiTheme="minorEastAsia" w:eastAsiaTheme="minorEastAsia" w:hAnsiTheme="minorEastAsia"/>
          <w:kern w:val="0"/>
          <w:sz w:val="24"/>
          <w:szCs w:val="24"/>
          <w:lang w:val="zh-CN"/>
        </w:rPr>
        <w:t>PX</w:t>
      </w:r>
      <w:r w:rsidRPr="000A5B5D">
        <w:rPr>
          <w:rFonts w:asciiTheme="minorEastAsia" w:eastAsiaTheme="minorEastAsia" w:hAnsiTheme="minorEastAsia" w:cs="宋体" w:hint="eastAsia"/>
          <w:kern w:val="0"/>
          <w:sz w:val="24"/>
          <w:szCs w:val="24"/>
          <w:lang w:val="zh-CN"/>
        </w:rPr>
        <w:t>生产成本进一步下降，明显低于行业平均水平，综合生产成本优势极具竞争力。</w:t>
      </w:r>
    </w:p>
    <w:p w:rsidR="00BC4D56" w:rsidRPr="000A5B5D" w:rsidRDefault="00BC4D56" w:rsidP="00570D78">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4</w:t>
      </w:r>
      <w:r w:rsidRPr="000A5B5D">
        <w:rPr>
          <w:rFonts w:asciiTheme="minorEastAsia" w:eastAsiaTheme="minorEastAsia" w:hAnsiTheme="minorEastAsia" w:cs="宋体" w:hint="eastAsia"/>
          <w:b/>
          <w:kern w:val="0"/>
          <w:sz w:val="24"/>
          <w:szCs w:val="24"/>
          <w:lang w:val="zh-CN"/>
        </w:rPr>
        <w:t>、探索</w:t>
      </w:r>
      <w:r w:rsidRPr="000A5B5D">
        <w:rPr>
          <w:rFonts w:asciiTheme="minorEastAsia" w:eastAsiaTheme="minorEastAsia" w:hAnsiTheme="minorEastAsia"/>
          <w:b/>
          <w:kern w:val="0"/>
          <w:sz w:val="24"/>
          <w:szCs w:val="24"/>
          <w:lang w:val="zh-CN"/>
        </w:rPr>
        <w:t>“</w:t>
      </w:r>
      <w:r w:rsidRPr="000A5B5D">
        <w:rPr>
          <w:rFonts w:asciiTheme="minorEastAsia" w:eastAsiaTheme="minorEastAsia" w:hAnsiTheme="minorEastAsia" w:cs="宋体" w:hint="eastAsia"/>
          <w:b/>
          <w:kern w:val="0"/>
          <w:sz w:val="24"/>
          <w:szCs w:val="24"/>
          <w:lang w:val="zh-CN"/>
        </w:rPr>
        <w:t>石化</w:t>
      </w:r>
      <w:r w:rsidRPr="000A5B5D">
        <w:rPr>
          <w:rFonts w:asciiTheme="minorEastAsia" w:eastAsiaTheme="minorEastAsia" w:hAnsiTheme="minorEastAsia"/>
          <w:b/>
          <w:kern w:val="0"/>
          <w:sz w:val="24"/>
          <w:szCs w:val="24"/>
          <w:lang w:val="zh-CN"/>
        </w:rPr>
        <w:t>+</w:t>
      </w:r>
      <w:r w:rsidRPr="000A5B5D">
        <w:rPr>
          <w:rFonts w:asciiTheme="minorEastAsia" w:eastAsiaTheme="minorEastAsia" w:hAnsiTheme="minorEastAsia" w:cs="宋体" w:hint="eastAsia"/>
          <w:b/>
          <w:kern w:val="0"/>
          <w:sz w:val="24"/>
          <w:szCs w:val="24"/>
          <w:lang w:val="zh-CN"/>
        </w:rPr>
        <w:t>金融</w:t>
      </w:r>
      <w:r w:rsidRPr="000A5B5D">
        <w:rPr>
          <w:rFonts w:asciiTheme="minorEastAsia" w:eastAsiaTheme="minorEastAsia" w:hAnsiTheme="minorEastAsia"/>
          <w:b/>
          <w:kern w:val="0"/>
          <w:sz w:val="24"/>
          <w:szCs w:val="24"/>
          <w:lang w:val="zh-CN"/>
        </w:rPr>
        <w:t>”</w:t>
      </w:r>
      <w:r w:rsidRPr="000A5B5D">
        <w:rPr>
          <w:rFonts w:asciiTheme="minorEastAsia" w:eastAsiaTheme="minorEastAsia" w:hAnsiTheme="minorEastAsia" w:cs="宋体" w:hint="eastAsia"/>
          <w:b/>
          <w:kern w:val="0"/>
          <w:sz w:val="24"/>
          <w:szCs w:val="24"/>
          <w:lang w:val="zh-CN"/>
        </w:rPr>
        <w:t>双轮发展格局</w:t>
      </w:r>
    </w:p>
    <w:p w:rsidR="00BC4D56" w:rsidRPr="000A5B5D" w:rsidRDefault="00BC4D56" w:rsidP="00570D78">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年，公司积极参与浙商银行的增资扩股股份认购，并受让控股股东恒逸集团对浙商银行可认购的新发行股份的选择权，公司最终累积认购金额</w:t>
      </w:r>
      <w:r w:rsidRPr="000A5B5D">
        <w:rPr>
          <w:rFonts w:asciiTheme="minorEastAsia" w:eastAsiaTheme="minorEastAsia" w:hAnsiTheme="minorEastAsia"/>
          <w:kern w:val="0"/>
          <w:sz w:val="24"/>
          <w:szCs w:val="24"/>
          <w:lang w:val="zh-CN"/>
        </w:rPr>
        <w:t>8.3</w:t>
      </w:r>
      <w:r w:rsidRPr="000A5B5D">
        <w:rPr>
          <w:rFonts w:asciiTheme="minorEastAsia" w:eastAsiaTheme="minorEastAsia" w:hAnsiTheme="minorEastAsia" w:cs="宋体" w:hint="eastAsia"/>
          <w:kern w:val="0"/>
          <w:sz w:val="24"/>
          <w:szCs w:val="24"/>
          <w:lang w:val="zh-CN"/>
        </w:rPr>
        <w:t>亿元，同时，受让控股股东恒逸集团持有的部分浙商银行</w:t>
      </w:r>
      <w:r w:rsidRPr="000A5B5D">
        <w:rPr>
          <w:rFonts w:ascii="宋体" w:hAnsi="宋体" w:cs="宋体" w:hint="eastAsia"/>
          <w:kern w:val="0"/>
          <w:sz w:val="24"/>
          <w:szCs w:val="24"/>
          <w:lang w:val="zh-CN"/>
        </w:rPr>
        <w:t>股份。截止到本报告期末，公司合计持有浙商银行股份</w:t>
      </w:r>
      <w:r w:rsidRPr="000A5B5D">
        <w:rPr>
          <w:rFonts w:eastAsia="Times New Roman"/>
          <w:kern w:val="0"/>
          <w:sz w:val="24"/>
          <w:szCs w:val="24"/>
          <w:lang w:val="zh-CN"/>
        </w:rPr>
        <w:t xml:space="preserve">748,069,283 </w:t>
      </w:r>
      <w:r w:rsidRPr="000A5B5D">
        <w:rPr>
          <w:rFonts w:ascii="宋体" w:hAnsi="宋体" w:cs="宋体" w:hint="eastAsia"/>
          <w:kern w:val="0"/>
          <w:sz w:val="24"/>
          <w:szCs w:val="24"/>
          <w:lang w:val="zh-CN"/>
        </w:rPr>
        <w:t>股，占浙商银行总</w:t>
      </w:r>
      <w:r w:rsidRPr="000A5B5D">
        <w:rPr>
          <w:rFonts w:asciiTheme="minorEastAsia" w:eastAsiaTheme="minorEastAsia" w:hAnsiTheme="minorEastAsia" w:cs="宋体" w:hint="eastAsia"/>
          <w:kern w:val="0"/>
          <w:sz w:val="24"/>
          <w:szCs w:val="24"/>
          <w:lang w:val="zh-CN"/>
        </w:rPr>
        <w:t>股本的</w:t>
      </w:r>
      <w:r w:rsidRPr="000A5B5D">
        <w:rPr>
          <w:rFonts w:asciiTheme="minorEastAsia" w:eastAsiaTheme="minorEastAsia" w:hAnsiTheme="minorEastAsia"/>
          <w:kern w:val="0"/>
          <w:sz w:val="24"/>
          <w:szCs w:val="24"/>
          <w:lang w:val="zh-CN"/>
        </w:rPr>
        <w:t>5.16%</w:t>
      </w:r>
      <w:r w:rsidRPr="000A5B5D">
        <w:rPr>
          <w:rFonts w:asciiTheme="minorEastAsia" w:eastAsiaTheme="minorEastAsia" w:hAnsiTheme="minorEastAsia" w:cs="宋体" w:hint="eastAsia"/>
          <w:kern w:val="0"/>
          <w:sz w:val="24"/>
          <w:szCs w:val="24"/>
          <w:lang w:val="zh-CN"/>
        </w:rPr>
        <w:t>。公司所持的金融股权形成相对稳定的收益，从而对公司所处行业效益有着重要的支撑作用。浙商银行成功登陆</w:t>
      </w:r>
      <w:r w:rsidRPr="000A5B5D">
        <w:rPr>
          <w:rFonts w:asciiTheme="minorEastAsia" w:eastAsiaTheme="minorEastAsia" w:hAnsiTheme="minorEastAsia"/>
          <w:kern w:val="0"/>
          <w:sz w:val="24"/>
          <w:szCs w:val="24"/>
          <w:lang w:val="zh-CN"/>
        </w:rPr>
        <w:t>H</w:t>
      </w:r>
      <w:r w:rsidRPr="000A5B5D">
        <w:rPr>
          <w:rFonts w:asciiTheme="minorEastAsia" w:eastAsiaTheme="minorEastAsia" w:hAnsiTheme="minorEastAsia" w:cs="宋体" w:hint="eastAsia"/>
          <w:kern w:val="0"/>
          <w:sz w:val="24"/>
          <w:szCs w:val="24"/>
          <w:lang w:val="zh-CN"/>
        </w:rPr>
        <w:t>股市场，将对恒逸坚持产业链一体战略和产融互动战略的有力支撑。</w:t>
      </w:r>
    </w:p>
    <w:p w:rsidR="00BC4D56" w:rsidRPr="000A5B5D" w:rsidRDefault="00BC4D56" w:rsidP="00570D78">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5</w:t>
      </w:r>
      <w:r w:rsidRPr="000A5B5D">
        <w:rPr>
          <w:rFonts w:asciiTheme="minorEastAsia" w:eastAsiaTheme="minorEastAsia" w:hAnsiTheme="minorEastAsia" w:cs="宋体" w:hint="eastAsia"/>
          <w:b/>
          <w:kern w:val="0"/>
          <w:sz w:val="24"/>
          <w:szCs w:val="24"/>
          <w:lang w:val="zh-CN"/>
        </w:rPr>
        <w:t>、利用</w:t>
      </w:r>
      <w:r w:rsidRPr="000A5B5D">
        <w:rPr>
          <w:rFonts w:asciiTheme="minorEastAsia" w:eastAsiaTheme="minorEastAsia" w:hAnsiTheme="minorEastAsia"/>
          <w:b/>
          <w:kern w:val="0"/>
          <w:sz w:val="24"/>
          <w:szCs w:val="24"/>
          <w:lang w:val="zh-CN"/>
        </w:rPr>
        <w:t>“</w:t>
      </w:r>
      <w:r w:rsidRPr="000A5B5D">
        <w:rPr>
          <w:rFonts w:asciiTheme="minorEastAsia" w:eastAsiaTheme="minorEastAsia" w:hAnsiTheme="minorEastAsia" w:cs="宋体" w:hint="eastAsia"/>
          <w:b/>
          <w:kern w:val="0"/>
          <w:sz w:val="24"/>
          <w:szCs w:val="24"/>
          <w:lang w:val="zh-CN"/>
        </w:rPr>
        <w:t>互联网</w:t>
      </w:r>
      <w:r w:rsidRPr="000A5B5D">
        <w:rPr>
          <w:rFonts w:asciiTheme="minorEastAsia" w:eastAsiaTheme="minorEastAsia" w:hAnsiTheme="minorEastAsia"/>
          <w:b/>
          <w:kern w:val="0"/>
          <w:sz w:val="24"/>
          <w:szCs w:val="24"/>
          <w:lang w:val="zh-CN"/>
        </w:rPr>
        <w:t>+</w:t>
      </w:r>
      <w:r w:rsidRPr="000A5B5D">
        <w:rPr>
          <w:rFonts w:asciiTheme="minorEastAsia" w:eastAsiaTheme="minorEastAsia" w:hAnsiTheme="minorEastAsia" w:hint="eastAsia"/>
          <w:b/>
          <w:kern w:val="0"/>
          <w:sz w:val="24"/>
          <w:szCs w:val="24"/>
          <w:lang w:val="zh-CN"/>
        </w:rPr>
        <w:t>”</w:t>
      </w:r>
      <w:r w:rsidRPr="000A5B5D">
        <w:rPr>
          <w:rFonts w:asciiTheme="minorEastAsia" w:eastAsiaTheme="minorEastAsia" w:hAnsiTheme="minorEastAsia" w:cs="宋体" w:hint="eastAsia"/>
          <w:b/>
          <w:kern w:val="0"/>
          <w:sz w:val="24"/>
          <w:szCs w:val="24"/>
          <w:lang w:val="zh-CN"/>
        </w:rPr>
        <w:t>创新生产经营模式</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asciiTheme="minorEastAsia" w:eastAsiaTheme="minorEastAsia" w:hAnsiTheme="minorEastAsia" w:cs="宋体" w:hint="eastAsia"/>
          <w:kern w:val="0"/>
          <w:sz w:val="24"/>
          <w:szCs w:val="24"/>
          <w:lang w:val="zh-CN"/>
        </w:rPr>
        <w:t>公司借用</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互联网</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hint="eastAsia"/>
          <w:kern w:val="0"/>
          <w:sz w:val="24"/>
          <w:szCs w:val="24"/>
          <w:lang w:val="zh-CN"/>
        </w:rPr>
        <w:t>”</w:t>
      </w:r>
      <w:r w:rsidRPr="000A5B5D">
        <w:rPr>
          <w:rFonts w:asciiTheme="minorEastAsia" w:eastAsiaTheme="minorEastAsia" w:hAnsiTheme="minorEastAsia" w:cs="宋体" w:hint="eastAsia"/>
          <w:kern w:val="0"/>
          <w:sz w:val="24"/>
          <w:szCs w:val="24"/>
          <w:lang w:val="zh-CN"/>
        </w:rPr>
        <w:t>思维为主营业务服务，力争通过生产、资金、物流协调服务整合下游客户资源，进而促进大数据的有效挖掘和利用。报告期内，公司通过积极整合内部资源，建立工银聚平台，推动经销商和大客户在线</w:t>
      </w:r>
      <w:r w:rsidRPr="000A5B5D">
        <w:rPr>
          <w:rFonts w:ascii="宋体" w:hAnsi="宋体" w:cs="宋体" w:hint="eastAsia"/>
          <w:kern w:val="0"/>
          <w:sz w:val="24"/>
          <w:szCs w:val="24"/>
          <w:lang w:val="zh-CN"/>
        </w:rPr>
        <w:t>上下单。</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6</w:t>
      </w:r>
      <w:r w:rsidRPr="000A5B5D">
        <w:rPr>
          <w:rFonts w:ascii="宋体" w:hAnsi="宋体" w:cs="宋体" w:hint="eastAsia"/>
          <w:b/>
          <w:kern w:val="0"/>
          <w:sz w:val="24"/>
          <w:szCs w:val="24"/>
          <w:lang w:val="zh-CN"/>
        </w:rPr>
        <w:t>、强化品质管理，提升增产增效协同效应</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公司进一步增强全员品质意识，强化责任落实，跨部门深度研究合作，建立品质提升长效机制，将品质提升融入到全员血液当中，逐步对生产系统进行改造，借此为市场提供最优质产品，牢牢树立恒逸的品牌效应。另外，公司继续拓宽高端市场开发，在产品的个性化、差异化需求的市场调研、研发方面狠下苦功，加快产品结构调整，推行产销研的密</w:t>
      </w:r>
      <w:r w:rsidRPr="000A5B5D">
        <w:rPr>
          <w:rFonts w:ascii="宋体" w:hAnsi="宋体" w:cs="宋体" w:hint="eastAsia"/>
          <w:kern w:val="0"/>
          <w:sz w:val="24"/>
          <w:szCs w:val="24"/>
          <w:lang w:val="zh-CN"/>
        </w:rPr>
        <w:lastRenderedPageBreak/>
        <w:t>切结合，增产适销对路的高附加值产品。这些举措有效提升了公司增产增效的协同效应，进一步提升了聚酯纤维产品差异化的竞争力水平。</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7</w:t>
      </w:r>
      <w:r w:rsidRPr="000A5B5D">
        <w:rPr>
          <w:rFonts w:ascii="宋体" w:hAnsi="宋体" w:cs="宋体" w:hint="eastAsia"/>
          <w:b/>
          <w:kern w:val="0"/>
          <w:sz w:val="24"/>
          <w:szCs w:val="24"/>
          <w:lang w:val="zh-CN"/>
        </w:rPr>
        <w:t>、保持海外市场销售力度，提升海外销售的贡献力度</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报告期内，公司持续加大海外销售市场的拓展力度，持续加强市场研究，吸取国内销售细化分工的成功经验，调整优化产品分类管理；进一步完善客户网络布局，突出优势区域和高效区域的开发，着力提高销售能力和销售质量；强化后续服务优势，提高了外销市场的盈利能力，保障了新兴市场的产品占有率。同时，公司加大、加快对海外销售人才的引进，实施海外销售专项奖励计划，保持海外销售对公司的贡献力度。</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年，公司聚酯纤维产品出口量为</w:t>
      </w:r>
      <w:r w:rsidRPr="000A5B5D">
        <w:rPr>
          <w:rFonts w:eastAsia="Times New Roman"/>
          <w:kern w:val="0"/>
          <w:sz w:val="24"/>
          <w:szCs w:val="24"/>
          <w:lang w:val="zh-CN"/>
        </w:rPr>
        <w:t>61.89</w:t>
      </w:r>
      <w:r w:rsidRPr="000A5B5D">
        <w:rPr>
          <w:rFonts w:ascii="宋体" w:hAnsi="宋体" w:cs="宋体" w:hint="eastAsia"/>
          <w:kern w:val="0"/>
          <w:sz w:val="24"/>
          <w:szCs w:val="24"/>
          <w:lang w:val="zh-CN"/>
        </w:rPr>
        <w:t>万吨，占公司聚酯纤维产品销售量的</w:t>
      </w:r>
      <w:r w:rsidRPr="000A5B5D">
        <w:rPr>
          <w:rFonts w:eastAsia="Times New Roman"/>
          <w:kern w:val="0"/>
          <w:sz w:val="24"/>
          <w:szCs w:val="24"/>
          <w:lang w:val="zh-CN"/>
        </w:rPr>
        <w:t>27.18%</w:t>
      </w:r>
      <w:r w:rsidRPr="000A5B5D">
        <w:rPr>
          <w:rFonts w:ascii="宋体" w:hAnsi="宋体" w:cs="宋体" w:hint="eastAsia"/>
          <w:kern w:val="0"/>
          <w:sz w:val="24"/>
          <w:szCs w:val="24"/>
          <w:lang w:val="zh-CN"/>
        </w:rPr>
        <w:t>，出口额稳居国内行业第一。</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8</w:t>
      </w:r>
      <w:r w:rsidRPr="000A5B5D">
        <w:rPr>
          <w:rFonts w:ascii="宋体" w:hAnsi="宋体" w:cs="宋体" w:hint="eastAsia"/>
          <w:b/>
          <w:kern w:val="0"/>
          <w:sz w:val="24"/>
          <w:szCs w:val="24"/>
          <w:lang w:val="zh-CN"/>
        </w:rPr>
        <w:t>、优化资本结构，增强可持续发展</w:t>
      </w:r>
    </w:p>
    <w:p w:rsidR="00BC4D56" w:rsidRPr="000A5B5D" w:rsidRDefault="00BC4D56" w:rsidP="00570D78">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报告期内，公司紧密跟踪并重点推进针对控股股东定向增发</w:t>
      </w:r>
      <w:r w:rsidRPr="000A5B5D">
        <w:rPr>
          <w:rFonts w:eastAsia="Times New Roman"/>
          <w:kern w:val="0"/>
          <w:sz w:val="24"/>
          <w:szCs w:val="24"/>
          <w:lang w:val="zh-CN"/>
        </w:rPr>
        <w:t>10</w:t>
      </w:r>
      <w:r w:rsidRPr="000A5B5D">
        <w:rPr>
          <w:rFonts w:ascii="宋体" w:hAnsi="宋体" w:cs="宋体" w:hint="eastAsia"/>
          <w:kern w:val="0"/>
          <w:sz w:val="24"/>
          <w:szCs w:val="24"/>
          <w:lang w:val="zh-CN"/>
        </w:rPr>
        <w:t>亿元的股权融资项目，</w:t>
      </w:r>
      <w:r w:rsidRPr="000A5B5D">
        <w:rPr>
          <w:rFonts w:eastAsia="Times New Roman"/>
          <w:kern w:val="0"/>
          <w:sz w:val="24"/>
          <w:szCs w:val="24"/>
          <w:lang w:val="zh-CN"/>
        </w:rPr>
        <w:t>10</w:t>
      </w:r>
      <w:r w:rsidRPr="000A5B5D">
        <w:rPr>
          <w:rFonts w:ascii="宋体" w:hAnsi="宋体" w:cs="宋体" w:hint="eastAsia"/>
          <w:kern w:val="0"/>
          <w:sz w:val="24"/>
          <w:szCs w:val="24"/>
          <w:lang w:val="zh-CN"/>
        </w:rPr>
        <w:t>月底，公司成功完成</w:t>
      </w:r>
      <w:r w:rsidRPr="000A5B5D">
        <w:rPr>
          <w:rFonts w:eastAsia="Times New Roman"/>
          <w:kern w:val="0"/>
          <w:sz w:val="24"/>
          <w:szCs w:val="24"/>
          <w:lang w:val="zh-CN"/>
        </w:rPr>
        <w:t>10</w:t>
      </w:r>
      <w:r w:rsidRPr="000A5B5D">
        <w:rPr>
          <w:rFonts w:ascii="宋体" w:hAnsi="宋体" w:cs="宋体" w:hint="eastAsia"/>
          <w:kern w:val="0"/>
          <w:sz w:val="24"/>
          <w:szCs w:val="24"/>
          <w:lang w:val="zh-CN"/>
        </w:rPr>
        <w:t>亿元定向增发。同时，公司股东会</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w:t>
      </w:r>
      <w:r w:rsidRPr="000A5B5D">
        <w:rPr>
          <w:rFonts w:eastAsia="Times New Roman"/>
          <w:kern w:val="0"/>
          <w:sz w:val="24"/>
          <w:szCs w:val="24"/>
          <w:lang w:val="zh-CN"/>
        </w:rPr>
        <w:t>4</w:t>
      </w:r>
      <w:r w:rsidRPr="000A5B5D">
        <w:rPr>
          <w:rFonts w:ascii="宋体" w:hAnsi="宋体" w:cs="宋体" w:hint="eastAsia"/>
          <w:kern w:val="0"/>
          <w:sz w:val="24"/>
          <w:szCs w:val="24"/>
          <w:lang w:val="zh-CN"/>
        </w:rPr>
        <w:t>日审议通过了《关于</w:t>
      </w:r>
      <w:r w:rsidRPr="000A5B5D">
        <w:rPr>
          <w:rFonts w:eastAsia="Times New Roman"/>
          <w:kern w:val="0"/>
          <w:sz w:val="24"/>
          <w:szCs w:val="24"/>
          <w:lang w:val="zh-CN"/>
        </w:rPr>
        <w:t>&lt;</w:t>
      </w:r>
      <w:r w:rsidRPr="000A5B5D">
        <w:rPr>
          <w:rFonts w:ascii="宋体" w:hAnsi="宋体" w:cs="宋体" w:hint="eastAsia"/>
          <w:kern w:val="0"/>
          <w:sz w:val="24"/>
          <w:szCs w:val="24"/>
          <w:lang w:val="zh-CN"/>
        </w:rPr>
        <w:t>恒逸石化股份有限公司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年度非公开发行</w:t>
      </w:r>
      <w:r w:rsidRPr="000A5B5D">
        <w:rPr>
          <w:rFonts w:eastAsia="Times New Roman"/>
          <w:kern w:val="0"/>
          <w:sz w:val="24"/>
          <w:szCs w:val="24"/>
          <w:lang w:val="zh-CN"/>
        </w:rPr>
        <w:t>A</w:t>
      </w:r>
      <w:r w:rsidRPr="000A5B5D">
        <w:rPr>
          <w:rFonts w:ascii="宋体" w:hAnsi="宋体" w:cs="宋体" w:hint="eastAsia"/>
          <w:kern w:val="0"/>
          <w:sz w:val="24"/>
          <w:szCs w:val="24"/>
          <w:lang w:val="zh-CN"/>
        </w:rPr>
        <w:t>股股票预案（修订稿）</w:t>
      </w:r>
      <w:r w:rsidRPr="000A5B5D">
        <w:rPr>
          <w:rFonts w:eastAsia="Times New Roman"/>
          <w:kern w:val="0"/>
          <w:sz w:val="24"/>
          <w:szCs w:val="24"/>
          <w:lang w:val="zh-CN"/>
        </w:rPr>
        <w:t>&gt;</w:t>
      </w:r>
      <w:r w:rsidRPr="000A5B5D">
        <w:rPr>
          <w:rFonts w:ascii="宋体" w:hAnsi="宋体" w:cs="宋体" w:hint="eastAsia"/>
          <w:kern w:val="0"/>
          <w:sz w:val="24"/>
          <w:szCs w:val="24"/>
          <w:lang w:val="zh-CN"/>
        </w:rPr>
        <w:t>的议案》等议案，拟不低于</w:t>
      </w:r>
      <w:r w:rsidRPr="000A5B5D">
        <w:rPr>
          <w:rFonts w:eastAsia="Times New Roman"/>
          <w:kern w:val="0"/>
          <w:sz w:val="24"/>
          <w:szCs w:val="24"/>
          <w:lang w:val="zh-CN"/>
        </w:rPr>
        <w:t>9.65</w:t>
      </w:r>
      <w:r w:rsidRPr="000A5B5D">
        <w:rPr>
          <w:rFonts w:ascii="宋体" w:hAnsi="宋体" w:cs="宋体" w:hint="eastAsia"/>
          <w:kern w:val="0"/>
          <w:sz w:val="24"/>
          <w:szCs w:val="24"/>
          <w:lang w:val="zh-CN"/>
        </w:rPr>
        <w:t>元</w:t>
      </w:r>
      <w:r w:rsidRPr="000A5B5D">
        <w:rPr>
          <w:rFonts w:eastAsia="Times New Roman"/>
          <w:kern w:val="0"/>
          <w:sz w:val="24"/>
          <w:szCs w:val="24"/>
          <w:lang w:val="zh-CN"/>
        </w:rPr>
        <w:t>/</w:t>
      </w:r>
      <w:r w:rsidRPr="000A5B5D">
        <w:rPr>
          <w:rFonts w:ascii="宋体" w:hAnsi="宋体" w:cs="宋体" w:hint="eastAsia"/>
          <w:kern w:val="0"/>
          <w:sz w:val="24"/>
          <w:szCs w:val="24"/>
          <w:lang w:val="zh-CN"/>
        </w:rPr>
        <w:t>股，发行不超过</w:t>
      </w:r>
      <w:r w:rsidRPr="000A5B5D">
        <w:rPr>
          <w:rFonts w:eastAsia="Times New Roman"/>
          <w:kern w:val="0"/>
          <w:sz w:val="24"/>
          <w:szCs w:val="24"/>
          <w:lang w:val="zh-CN"/>
        </w:rPr>
        <w:t>393,782,383</w:t>
      </w:r>
      <w:r w:rsidRPr="000A5B5D">
        <w:rPr>
          <w:rFonts w:ascii="宋体" w:hAnsi="宋体" w:cs="宋体" w:hint="eastAsia"/>
          <w:kern w:val="0"/>
          <w:sz w:val="24"/>
          <w:szCs w:val="24"/>
          <w:lang w:val="zh-CN"/>
        </w:rPr>
        <w:t>股，募集资金总额</w:t>
      </w:r>
      <w:r w:rsidRPr="000A5B5D">
        <w:rPr>
          <w:rFonts w:eastAsia="Times New Roman"/>
          <w:kern w:val="0"/>
          <w:sz w:val="24"/>
          <w:szCs w:val="24"/>
          <w:lang w:val="zh-CN"/>
        </w:rPr>
        <w:t>38</w:t>
      </w:r>
      <w:r w:rsidRPr="000A5B5D">
        <w:rPr>
          <w:rFonts w:ascii="宋体" w:hAnsi="宋体" w:cs="宋体" w:hint="eastAsia"/>
          <w:kern w:val="0"/>
          <w:sz w:val="24"/>
          <w:szCs w:val="24"/>
          <w:lang w:val="zh-CN"/>
        </w:rPr>
        <w:t>亿元，全部用于投资文莱</w:t>
      </w:r>
      <w:r w:rsidRPr="000A5B5D">
        <w:rPr>
          <w:rFonts w:eastAsia="Times New Roman"/>
          <w:kern w:val="0"/>
          <w:sz w:val="24"/>
          <w:szCs w:val="24"/>
          <w:lang w:val="zh-CN"/>
        </w:rPr>
        <w:t>PMB</w:t>
      </w:r>
      <w:r w:rsidRPr="000A5B5D">
        <w:rPr>
          <w:rFonts w:ascii="宋体" w:hAnsi="宋体" w:cs="宋体" w:hint="eastAsia"/>
          <w:kern w:val="0"/>
          <w:sz w:val="24"/>
          <w:szCs w:val="24"/>
          <w:lang w:val="zh-CN"/>
        </w:rPr>
        <w:t>石油化工项目。从长期来看，非公开发行的成功实施将有效促进公司健康稳定运行，持续提升所有股东利益。</w:t>
      </w:r>
    </w:p>
    <w:p w:rsidR="00BC4D56" w:rsidRPr="000A5B5D" w:rsidRDefault="00BC4D56" w:rsidP="00570D78">
      <w:pPr>
        <w:autoSpaceDE w:val="0"/>
        <w:autoSpaceDN w:val="0"/>
        <w:adjustRightInd w:val="0"/>
        <w:spacing w:before="0" w:after="0" w:line="360" w:lineRule="auto"/>
        <w:ind w:firstLine="482"/>
        <w:rPr>
          <w:rFonts w:eastAsia="Times New Roman"/>
          <w:b/>
          <w:kern w:val="0"/>
          <w:sz w:val="24"/>
          <w:szCs w:val="24"/>
          <w:lang w:val="zh-CN"/>
        </w:rPr>
      </w:pPr>
      <w:r w:rsidRPr="000A5B5D">
        <w:rPr>
          <w:rFonts w:eastAsia="Times New Roman"/>
          <w:b/>
          <w:kern w:val="0"/>
          <w:sz w:val="24"/>
          <w:szCs w:val="24"/>
          <w:lang w:val="zh-CN"/>
        </w:rPr>
        <w:t>9</w:t>
      </w:r>
      <w:r w:rsidRPr="000A5B5D">
        <w:rPr>
          <w:rFonts w:ascii="宋体" w:hAnsi="宋体" w:cs="宋体" w:hint="eastAsia"/>
          <w:b/>
          <w:kern w:val="0"/>
          <w:sz w:val="24"/>
          <w:szCs w:val="24"/>
          <w:lang w:val="zh-CN"/>
        </w:rPr>
        <w:t>、持续推进管理职能优化，激发员工工作的创造性</w:t>
      </w:r>
    </w:p>
    <w:p w:rsidR="00BC4D56" w:rsidRPr="000A5B5D" w:rsidRDefault="00BC4D56" w:rsidP="00570D78">
      <w:pPr>
        <w:autoSpaceDE w:val="0"/>
        <w:autoSpaceDN w:val="0"/>
        <w:adjustRightInd w:val="0"/>
        <w:spacing w:before="0" w:after="0" w:line="360" w:lineRule="auto"/>
        <w:ind w:firstLine="560"/>
        <w:jc w:val="left"/>
        <w:rPr>
          <w:rFonts w:eastAsia="Times New Roman"/>
          <w:kern w:val="0"/>
          <w:sz w:val="24"/>
          <w:szCs w:val="24"/>
          <w:lang w:val="zh-CN"/>
        </w:rPr>
      </w:pPr>
      <w:r w:rsidRPr="000A5B5D">
        <w:rPr>
          <w:rFonts w:eastAsia="Times New Roman"/>
          <w:kern w:val="0"/>
          <w:sz w:val="24"/>
          <w:szCs w:val="24"/>
          <w:lang w:val="zh-CN"/>
        </w:rPr>
        <w:t>2015</w:t>
      </w:r>
      <w:r w:rsidRPr="000A5B5D">
        <w:rPr>
          <w:rFonts w:ascii="宋体" w:hAnsi="宋体" w:cs="宋体" w:hint="eastAsia"/>
          <w:kern w:val="0"/>
          <w:sz w:val="24"/>
          <w:szCs w:val="24"/>
          <w:lang w:val="zh-CN"/>
        </w:rPr>
        <w:t>年度，公司持续推进公司治理和管理职能优化，持续提升公司董事会、内控体系等治理结构的有效性；同时以市场化融合为导向，持续推进浙江逸盛、恒逸有限、上海公司等生产主体和营销采购中心等职能优化。另外，公司推出第一期限制性股票激励计划，有效地激发了员工工作的创造性。</w:t>
      </w:r>
    </w:p>
    <w:p w:rsidR="00BC4D56" w:rsidRPr="000A5B5D" w:rsidRDefault="00BC4D56">
      <w:pPr>
        <w:pStyle w:val="Chapter"/>
        <w:outlineLvl w:val="1"/>
        <w:rPr>
          <w:bCs w:val="0"/>
        </w:rPr>
      </w:pPr>
      <w:r w:rsidRPr="000A5B5D">
        <w:rPr>
          <w:rFonts w:hint="eastAsia"/>
          <w:bCs w:val="0"/>
        </w:rPr>
        <w:t>二、主营业务分析</w:t>
      </w:r>
    </w:p>
    <w:p w:rsidR="00BC4D56" w:rsidRPr="000A5B5D" w:rsidRDefault="00BC4D56" w:rsidP="0082037F">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、概述</w:t>
      </w:r>
    </w:p>
    <w:p w:rsidR="00BC4D56" w:rsidRPr="000A5B5D" w:rsidRDefault="00BC4D56" w:rsidP="0082037F">
      <w:pPr>
        <w:spacing w:line="360" w:lineRule="auto"/>
        <w:jc w:val="left"/>
        <w:rPr>
          <w:sz w:val="24"/>
          <w:szCs w:val="24"/>
        </w:rPr>
      </w:pPr>
      <w:r w:rsidRPr="000A5B5D">
        <w:rPr>
          <w:rFonts w:hint="eastAsia"/>
          <w:sz w:val="24"/>
          <w:szCs w:val="24"/>
        </w:rPr>
        <w:t>参见</w:t>
      </w:r>
      <w:r w:rsidRPr="000A5B5D">
        <w:rPr>
          <w:sz w:val="24"/>
          <w:szCs w:val="24"/>
        </w:rPr>
        <w:t>“</w:t>
      </w:r>
      <w:r w:rsidRPr="000A5B5D">
        <w:rPr>
          <w:rFonts w:hint="eastAsia"/>
          <w:sz w:val="24"/>
          <w:szCs w:val="24"/>
        </w:rPr>
        <w:t>管理层讨论与分析</w:t>
      </w:r>
      <w:r w:rsidRPr="000A5B5D">
        <w:rPr>
          <w:sz w:val="24"/>
          <w:szCs w:val="24"/>
        </w:rPr>
        <w:t>”</w:t>
      </w:r>
      <w:r w:rsidRPr="000A5B5D">
        <w:rPr>
          <w:rFonts w:hint="eastAsia"/>
          <w:sz w:val="24"/>
          <w:szCs w:val="24"/>
        </w:rPr>
        <w:t>中的</w:t>
      </w:r>
      <w:r w:rsidRPr="000A5B5D">
        <w:rPr>
          <w:sz w:val="24"/>
          <w:szCs w:val="24"/>
        </w:rPr>
        <w:t>“</w:t>
      </w:r>
      <w:r w:rsidRPr="000A5B5D">
        <w:rPr>
          <w:rFonts w:hint="eastAsia"/>
          <w:sz w:val="24"/>
          <w:szCs w:val="24"/>
        </w:rPr>
        <w:t>一、概述</w:t>
      </w:r>
      <w:r w:rsidRPr="000A5B5D">
        <w:rPr>
          <w:sz w:val="24"/>
          <w:szCs w:val="24"/>
        </w:rPr>
        <w:t>”</w:t>
      </w:r>
      <w:r w:rsidRPr="000A5B5D">
        <w:rPr>
          <w:rFonts w:hint="eastAsia"/>
          <w:sz w:val="24"/>
          <w:szCs w:val="24"/>
        </w:rPr>
        <w:t>相关内容。</w:t>
      </w:r>
    </w:p>
    <w:p w:rsidR="00BC4D56" w:rsidRPr="000A5B5D" w:rsidRDefault="00BC4D56" w:rsidP="0082037F">
      <w:pPr>
        <w:pStyle w:val="Section"/>
        <w:spacing w:line="360" w:lineRule="auto"/>
        <w:outlineLvl w:val="2"/>
        <w:rPr>
          <w:rFonts w:asciiTheme="minorEastAsia" w:eastAsiaTheme="minorEastAsia" w:hAnsiTheme="minorEastAsia"/>
          <w:bCs w:val="0"/>
          <w:sz w:val="24"/>
          <w:szCs w:val="24"/>
        </w:rPr>
      </w:pPr>
      <w:r w:rsidRPr="000A5B5D">
        <w:rPr>
          <w:rFonts w:asciiTheme="minorEastAsia" w:eastAsiaTheme="minorEastAsia" w:hAnsiTheme="minorEastAsia"/>
          <w:bCs w:val="0"/>
          <w:sz w:val="24"/>
          <w:szCs w:val="24"/>
        </w:rPr>
        <w:lastRenderedPageBreak/>
        <w:t>2</w:t>
      </w:r>
      <w:r w:rsidRPr="000A5B5D">
        <w:rPr>
          <w:rFonts w:asciiTheme="minorEastAsia" w:eastAsiaTheme="minorEastAsia" w:hAnsiTheme="minorEastAsia" w:hint="eastAsia"/>
          <w:bCs w:val="0"/>
          <w:sz w:val="24"/>
          <w:szCs w:val="24"/>
        </w:rPr>
        <w:t>、收入与成本</w:t>
      </w:r>
    </w:p>
    <w:p w:rsidR="00BC4D56" w:rsidRPr="000A5B5D" w:rsidRDefault="00BC4D56" w:rsidP="0082037F">
      <w:pPr>
        <w:pStyle w:val="Section"/>
        <w:spacing w:line="360" w:lineRule="auto"/>
        <w:outlineLvl w:val="3"/>
        <w:rPr>
          <w:rFonts w:asciiTheme="minorEastAsia" w:eastAsiaTheme="minorEastAsia" w:hAnsiTheme="minorEastAsia"/>
          <w:bCs w:val="0"/>
          <w:sz w:val="24"/>
          <w:szCs w:val="24"/>
        </w:rPr>
      </w:pPr>
      <w:r w:rsidRPr="000A5B5D">
        <w:rPr>
          <w:rFonts w:asciiTheme="minorEastAsia" w:eastAsiaTheme="minorEastAsia" w:hAnsiTheme="minorEastAsia" w:hint="eastAsia"/>
          <w:bCs w:val="0"/>
          <w:sz w:val="24"/>
          <w:szCs w:val="24"/>
        </w:rPr>
        <w:t>（</w:t>
      </w:r>
      <w:r w:rsidRPr="000A5B5D">
        <w:rPr>
          <w:rFonts w:asciiTheme="minorEastAsia" w:eastAsiaTheme="minorEastAsia" w:hAnsiTheme="minorEastAsia"/>
          <w:bCs w:val="0"/>
          <w:sz w:val="24"/>
          <w:szCs w:val="24"/>
        </w:rPr>
        <w:t>1</w:t>
      </w:r>
      <w:r w:rsidRPr="000A5B5D">
        <w:rPr>
          <w:rFonts w:asciiTheme="minorEastAsia" w:eastAsiaTheme="minorEastAsia" w:hAnsiTheme="minorEastAsia" w:hint="eastAsia"/>
          <w:bCs w:val="0"/>
          <w:sz w:val="24"/>
          <w:szCs w:val="24"/>
        </w:rPr>
        <w:t>）营业收入构成</w:t>
      </w:r>
    </w:p>
    <w:p w:rsidR="00BC4D56" w:rsidRPr="000A5B5D" w:rsidRDefault="00BC4D56" w:rsidP="0082037F">
      <w:pPr>
        <w:wordWrap w:val="0"/>
        <w:spacing w:line="360" w:lineRule="auto"/>
        <w:jc w:val="righ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单位：元</w:t>
      </w:r>
      <w:r w:rsidR="0082037F" w:rsidRPr="000A5B5D">
        <w:rPr>
          <w:rFonts w:asciiTheme="minorEastAsia" w:eastAsiaTheme="minorEastAsia" w:hAnsiTheme="minorEastAsia"/>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596"/>
        <w:gridCol w:w="1594"/>
        <w:gridCol w:w="1594"/>
        <w:gridCol w:w="1594"/>
        <w:gridCol w:w="1594"/>
        <w:gridCol w:w="1594"/>
      </w:tblGrid>
      <w:tr w:rsidR="00BC4D56" w:rsidRPr="000A5B5D">
        <w:tc>
          <w:tcPr>
            <w:tcW w:w="15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2015</w:t>
            </w:r>
            <w:r w:rsidRPr="000A5B5D">
              <w:rPr>
                <w:rFonts w:hint="eastAsia"/>
                <w:szCs w:val="24"/>
              </w:rPr>
              <w:t>年</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2014</w:t>
            </w:r>
            <w:r w:rsidRPr="000A5B5D">
              <w:rPr>
                <w:rFonts w:hint="eastAsia"/>
                <w:szCs w:val="24"/>
              </w:rPr>
              <w:t>年</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同比增减</w:t>
            </w:r>
          </w:p>
        </w:tc>
      </w:tr>
      <w:tr w:rsidR="00BC4D56" w:rsidRPr="000A5B5D">
        <w:tc>
          <w:tcPr>
            <w:tcW w:w="159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占营业收入比重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占营业收入比重</w:t>
            </w:r>
          </w:p>
        </w:tc>
        <w:tc>
          <w:tcPr>
            <w:tcW w:w="1594"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r>
      <w:tr w:rsidR="00BC4D56" w:rsidRPr="000A5B5D">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7AAB">
            <w:pPr>
              <w:jc w:val="center"/>
              <w:rPr>
                <w:szCs w:val="24"/>
              </w:rPr>
            </w:pPr>
            <w:r w:rsidRPr="000A5B5D">
              <w:rPr>
                <w:rFonts w:hint="eastAsia"/>
                <w:szCs w:val="24"/>
              </w:rPr>
              <w:t>营业收入合计</w:t>
            </w:r>
          </w:p>
        </w:tc>
        <w:tc>
          <w:tcPr>
            <w:tcW w:w="1594"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57AAB">
            <w:pPr>
              <w:jc w:val="center"/>
              <w:rPr>
                <w:szCs w:val="24"/>
              </w:rPr>
            </w:pPr>
            <w:r w:rsidRPr="000A5B5D">
              <w:rPr>
                <w:szCs w:val="24"/>
              </w:rPr>
              <w:t>30,317,706,675.17</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7AAB">
            <w:pPr>
              <w:jc w:val="center"/>
              <w:rPr>
                <w:szCs w:val="24"/>
              </w:rPr>
            </w:pPr>
            <w:r w:rsidRPr="000A5B5D">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57AAB">
            <w:pPr>
              <w:jc w:val="center"/>
              <w:rPr>
                <w:szCs w:val="24"/>
              </w:rPr>
            </w:pPr>
            <w:r w:rsidRPr="000A5B5D">
              <w:rPr>
                <w:szCs w:val="24"/>
              </w:rPr>
              <w:t>28,062,542,927.07</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57AAB">
            <w:pPr>
              <w:jc w:val="center"/>
              <w:rPr>
                <w:szCs w:val="24"/>
              </w:rPr>
            </w:pPr>
            <w:r w:rsidRPr="000A5B5D">
              <w:rPr>
                <w:szCs w:val="24"/>
              </w:rPr>
              <w:t>100%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57AAB">
            <w:pPr>
              <w:jc w:val="center"/>
              <w:rPr>
                <w:szCs w:val="24"/>
              </w:rPr>
            </w:pPr>
            <w:r w:rsidRPr="000A5B5D">
              <w:rPr>
                <w:szCs w:val="24"/>
              </w:rPr>
              <w:t>8.04%</w:t>
            </w:r>
          </w:p>
        </w:tc>
      </w:tr>
      <w:tr w:rsidR="00BC4D56" w:rsidRPr="000A5B5D">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分行业</w:t>
            </w:r>
          </w:p>
        </w:tc>
      </w:tr>
      <w:tr w:rsidR="004B55C7" w:rsidRPr="000A5B5D" w:rsidTr="00EF60A3">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4B55C7" w:rsidRPr="000A5B5D" w:rsidRDefault="004B55C7" w:rsidP="00564219">
            <w:pPr>
              <w:jc w:val="left"/>
              <w:rPr>
                <w:szCs w:val="24"/>
              </w:rPr>
            </w:pPr>
            <w:bookmarkStart w:id="5" w:name="_GoBack" w:colFirst="0" w:colLast="0"/>
            <w:r w:rsidRPr="000A5B5D">
              <w:rPr>
                <w:szCs w:val="24"/>
              </w:rPr>
              <w:t>PTA</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13,601,246,396.77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44.86%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9,937,782,631.47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35.41%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36.86%</w:t>
            </w:r>
          </w:p>
        </w:tc>
      </w:tr>
      <w:tr w:rsidR="004B55C7" w:rsidRPr="000A5B5D" w:rsidTr="00EF60A3">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4B55C7" w:rsidRPr="000A5B5D" w:rsidRDefault="004B55C7" w:rsidP="00564219">
            <w:pPr>
              <w:jc w:val="left"/>
              <w:rPr>
                <w:szCs w:val="24"/>
              </w:rPr>
            </w:pPr>
            <w:r w:rsidRPr="000A5B5D">
              <w:rPr>
                <w:rFonts w:hint="eastAsia"/>
                <w:szCs w:val="24"/>
              </w:rPr>
              <w:t>聚酯</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12,120,993,436.45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39.98%</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15,672,637,043.94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55.85%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-22.66%</w:t>
            </w:r>
          </w:p>
        </w:tc>
      </w:tr>
      <w:tr w:rsidR="004B55C7" w:rsidRPr="000A5B5D" w:rsidTr="00EF60A3">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4B55C7" w:rsidRPr="000A5B5D" w:rsidRDefault="004B55C7" w:rsidP="00564219">
            <w:pPr>
              <w:jc w:val="left"/>
              <w:rPr>
                <w:szCs w:val="24"/>
              </w:rPr>
            </w:pPr>
            <w:r w:rsidRPr="000A5B5D">
              <w:rPr>
                <w:rFonts w:hint="eastAsia"/>
                <w:szCs w:val="24"/>
              </w:rPr>
              <w:t>其他</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4,595,466,841.95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15.16%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2,452,123,251.66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8.74%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4B55C7" w:rsidRPr="000A5B5D" w:rsidRDefault="004B55C7" w:rsidP="004B55C7">
            <w:pPr>
              <w:jc w:val="center"/>
            </w:pPr>
            <w:r w:rsidRPr="000A5B5D">
              <w:t>87.41%</w:t>
            </w:r>
          </w:p>
        </w:tc>
      </w:tr>
      <w:bookmarkEnd w:id="5"/>
      <w:tr w:rsidR="00BC4D56" w:rsidRPr="000A5B5D">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分产品</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(1)</w:t>
            </w:r>
            <w:r w:rsidRPr="000A5B5D">
              <w:rPr>
                <w:rFonts w:hint="eastAsia"/>
              </w:rPr>
              <w:t>精对苯二甲酸（</w:t>
            </w:r>
            <w:r w:rsidRPr="000A5B5D">
              <w:rPr>
                <w:rFonts w:hint="eastAsia"/>
              </w:rPr>
              <w:t>PTA</w:t>
            </w:r>
            <w:r w:rsidRPr="000A5B5D">
              <w:rPr>
                <w:rFonts w:hint="eastAsia"/>
              </w:rPr>
              <w:t>）</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13,601,246,396.77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44.86%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9,937,782,631.47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35.41%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36.86%</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(2)</w:t>
            </w:r>
            <w:r w:rsidRPr="000A5B5D">
              <w:rPr>
                <w:rFonts w:hint="eastAsia"/>
              </w:rPr>
              <w:t>切片</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2,159,234,435.53</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7.12%</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3,147,715,538.37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11.22%</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-31.40%</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(3)</w:t>
            </w:r>
            <w:r w:rsidRPr="000A5B5D">
              <w:rPr>
                <w:rFonts w:hint="eastAsia"/>
              </w:rPr>
              <w:t>涤纶预取向丝（</w:t>
            </w:r>
            <w:r w:rsidRPr="000A5B5D">
              <w:rPr>
                <w:rFonts w:hint="eastAsia"/>
              </w:rPr>
              <w:t>POY</w:t>
            </w:r>
            <w:r w:rsidRPr="000A5B5D">
              <w:rPr>
                <w:rFonts w:hint="eastAsia"/>
              </w:rPr>
              <w:t>丝）</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3,344,056,054.65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11.03%</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3,683,383,860.84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13.13%</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-9.21%</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(4)</w:t>
            </w:r>
            <w:r w:rsidRPr="000A5B5D">
              <w:rPr>
                <w:rFonts w:hint="eastAsia"/>
              </w:rPr>
              <w:t>涤纶牵伸丝（</w:t>
            </w:r>
            <w:r w:rsidRPr="000A5B5D">
              <w:rPr>
                <w:rFonts w:hint="eastAsia"/>
              </w:rPr>
              <w:t>FDY</w:t>
            </w:r>
            <w:r w:rsidRPr="000A5B5D">
              <w:rPr>
                <w:rFonts w:hint="eastAsia"/>
              </w:rPr>
              <w:t>丝）</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2,859,508,059.49</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9.43%</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3,418,632,407.35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12.18%</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-16.36%</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(5)</w:t>
            </w:r>
            <w:r w:rsidRPr="000A5B5D">
              <w:rPr>
                <w:rFonts w:hint="eastAsia"/>
              </w:rPr>
              <w:t>短纤</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760,742,583.61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2.51%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973,413,149.52</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3.47%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-21.85%</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t>(6)DTY</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t>2,205,306,147.06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t>7.27%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t>2,698,992,011.99</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t>9.62%</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t>-18.29%</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(7)</w:t>
            </w:r>
            <w:r w:rsidRPr="000A5B5D">
              <w:rPr>
                <w:rFonts w:hint="eastAsia"/>
              </w:rPr>
              <w:t>瓶片</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792,146,156.11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2.61%</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1,750,500,075.87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6.24%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-54.75%</w:t>
            </w:r>
          </w:p>
        </w:tc>
      </w:tr>
      <w:tr w:rsidR="00E63374" w:rsidRPr="000A5B5D" w:rsidTr="006B1E46">
        <w:tc>
          <w:tcPr>
            <w:tcW w:w="1596"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left"/>
            </w:pPr>
            <w:r w:rsidRPr="000A5B5D">
              <w:rPr>
                <w:rFonts w:hint="eastAsia"/>
              </w:rPr>
              <w:t>(8)</w:t>
            </w:r>
            <w:r w:rsidRPr="000A5B5D">
              <w:rPr>
                <w:rFonts w:hint="eastAsia"/>
              </w:rPr>
              <w:t>其他</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4,595,466,841.95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15.16%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2,452,123,251.66</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8.74%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E63374" w:rsidRPr="000A5B5D" w:rsidRDefault="00E63374" w:rsidP="00E63374">
            <w:pPr>
              <w:jc w:val="center"/>
            </w:pPr>
            <w:r w:rsidRPr="000A5B5D">
              <w:rPr>
                <w:rFonts w:hint="eastAsia"/>
              </w:rPr>
              <w:t>87.41%</w:t>
            </w:r>
          </w:p>
        </w:tc>
      </w:tr>
      <w:tr w:rsidR="00BC4D56" w:rsidRPr="000A5B5D">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分地区</w:t>
            </w:r>
          </w:p>
        </w:tc>
      </w:tr>
      <w:tr w:rsidR="00AC4993" w:rsidRPr="000A5B5D" w:rsidTr="008554C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AC4993" w:rsidRPr="000A5B5D" w:rsidRDefault="00AC4993" w:rsidP="00162CC6">
            <w:pPr>
              <w:jc w:val="left"/>
              <w:rPr>
                <w:szCs w:val="24"/>
              </w:rPr>
            </w:pPr>
            <w:r w:rsidRPr="000A5B5D">
              <w:rPr>
                <w:rFonts w:hint="eastAsia"/>
                <w:szCs w:val="24"/>
              </w:rPr>
              <w:t>国内</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26,391,881,853.60</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87.05%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23,539,732,218.34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83.88%</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12.12%</w:t>
            </w:r>
          </w:p>
        </w:tc>
      </w:tr>
      <w:tr w:rsidR="00AC4993" w:rsidRPr="000A5B5D" w:rsidTr="008554C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AC4993" w:rsidRPr="000A5B5D" w:rsidRDefault="00AC4993" w:rsidP="00162CC6">
            <w:pPr>
              <w:jc w:val="left"/>
              <w:rPr>
                <w:szCs w:val="24"/>
              </w:rPr>
            </w:pPr>
            <w:r w:rsidRPr="000A5B5D">
              <w:rPr>
                <w:rFonts w:hint="eastAsia"/>
                <w:szCs w:val="24"/>
              </w:rPr>
              <w:t>国外</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3,925,824,821.57</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12.95%</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4,522,810,708.73</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16.12%</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AC4993" w:rsidRPr="000A5B5D" w:rsidRDefault="00AC4993" w:rsidP="00AC4993">
            <w:pPr>
              <w:jc w:val="center"/>
            </w:pPr>
            <w:r w:rsidRPr="000A5B5D">
              <w:t>-13.20%</w:t>
            </w:r>
          </w:p>
        </w:tc>
      </w:tr>
    </w:tbl>
    <w:p w:rsidR="00BC4D56" w:rsidRPr="000A5B5D" w:rsidRDefault="00BC4D56" w:rsidP="00B83344">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）占公司营业收入或营业利润</w:t>
      </w:r>
      <w:r w:rsidRPr="000A5B5D">
        <w:rPr>
          <w:bCs w:val="0"/>
          <w:sz w:val="24"/>
          <w:szCs w:val="24"/>
        </w:rPr>
        <w:t>10%</w:t>
      </w:r>
      <w:r w:rsidRPr="000A5B5D">
        <w:rPr>
          <w:rFonts w:hint="eastAsia"/>
          <w:bCs w:val="0"/>
          <w:sz w:val="24"/>
          <w:szCs w:val="24"/>
        </w:rPr>
        <w:t>以上的行业、产品或地区情况</w:t>
      </w:r>
    </w:p>
    <w:p w:rsidR="00BC4D56" w:rsidRPr="000A5B5D" w:rsidRDefault="00BC4D56" w:rsidP="00B83344">
      <w:pPr>
        <w:wordWrap w:val="0"/>
        <w:spacing w:line="360" w:lineRule="auto"/>
        <w:jc w:val="right"/>
        <w:rPr>
          <w:sz w:val="24"/>
          <w:szCs w:val="24"/>
        </w:rPr>
      </w:pPr>
      <w:r w:rsidRPr="000A5B5D">
        <w:rPr>
          <w:rFonts w:hint="eastAsia"/>
          <w:sz w:val="24"/>
          <w:szCs w:val="24"/>
        </w:rPr>
        <w:t>单位：元</w:t>
      </w:r>
      <w:r w:rsidR="00B83344"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2127"/>
        <w:gridCol w:w="1417"/>
        <w:gridCol w:w="1418"/>
        <w:gridCol w:w="850"/>
        <w:gridCol w:w="1276"/>
        <w:gridCol w:w="1276"/>
        <w:gridCol w:w="1207"/>
      </w:tblGrid>
      <w:tr w:rsidR="00BC4D56" w:rsidRPr="000A5B5D" w:rsidTr="00141899">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营业收入</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营业成本</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毛利率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营业收入比上年同期增减</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营业成本比上年同期增减</w:t>
            </w:r>
          </w:p>
        </w:tc>
        <w:tc>
          <w:tcPr>
            <w:tcW w:w="120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毛利率比上年同期增减</w:t>
            </w:r>
          </w:p>
        </w:tc>
      </w:tr>
      <w:tr w:rsidR="00BC4D56" w:rsidRPr="000A5B5D">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分行业</w:t>
            </w:r>
          </w:p>
        </w:tc>
      </w:tr>
      <w:tr w:rsidR="0062571E" w:rsidRPr="000A5B5D" w:rsidTr="0035043F">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62571E" w:rsidRPr="000A5B5D" w:rsidRDefault="0062571E" w:rsidP="0062571E">
            <w:pPr>
              <w:jc w:val="left"/>
              <w:rPr>
                <w:szCs w:val="24"/>
              </w:rPr>
            </w:pPr>
            <w:r w:rsidRPr="000A5B5D">
              <w:rPr>
                <w:szCs w:val="24"/>
              </w:rPr>
              <w:t xml:space="preserve">PTA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2571E" w:rsidRPr="000A5B5D" w:rsidRDefault="0062571E" w:rsidP="0062571E">
            <w:pPr>
              <w:jc w:val="center"/>
            </w:pPr>
            <w:r w:rsidRPr="000A5B5D">
              <w:t>13,601,246,396.77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2571E" w:rsidRPr="000A5B5D" w:rsidRDefault="0062571E" w:rsidP="0062571E">
            <w:pPr>
              <w:jc w:val="center"/>
            </w:pPr>
            <w:r w:rsidRPr="000A5B5D">
              <w:t>12,849,483,221.08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2571E" w:rsidRPr="000A5B5D" w:rsidRDefault="0062571E" w:rsidP="0062571E">
            <w:pPr>
              <w:jc w:val="center"/>
            </w:pPr>
            <w:r w:rsidRPr="000A5B5D">
              <w:t>5.53%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2571E" w:rsidRPr="000A5B5D" w:rsidRDefault="0062571E" w:rsidP="0062571E">
            <w:pPr>
              <w:jc w:val="center"/>
            </w:pPr>
            <w:r w:rsidRPr="000A5B5D">
              <w:t>36.86%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33.83%</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63.04%</w:t>
            </w:r>
          </w:p>
        </w:tc>
      </w:tr>
      <w:tr w:rsidR="00102433" w:rsidRPr="000A5B5D" w:rsidTr="00E46940">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r w:rsidRPr="008005AB">
              <w:rPr>
                <w:rFonts w:hint="eastAsia"/>
              </w:rPr>
              <w:lastRenderedPageBreak/>
              <w:t>聚酯</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12,120,993,436.45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11,529,329,446.20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4.88%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-22.66%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-22.11%</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-12.21%</w:t>
            </w:r>
          </w:p>
        </w:tc>
      </w:tr>
      <w:tr w:rsidR="00102433" w:rsidRPr="000A5B5D" w:rsidTr="00E32AC0">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r w:rsidRPr="008005AB">
              <w:rPr>
                <w:rFonts w:hint="eastAsia"/>
              </w:rPr>
              <w:t>其他</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4,595,466,841.95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4,616,970,940.34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-0.47%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87.41%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8005AB" w:rsidRDefault="00102433" w:rsidP="00102433">
            <w:pPr>
              <w:jc w:val="center"/>
            </w:pPr>
            <w:r w:rsidRPr="008005AB">
              <w:rPr>
                <w:rFonts w:hint="eastAsia"/>
              </w:rPr>
              <w:t>84.52%</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Default="00102433" w:rsidP="00102433">
            <w:pPr>
              <w:jc w:val="center"/>
            </w:pPr>
            <w:r w:rsidRPr="008005AB">
              <w:rPr>
                <w:rFonts w:hint="eastAsia"/>
              </w:rPr>
              <w:t>77.09%</w:t>
            </w:r>
          </w:p>
        </w:tc>
      </w:tr>
      <w:tr w:rsidR="00BC4D56" w:rsidRPr="000A5B5D">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分产品</w:t>
            </w:r>
          </w:p>
        </w:tc>
      </w:tr>
      <w:tr w:rsidR="0062571E" w:rsidRPr="000A5B5D" w:rsidTr="00E1549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2571E" w:rsidRPr="000A5B5D" w:rsidRDefault="0062571E" w:rsidP="0062571E">
            <w:pPr>
              <w:jc w:val="left"/>
              <w:rPr>
                <w:szCs w:val="24"/>
              </w:rPr>
            </w:pPr>
            <w:r w:rsidRPr="000A5B5D">
              <w:rPr>
                <w:szCs w:val="24"/>
              </w:rPr>
              <w:t>(1)</w:t>
            </w:r>
            <w:r w:rsidRPr="000A5B5D">
              <w:rPr>
                <w:rFonts w:hint="eastAsia"/>
                <w:szCs w:val="24"/>
              </w:rPr>
              <w:t>精对苯二甲酸（</w:t>
            </w:r>
            <w:r w:rsidRPr="000A5B5D">
              <w:rPr>
                <w:szCs w:val="24"/>
              </w:rPr>
              <w:t>PTA</w:t>
            </w:r>
            <w:r w:rsidRPr="000A5B5D">
              <w:rPr>
                <w:rFonts w:hint="eastAsia"/>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13,601,246,396.77</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12,849,483,221.08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5.53%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36.86%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33.83%</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63.04%</w:t>
            </w:r>
          </w:p>
        </w:tc>
      </w:tr>
      <w:tr w:rsidR="0062571E" w:rsidRPr="000A5B5D" w:rsidTr="00E1549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2571E" w:rsidRPr="000A5B5D" w:rsidRDefault="0062571E" w:rsidP="0062571E">
            <w:pPr>
              <w:jc w:val="left"/>
              <w:rPr>
                <w:szCs w:val="24"/>
              </w:rPr>
            </w:pPr>
            <w:r w:rsidRPr="000A5B5D">
              <w:rPr>
                <w:szCs w:val="24"/>
              </w:rPr>
              <w:t>(2)</w:t>
            </w:r>
            <w:r w:rsidRPr="000A5B5D">
              <w:rPr>
                <w:rFonts w:hint="eastAsia"/>
                <w:szCs w:val="24"/>
              </w:rPr>
              <w:t>切片</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2,159,234,435.53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2,069,774,472.22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4.14%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-31.40%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-32.02%</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26.70%</w:t>
            </w:r>
          </w:p>
        </w:tc>
      </w:tr>
      <w:tr w:rsidR="0062571E" w:rsidRPr="000A5B5D" w:rsidTr="00E1549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2571E" w:rsidRPr="000A5B5D" w:rsidRDefault="0062571E" w:rsidP="0062571E">
            <w:pPr>
              <w:jc w:val="left"/>
              <w:rPr>
                <w:szCs w:val="24"/>
              </w:rPr>
            </w:pPr>
            <w:r w:rsidRPr="000A5B5D">
              <w:rPr>
                <w:szCs w:val="24"/>
              </w:rPr>
              <w:t>(3)</w:t>
            </w:r>
            <w:r w:rsidRPr="000A5B5D">
              <w:rPr>
                <w:rFonts w:hint="eastAsia"/>
                <w:szCs w:val="24"/>
              </w:rPr>
              <w:t>涤纶预取向丝（</w:t>
            </w:r>
            <w:r w:rsidRPr="000A5B5D">
              <w:rPr>
                <w:szCs w:val="24"/>
              </w:rPr>
              <w:t>POY</w:t>
            </w:r>
            <w:r w:rsidRPr="000A5B5D">
              <w:rPr>
                <w:rFonts w:hint="eastAsia"/>
                <w:szCs w:val="24"/>
              </w:rPr>
              <w:t>丝）</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3,344,056,054.65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3,170,160,382.77</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62571E">
            <w:pPr>
              <w:jc w:val="center"/>
            </w:pPr>
            <w:r w:rsidRPr="000A5B5D">
              <w:t>5.20%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-9.21%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-7.83%</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-21.45%</w:t>
            </w:r>
          </w:p>
        </w:tc>
      </w:tr>
      <w:tr w:rsidR="0062571E" w:rsidRPr="000A5B5D" w:rsidTr="00E1549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2571E" w:rsidRPr="000A5B5D" w:rsidRDefault="0062571E" w:rsidP="0062571E">
            <w:pPr>
              <w:jc w:val="left"/>
              <w:rPr>
                <w:szCs w:val="24"/>
              </w:rPr>
            </w:pPr>
            <w:r w:rsidRPr="000A5B5D">
              <w:rPr>
                <w:szCs w:val="24"/>
              </w:rPr>
              <w:t>(4)</w:t>
            </w:r>
            <w:r w:rsidRPr="000A5B5D">
              <w:rPr>
                <w:rFonts w:hint="eastAsia"/>
                <w:szCs w:val="24"/>
              </w:rPr>
              <w:t>涤纶牵伸丝（</w:t>
            </w:r>
            <w:r w:rsidRPr="000A5B5D">
              <w:rPr>
                <w:szCs w:val="24"/>
              </w:rPr>
              <w:t>FDY</w:t>
            </w:r>
            <w:r w:rsidRPr="000A5B5D">
              <w:rPr>
                <w:rFonts w:hint="eastAsia"/>
                <w:szCs w:val="24"/>
              </w:rPr>
              <w:t>丝）</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2,859,508,059.49</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2,667,094,479.14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6.73%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-16.36%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-15.98%</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-5.76%</w:t>
            </w:r>
          </w:p>
        </w:tc>
      </w:tr>
      <w:tr w:rsidR="0062571E" w:rsidRPr="000A5B5D" w:rsidTr="00E1549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2571E" w:rsidRPr="000A5B5D" w:rsidRDefault="0062571E" w:rsidP="0062571E">
            <w:pPr>
              <w:jc w:val="left"/>
              <w:rPr>
                <w:szCs w:val="24"/>
              </w:rPr>
            </w:pPr>
            <w:r w:rsidRPr="000A5B5D">
              <w:rPr>
                <w:szCs w:val="24"/>
              </w:rPr>
              <w:t>(5)</w:t>
            </w:r>
            <w:r w:rsidRPr="000A5B5D">
              <w:rPr>
                <w:rFonts w:hint="eastAsia"/>
                <w:szCs w:val="24"/>
              </w:rPr>
              <w:t>短纤</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760,742,583.61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735,499,015.15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3.32%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-21.85%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-21.12%</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62571E" w:rsidRPr="000A5B5D" w:rsidRDefault="0062571E" w:rsidP="00102433">
            <w:pPr>
              <w:jc w:val="center"/>
            </w:pPr>
            <w:r w:rsidRPr="000A5B5D">
              <w:t>-21.18%</w:t>
            </w:r>
          </w:p>
        </w:tc>
      </w:tr>
      <w:tr w:rsidR="00102433" w:rsidRPr="000A5B5D" w:rsidTr="00FA2390">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r w:rsidRPr="00452735">
              <w:t>(6)DTY</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2,205,306,147.06</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2,114,789,190.26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4.10%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-18.29%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-17.74%</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t>-13.59%</w:t>
            </w:r>
          </w:p>
        </w:tc>
      </w:tr>
      <w:tr w:rsidR="00102433" w:rsidRPr="000A5B5D" w:rsidTr="00FA2390">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r w:rsidRPr="00452735">
              <w:rPr>
                <w:rFonts w:hint="eastAsia"/>
              </w:rPr>
              <w:t>(7)</w:t>
            </w:r>
            <w:r w:rsidRPr="00452735">
              <w:rPr>
                <w:rFonts w:hint="eastAsia"/>
              </w:rPr>
              <w:t>瓶片</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792,146,156.11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772,011,906.66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2.54%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-54.75%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-52.91%</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-59.91%</w:t>
            </w:r>
          </w:p>
        </w:tc>
      </w:tr>
      <w:tr w:rsidR="00102433" w:rsidRPr="000A5B5D" w:rsidTr="0035609C">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r w:rsidRPr="00452735">
              <w:rPr>
                <w:rFonts w:hint="eastAsia"/>
              </w:rPr>
              <w:t>(8)</w:t>
            </w:r>
            <w:r w:rsidRPr="00452735">
              <w:rPr>
                <w:rFonts w:hint="eastAsia"/>
              </w:rPr>
              <w:t>其他</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4,595,466,841.95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4,616,970,940.34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-0.47%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87.41%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452735" w:rsidRDefault="00102433" w:rsidP="00102433">
            <w:pPr>
              <w:jc w:val="center"/>
            </w:pPr>
            <w:r w:rsidRPr="00452735">
              <w:rPr>
                <w:rFonts w:hint="eastAsia"/>
              </w:rPr>
              <w:t>84.52%</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Default="00102433" w:rsidP="00102433">
            <w:pPr>
              <w:jc w:val="center"/>
            </w:pPr>
            <w:r w:rsidRPr="00452735">
              <w:rPr>
                <w:rFonts w:hint="eastAsia"/>
              </w:rPr>
              <w:t>77.09%</w:t>
            </w:r>
          </w:p>
        </w:tc>
      </w:tr>
      <w:tr w:rsidR="003B1442" w:rsidRPr="000A5B5D" w:rsidTr="003B1442">
        <w:tc>
          <w:tcPr>
            <w:tcW w:w="9571" w:type="dxa"/>
            <w:gridSpan w:val="7"/>
            <w:tcBorders>
              <w:top w:val="single" w:sz="4" w:space="0" w:color="auto"/>
              <w:left w:val="single" w:sz="4" w:space="0" w:color="auto"/>
              <w:bottom w:val="single" w:sz="4" w:space="0" w:color="auto"/>
              <w:right w:val="single" w:sz="4" w:space="0" w:color="auto"/>
            </w:tcBorders>
            <w:shd w:val="clear" w:color="auto" w:fill="D3D3D3"/>
          </w:tcPr>
          <w:p w:rsidR="003B1442" w:rsidRPr="000A5B5D" w:rsidRDefault="003B1442" w:rsidP="003B1442">
            <w:r w:rsidRPr="000A5B5D">
              <w:rPr>
                <w:rFonts w:hint="eastAsia"/>
                <w:szCs w:val="24"/>
              </w:rPr>
              <w:t>分地区</w:t>
            </w:r>
          </w:p>
        </w:tc>
      </w:tr>
      <w:tr w:rsidR="00102433" w:rsidRPr="000A5B5D" w:rsidTr="009711DA">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r w:rsidRPr="00B807E7">
              <w:rPr>
                <w:rFonts w:hint="eastAsia"/>
              </w:rPr>
              <w:t>国内</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26,391,881,853.60</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25,275,274,277.98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4.23%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12.12%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11.90%</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-11.12%</w:t>
            </w:r>
          </w:p>
        </w:tc>
      </w:tr>
      <w:tr w:rsidR="00102433" w:rsidRPr="000A5B5D" w:rsidTr="009711DA">
        <w:tc>
          <w:tcPr>
            <w:tcW w:w="2127"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r w:rsidRPr="00B807E7">
              <w:rPr>
                <w:rFonts w:hint="eastAsia"/>
              </w:rPr>
              <w:t>国外</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3,925,824,821.57</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3,720,509,329.64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5.23%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-13.20%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02433" w:rsidRPr="00B807E7" w:rsidRDefault="00102433" w:rsidP="00102433">
            <w:pPr>
              <w:jc w:val="center"/>
            </w:pPr>
            <w:r w:rsidRPr="00B807E7">
              <w:rPr>
                <w:rFonts w:hint="eastAsia"/>
              </w:rPr>
              <w:t>-13.83%</w:t>
            </w:r>
          </w:p>
        </w:tc>
        <w:tc>
          <w:tcPr>
            <w:tcW w:w="1207" w:type="dxa"/>
            <w:tcBorders>
              <w:top w:val="single" w:sz="4" w:space="0" w:color="auto"/>
              <w:left w:val="single" w:sz="4" w:space="0" w:color="auto"/>
              <w:bottom w:val="single" w:sz="4" w:space="0" w:color="auto"/>
              <w:right w:val="single" w:sz="4" w:space="0" w:color="auto"/>
            </w:tcBorders>
            <w:shd w:val="clear" w:color="auto" w:fill="FFFFFF"/>
          </w:tcPr>
          <w:p w:rsidR="00102433" w:rsidRDefault="00102433" w:rsidP="00102433">
            <w:pPr>
              <w:jc w:val="center"/>
            </w:pPr>
            <w:r w:rsidRPr="00B807E7">
              <w:rPr>
                <w:rFonts w:hint="eastAsia"/>
              </w:rPr>
              <w:t>15.45%</w:t>
            </w:r>
          </w:p>
        </w:tc>
      </w:tr>
    </w:tbl>
    <w:p w:rsidR="00BC4D56" w:rsidRPr="000A5B5D" w:rsidRDefault="00BC4D56" w:rsidP="003851B2">
      <w:pPr>
        <w:spacing w:line="360" w:lineRule="auto"/>
        <w:jc w:val="left"/>
        <w:rPr>
          <w:sz w:val="24"/>
          <w:szCs w:val="24"/>
        </w:rPr>
      </w:pPr>
      <w:r w:rsidRPr="000A5B5D">
        <w:rPr>
          <w:rFonts w:hint="eastAsia"/>
          <w:sz w:val="24"/>
          <w:szCs w:val="24"/>
        </w:rPr>
        <w:t>公司主营业务数据统计口径在报告期发生调整的情况下，公司最近</w:t>
      </w:r>
      <w:r w:rsidRPr="000A5B5D">
        <w:rPr>
          <w:sz w:val="24"/>
          <w:szCs w:val="24"/>
        </w:rPr>
        <w:t>1</w:t>
      </w:r>
      <w:r w:rsidRPr="000A5B5D">
        <w:rPr>
          <w:rFonts w:hint="eastAsia"/>
          <w:sz w:val="24"/>
          <w:szCs w:val="24"/>
        </w:rPr>
        <w:t>年按报告期末口径调整后的主营业务数据</w:t>
      </w:r>
    </w:p>
    <w:p w:rsidR="00BC4D56" w:rsidRPr="000A5B5D" w:rsidRDefault="00BC4D56" w:rsidP="003851B2">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pPr>
        <w:pStyle w:val="Section"/>
        <w:outlineLvl w:val="3"/>
        <w:rPr>
          <w:bCs w:val="0"/>
          <w:szCs w:val="24"/>
        </w:rPr>
      </w:pPr>
      <w:r w:rsidRPr="000A5B5D">
        <w:rPr>
          <w:rFonts w:hint="eastAsia"/>
          <w:bCs w:val="0"/>
          <w:szCs w:val="24"/>
        </w:rPr>
        <w:t>（</w:t>
      </w:r>
      <w:r w:rsidRPr="000A5B5D">
        <w:rPr>
          <w:bCs w:val="0"/>
          <w:szCs w:val="24"/>
        </w:rPr>
        <w:t>3</w:t>
      </w:r>
      <w:r w:rsidRPr="000A5B5D">
        <w:rPr>
          <w:rFonts w:hint="eastAsia"/>
          <w:bCs w:val="0"/>
          <w:szCs w:val="24"/>
        </w:rPr>
        <w:t>）公司实物销售收入是否大于劳务收入</w:t>
      </w:r>
    </w:p>
    <w:tbl>
      <w:tblPr>
        <w:tblW w:w="0" w:type="auto"/>
        <w:jc w:val="center"/>
        <w:tblLayout w:type="fixed"/>
        <w:tblCellMar>
          <w:left w:w="28" w:type="dxa"/>
          <w:right w:w="28" w:type="dxa"/>
        </w:tblCellMar>
        <w:tblLook w:val="0000" w:firstRow="0" w:lastRow="0" w:firstColumn="0" w:lastColumn="0" w:noHBand="0" w:noVBand="0"/>
      </w:tblPr>
      <w:tblGrid>
        <w:gridCol w:w="1596"/>
        <w:gridCol w:w="1594"/>
        <w:gridCol w:w="1594"/>
        <w:gridCol w:w="1594"/>
        <w:gridCol w:w="1594"/>
        <w:gridCol w:w="1594"/>
      </w:tblGrid>
      <w:tr w:rsidR="00BC4D56" w:rsidRPr="000A5B5D" w:rsidTr="003851B2">
        <w:trPr>
          <w:jc w:val="center"/>
        </w:trPr>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行业分类</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项目</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单位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sz w:val="24"/>
                <w:szCs w:val="24"/>
              </w:rPr>
              <w:t>2015</w:t>
            </w:r>
            <w:r w:rsidRPr="000A5B5D">
              <w:rPr>
                <w:rFonts w:hint="eastAsia"/>
                <w:sz w:val="24"/>
                <w:szCs w:val="24"/>
              </w:rPr>
              <w:t>年</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sz w:val="24"/>
                <w:szCs w:val="24"/>
              </w:rPr>
              <w:t>2014</w:t>
            </w:r>
            <w:r w:rsidRPr="000A5B5D">
              <w:rPr>
                <w:rFonts w:hint="eastAsia"/>
                <w:sz w:val="24"/>
                <w:szCs w:val="24"/>
              </w:rPr>
              <w:t>年</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同比增减</w:t>
            </w:r>
          </w:p>
        </w:tc>
      </w:tr>
      <w:tr w:rsidR="00BC4D56" w:rsidRPr="000A5B5D" w:rsidTr="003851B2">
        <w:trPr>
          <w:jc w:val="center"/>
        </w:trPr>
        <w:tc>
          <w:tcPr>
            <w:tcW w:w="159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聚酯</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销售量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217.94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220.67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-1.24%</w:t>
            </w:r>
          </w:p>
        </w:tc>
      </w:tr>
      <w:tr w:rsidR="00BC4D56" w:rsidRPr="000A5B5D" w:rsidTr="003851B2">
        <w:trPr>
          <w:jc w:val="center"/>
        </w:trPr>
        <w:tc>
          <w:tcPr>
            <w:tcW w:w="159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3851B2">
            <w:pPr>
              <w:spacing w:line="360" w:lineRule="auto"/>
              <w:jc w:val="center"/>
              <w:rPr>
                <w:sz w:val="24"/>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生产量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220.74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219.02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0.79%</w:t>
            </w:r>
          </w:p>
        </w:tc>
      </w:tr>
      <w:tr w:rsidR="00BC4D56" w:rsidRPr="000A5B5D" w:rsidTr="003851B2">
        <w:trPr>
          <w:jc w:val="center"/>
        </w:trPr>
        <w:tc>
          <w:tcPr>
            <w:tcW w:w="159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3851B2">
            <w:pPr>
              <w:spacing w:line="360" w:lineRule="auto"/>
              <w:jc w:val="center"/>
              <w:rPr>
                <w:sz w:val="24"/>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库存量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5.7</w:t>
            </w:r>
            <w:r w:rsidR="00383C71" w:rsidRPr="000A5B5D">
              <w:rPr>
                <w:sz w:val="24"/>
                <w:szCs w:val="24"/>
              </w:rPr>
              <w:t>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2.9</w:t>
            </w:r>
            <w:r w:rsidR="00383C71" w:rsidRPr="000A5B5D">
              <w:rPr>
                <w:sz w:val="24"/>
                <w:szCs w:val="24"/>
              </w:rPr>
              <w:t>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96.67%</w:t>
            </w:r>
          </w:p>
        </w:tc>
      </w:tr>
      <w:tr w:rsidR="00BC4D56" w:rsidRPr="000A5B5D" w:rsidTr="003851B2">
        <w:trPr>
          <w:jc w:val="center"/>
        </w:trPr>
        <w:tc>
          <w:tcPr>
            <w:tcW w:w="159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PTA</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销售量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468.96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342.25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37.02%</w:t>
            </w:r>
          </w:p>
        </w:tc>
      </w:tr>
      <w:tr w:rsidR="00BC4D56" w:rsidRPr="000A5B5D" w:rsidTr="003851B2">
        <w:trPr>
          <w:jc w:val="center"/>
        </w:trPr>
        <w:tc>
          <w:tcPr>
            <w:tcW w:w="159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3851B2">
            <w:pPr>
              <w:spacing w:line="360" w:lineRule="auto"/>
              <w:jc w:val="center"/>
              <w:rPr>
                <w:sz w:val="24"/>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生产量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465.88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345.84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34.71%</w:t>
            </w:r>
          </w:p>
        </w:tc>
      </w:tr>
      <w:tr w:rsidR="00BC4D56" w:rsidRPr="000A5B5D" w:rsidTr="003851B2">
        <w:trPr>
          <w:jc w:val="center"/>
        </w:trPr>
        <w:tc>
          <w:tcPr>
            <w:tcW w:w="159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3851B2">
            <w:pPr>
              <w:spacing w:line="360" w:lineRule="auto"/>
              <w:jc w:val="center"/>
              <w:rPr>
                <w:sz w:val="24"/>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3851B2">
            <w:pPr>
              <w:spacing w:line="360" w:lineRule="auto"/>
              <w:jc w:val="center"/>
              <w:rPr>
                <w:sz w:val="24"/>
                <w:szCs w:val="24"/>
              </w:rPr>
            </w:pPr>
            <w:r w:rsidRPr="000A5B5D">
              <w:rPr>
                <w:rFonts w:hint="eastAsia"/>
                <w:sz w:val="24"/>
                <w:szCs w:val="24"/>
              </w:rPr>
              <w:t>库存量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rFonts w:hint="eastAsia"/>
                <w:sz w:val="24"/>
                <w:szCs w:val="24"/>
              </w:rPr>
              <w:t>万吨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1.55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4.63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3851B2">
            <w:pPr>
              <w:spacing w:line="360" w:lineRule="auto"/>
              <w:jc w:val="center"/>
              <w:rPr>
                <w:sz w:val="24"/>
                <w:szCs w:val="24"/>
              </w:rPr>
            </w:pPr>
            <w:r w:rsidRPr="000A5B5D">
              <w:rPr>
                <w:sz w:val="24"/>
                <w:szCs w:val="24"/>
              </w:rPr>
              <w:t>-66.51%</w:t>
            </w:r>
          </w:p>
        </w:tc>
      </w:tr>
    </w:tbl>
    <w:p w:rsidR="00BC4D56" w:rsidRPr="000A5B5D" w:rsidRDefault="00BC4D56" w:rsidP="009B0771">
      <w:pPr>
        <w:spacing w:line="360" w:lineRule="auto"/>
        <w:jc w:val="left"/>
        <w:rPr>
          <w:sz w:val="24"/>
          <w:szCs w:val="24"/>
        </w:rPr>
      </w:pPr>
      <w:r w:rsidRPr="000A5B5D">
        <w:rPr>
          <w:rFonts w:hint="eastAsia"/>
          <w:sz w:val="24"/>
          <w:szCs w:val="24"/>
        </w:rPr>
        <w:t>相关数据同比发生变动</w:t>
      </w:r>
      <w:r w:rsidRPr="000A5B5D">
        <w:rPr>
          <w:sz w:val="24"/>
          <w:szCs w:val="24"/>
        </w:rPr>
        <w:t>30%</w:t>
      </w:r>
      <w:r w:rsidRPr="000A5B5D">
        <w:rPr>
          <w:rFonts w:hint="eastAsia"/>
          <w:sz w:val="24"/>
          <w:szCs w:val="24"/>
        </w:rPr>
        <w:t>以上的原因说明</w:t>
      </w:r>
    </w:p>
    <w:p w:rsidR="00BC4D56" w:rsidRPr="000A5B5D" w:rsidRDefault="00BC4D56" w:rsidP="009B0771">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t>报告期内，聚酯库存量较上年同期增长</w:t>
      </w:r>
      <w:r w:rsidRPr="000A5B5D">
        <w:rPr>
          <w:rFonts w:eastAsia="Times New Roman"/>
          <w:kern w:val="0"/>
          <w:sz w:val="24"/>
          <w:szCs w:val="24"/>
          <w:lang w:val="zh-CN"/>
        </w:rPr>
        <w:t>96.67%</w:t>
      </w:r>
      <w:r w:rsidRPr="000A5B5D">
        <w:rPr>
          <w:rFonts w:ascii="宋体" w:hAnsi="宋体" w:cs="宋体" w:hint="eastAsia"/>
          <w:kern w:val="0"/>
          <w:sz w:val="24"/>
          <w:szCs w:val="24"/>
          <w:lang w:val="zh-CN"/>
        </w:rPr>
        <w:t>，主要原因系公司预计商品价格处于历史低位，预测价格上涨，故保持高库存策略。</w:t>
      </w:r>
    </w:p>
    <w:p w:rsidR="00BC4D56" w:rsidRPr="000A5B5D" w:rsidRDefault="00BC4D56" w:rsidP="009B0771">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lastRenderedPageBreak/>
        <w:t>报告期内，</w:t>
      </w:r>
      <w:r w:rsidRPr="000A5B5D">
        <w:rPr>
          <w:rFonts w:eastAsia="Times New Roman"/>
          <w:kern w:val="0"/>
          <w:sz w:val="24"/>
          <w:szCs w:val="24"/>
          <w:lang w:val="zh-CN"/>
        </w:rPr>
        <w:t>PTA</w:t>
      </w:r>
      <w:r w:rsidRPr="000A5B5D">
        <w:rPr>
          <w:rFonts w:ascii="宋体" w:hAnsi="宋体" w:cs="宋体" w:hint="eastAsia"/>
          <w:kern w:val="0"/>
          <w:sz w:val="24"/>
          <w:szCs w:val="24"/>
          <w:lang w:val="zh-CN"/>
        </w:rPr>
        <w:t>产量较上年同期增长</w:t>
      </w:r>
      <w:r w:rsidRPr="000A5B5D">
        <w:rPr>
          <w:rFonts w:eastAsia="Times New Roman"/>
          <w:kern w:val="0"/>
          <w:sz w:val="24"/>
          <w:szCs w:val="24"/>
          <w:lang w:val="zh-CN"/>
        </w:rPr>
        <w:t>34.71%</w:t>
      </w:r>
      <w:r w:rsidRPr="000A5B5D">
        <w:rPr>
          <w:rFonts w:ascii="宋体" w:hAnsi="宋体" w:cs="宋体" w:hint="eastAsia"/>
          <w:kern w:val="0"/>
          <w:sz w:val="24"/>
          <w:szCs w:val="24"/>
          <w:lang w:val="zh-CN"/>
        </w:rPr>
        <w:t>，</w:t>
      </w:r>
      <w:r w:rsidRPr="000A5B5D">
        <w:rPr>
          <w:rFonts w:eastAsia="Times New Roman"/>
          <w:kern w:val="0"/>
          <w:sz w:val="24"/>
          <w:szCs w:val="24"/>
          <w:lang w:val="zh-CN"/>
        </w:rPr>
        <w:t>PTA</w:t>
      </w:r>
      <w:r w:rsidRPr="000A5B5D">
        <w:rPr>
          <w:rFonts w:ascii="宋体" w:hAnsi="宋体" w:cs="宋体" w:hint="eastAsia"/>
          <w:kern w:val="0"/>
          <w:sz w:val="24"/>
          <w:szCs w:val="24"/>
          <w:lang w:val="zh-CN"/>
        </w:rPr>
        <w:t>销量较去年同期增长</w:t>
      </w:r>
      <w:r w:rsidRPr="000A5B5D">
        <w:rPr>
          <w:rFonts w:eastAsia="Times New Roman"/>
          <w:kern w:val="0"/>
          <w:sz w:val="24"/>
          <w:szCs w:val="24"/>
          <w:lang w:val="zh-CN"/>
        </w:rPr>
        <w:t>37.02%</w:t>
      </w:r>
      <w:r w:rsidRPr="000A5B5D">
        <w:rPr>
          <w:rFonts w:ascii="宋体" w:hAnsi="宋体" w:cs="宋体" w:hint="eastAsia"/>
          <w:kern w:val="0"/>
          <w:sz w:val="24"/>
          <w:szCs w:val="24"/>
          <w:lang w:val="zh-CN"/>
        </w:rPr>
        <w:t>，主要原因为公司</w:t>
      </w:r>
      <w:r w:rsidRPr="000A5B5D">
        <w:rPr>
          <w:rFonts w:eastAsia="Times New Roman"/>
          <w:kern w:val="0"/>
          <w:sz w:val="24"/>
          <w:szCs w:val="24"/>
          <w:lang w:val="zh-CN"/>
        </w:rPr>
        <w:t>PTA</w:t>
      </w:r>
      <w:r w:rsidRPr="000A5B5D">
        <w:rPr>
          <w:rFonts w:ascii="宋体" w:hAnsi="宋体" w:cs="宋体" w:hint="eastAsia"/>
          <w:kern w:val="0"/>
          <w:sz w:val="24"/>
          <w:szCs w:val="24"/>
          <w:lang w:val="zh-CN"/>
        </w:rPr>
        <w:t>开工率增加，故产销量均有大幅度增加。</w:t>
      </w:r>
    </w:p>
    <w:p w:rsidR="00BC4D56" w:rsidRPr="000A5B5D" w:rsidRDefault="00BC4D56" w:rsidP="009B0771">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t>报告期内，</w:t>
      </w:r>
      <w:r w:rsidRPr="000A5B5D">
        <w:rPr>
          <w:rFonts w:eastAsia="Times New Roman"/>
          <w:kern w:val="0"/>
          <w:sz w:val="24"/>
          <w:szCs w:val="24"/>
          <w:lang w:val="zh-CN"/>
        </w:rPr>
        <w:t>PTA</w:t>
      </w:r>
      <w:r w:rsidRPr="000A5B5D">
        <w:rPr>
          <w:rFonts w:ascii="宋体" w:hAnsi="宋体" w:cs="宋体" w:hint="eastAsia"/>
          <w:kern w:val="0"/>
          <w:sz w:val="24"/>
          <w:szCs w:val="24"/>
          <w:lang w:val="zh-CN"/>
        </w:rPr>
        <w:t>库存量较上年同期减少</w:t>
      </w:r>
      <w:r w:rsidRPr="000A5B5D">
        <w:rPr>
          <w:rFonts w:eastAsia="Times New Roman"/>
          <w:kern w:val="0"/>
          <w:sz w:val="24"/>
          <w:szCs w:val="24"/>
          <w:lang w:val="zh-CN"/>
        </w:rPr>
        <w:t>66.51%</w:t>
      </w:r>
      <w:r w:rsidRPr="000A5B5D">
        <w:rPr>
          <w:rFonts w:ascii="宋体" w:hAnsi="宋体" w:cs="宋体" w:hint="eastAsia"/>
          <w:kern w:val="0"/>
          <w:sz w:val="24"/>
          <w:szCs w:val="24"/>
          <w:lang w:val="zh-CN"/>
        </w:rPr>
        <w:t>，主要原因为公司依据市场供需变化，及时调整库存策略，故年末库存较低。</w:t>
      </w:r>
    </w:p>
    <w:p w:rsidR="00BC4D56" w:rsidRPr="000A5B5D" w:rsidRDefault="00BC4D56" w:rsidP="009B0771">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4</w:t>
      </w:r>
      <w:r w:rsidRPr="000A5B5D">
        <w:rPr>
          <w:rFonts w:hint="eastAsia"/>
          <w:bCs w:val="0"/>
          <w:sz w:val="24"/>
          <w:szCs w:val="24"/>
        </w:rPr>
        <w:t>）公司已签订的重大销售合同截至本报告期的履行情况</w:t>
      </w:r>
    </w:p>
    <w:p w:rsidR="00BC4D56" w:rsidRPr="000A5B5D" w:rsidRDefault="00BC4D56" w:rsidP="009B0771">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B0771">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5</w:t>
      </w:r>
      <w:r w:rsidRPr="000A5B5D">
        <w:rPr>
          <w:rFonts w:hint="eastAsia"/>
          <w:bCs w:val="0"/>
          <w:sz w:val="24"/>
          <w:szCs w:val="24"/>
        </w:rPr>
        <w:t>）营业成本构成</w:t>
      </w:r>
    </w:p>
    <w:p w:rsidR="00BC4D56" w:rsidRPr="000A5B5D" w:rsidRDefault="00BC4D56" w:rsidP="009B0771">
      <w:pPr>
        <w:wordWrap w:val="0"/>
        <w:spacing w:line="360" w:lineRule="auto"/>
        <w:jc w:val="right"/>
        <w:rPr>
          <w:sz w:val="24"/>
          <w:szCs w:val="24"/>
        </w:rPr>
      </w:pPr>
      <w:r w:rsidRPr="000A5B5D">
        <w:rPr>
          <w:rFonts w:hint="eastAsia"/>
          <w:sz w:val="24"/>
          <w:szCs w:val="24"/>
        </w:rPr>
        <w:t>单位：元</w:t>
      </w:r>
      <w:r w:rsidR="009B0771" w:rsidRPr="000A5B5D">
        <w:rPr>
          <w:sz w:val="24"/>
          <w:szCs w:val="24"/>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1101"/>
        <w:gridCol w:w="1418"/>
        <w:gridCol w:w="1584"/>
        <w:gridCol w:w="1367"/>
        <w:gridCol w:w="1585"/>
        <w:gridCol w:w="1417"/>
        <w:gridCol w:w="1099"/>
      </w:tblGrid>
      <w:tr w:rsidR="00BC4D56" w:rsidRPr="000A5B5D" w:rsidTr="009B0771">
        <w:trPr>
          <w:jc w:val="center"/>
        </w:trPr>
        <w:tc>
          <w:tcPr>
            <w:tcW w:w="11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行业分类</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项目</w:t>
            </w:r>
          </w:p>
        </w:tc>
        <w:tc>
          <w:tcPr>
            <w:tcW w:w="295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szCs w:val="24"/>
              </w:rPr>
              <w:t>2015</w:t>
            </w:r>
            <w:r w:rsidRPr="000A5B5D">
              <w:rPr>
                <w:rFonts w:hint="eastAsia"/>
                <w:szCs w:val="24"/>
              </w:rPr>
              <w:t>年</w:t>
            </w:r>
          </w:p>
        </w:tc>
        <w:tc>
          <w:tcPr>
            <w:tcW w:w="300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szCs w:val="24"/>
              </w:rPr>
              <w:t>2014</w:t>
            </w:r>
            <w:r w:rsidRPr="000A5B5D">
              <w:rPr>
                <w:rFonts w:hint="eastAsia"/>
                <w:szCs w:val="24"/>
              </w:rPr>
              <w:t>年</w:t>
            </w:r>
          </w:p>
        </w:tc>
        <w:tc>
          <w:tcPr>
            <w:tcW w:w="109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同比增减</w:t>
            </w:r>
          </w:p>
        </w:tc>
      </w:tr>
      <w:tr w:rsidR="00BC4D56" w:rsidRPr="000A5B5D" w:rsidTr="009B0771">
        <w:trPr>
          <w:jc w:val="center"/>
        </w:trPr>
        <w:tc>
          <w:tcPr>
            <w:tcW w:w="1101"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B0771">
            <w:pPr>
              <w:jc w:val="cente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B0771">
            <w:pPr>
              <w:jc w:val="center"/>
              <w:rPr>
                <w:szCs w:val="24"/>
              </w:rPr>
            </w:pPr>
          </w:p>
        </w:tc>
        <w:tc>
          <w:tcPr>
            <w:tcW w:w="15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金额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占营业成本比重</w:t>
            </w:r>
          </w:p>
        </w:tc>
        <w:tc>
          <w:tcPr>
            <w:tcW w:w="158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金额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jc w:val="center"/>
              <w:rPr>
                <w:szCs w:val="24"/>
              </w:rPr>
            </w:pPr>
            <w:r w:rsidRPr="000A5B5D">
              <w:rPr>
                <w:rFonts w:hint="eastAsia"/>
                <w:szCs w:val="24"/>
              </w:rPr>
              <w:t>占营业成本比重</w:t>
            </w:r>
          </w:p>
        </w:tc>
        <w:tc>
          <w:tcPr>
            <w:tcW w:w="1099"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B0771">
            <w:pPr>
              <w:jc w:val="center"/>
              <w:rPr>
                <w:szCs w:val="24"/>
              </w:rPr>
            </w:pP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PTA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PX</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15,991,199,130.44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90.76%</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15,589,899,200.00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92.38%</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2.57%</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PTA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能源</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399,810,073.40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2.27%</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319,070,300.00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1.89%</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25.30%</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PTA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折旧及其他</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1,228,637,750.57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6.97%</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967,212,545.08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5.73%</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27.03%</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PTA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合计</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17,619,646,954.41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100.00%</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16,876,182,045.08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100.00%</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4.41%</w:t>
            </w:r>
          </w:p>
        </w:tc>
      </w:tr>
      <w:tr w:rsidR="00830A65" w:rsidRPr="000A5B5D" w:rsidTr="00997986">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聚酯纤维</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szCs w:val="24"/>
              </w:rPr>
              <w:t>PTA</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5,853,403,768.58</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57.44%</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8,286,963,619.46</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63.78%</w:t>
            </w:r>
          </w:p>
        </w:tc>
        <w:tc>
          <w:tcPr>
            <w:tcW w:w="1099"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-29.37%</w:t>
            </w:r>
          </w:p>
        </w:tc>
      </w:tr>
      <w:tr w:rsidR="00830A65" w:rsidRPr="000A5B5D" w:rsidTr="00997986">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聚酯纤维</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szCs w:val="24"/>
              </w:rPr>
              <w:t>MEG</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3,038,904,395.84</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29.82%</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3,420,311,046.70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26.32%</w:t>
            </w:r>
          </w:p>
        </w:tc>
        <w:tc>
          <w:tcPr>
            <w:tcW w:w="1099"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-11.15%</w:t>
            </w:r>
          </w:p>
        </w:tc>
      </w:tr>
      <w:tr w:rsidR="00830A65" w:rsidRPr="000A5B5D" w:rsidTr="00997986">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聚酯纤维</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能源</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544,736,785.00</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5.35%</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477,562,365.93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3.68%</w:t>
            </w:r>
          </w:p>
        </w:tc>
        <w:tc>
          <w:tcPr>
            <w:tcW w:w="1099"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14.07%</w:t>
            </w:r>
          </w:p>
        </w:tc>
      </w:tr>
      <w:tr w:rsidR="00830A65" w:rsidRPr="000A5B5D" w:rsidTr="00997986">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聚酯纤维</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折旧及其他</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754,263,360.42</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7.40%</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808,477,027.27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6.22%</w:t>
            </w:r>
          </w:p>
        </w:tc>
        <w:tc>
          <w:tcPr>
            <w:tcW w:w="1099"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-6.71%</w:t>
            </w:r>
          </w:p>
        </w:tc>
      </w:tr>
      <w:tr w:rsidR="00830A65" w:rsidRPr="000A5B5D" w:rsidTr="00997986">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聚酯纤维</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30A65" w:rsidRPr="000A5B5D" w:rsidRDefault="00830A65" w:rsidP="00830A65">
            <w:pPr>
              <w:jc w:val="center"/>
              <w:rPr>
                <w:szCs w:val="24"/>
              </w:rPr>
            </w:pPr>
            <w:r w:rsidRPr="000A5B5D">
              <w:rPr>
                <w:rFonts w:hint="eastAsia"/>
                <w:szCs w:val="24"/>
              </w:rPr>
              <w:t>合计</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10,191,308,309.84</w:t>
            </w:r>
          </w:p>
        </w:tc>
        <w:tc>
          <w:tcPr>
            <w:tcW w:w="136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100.00%</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12,993,314,059.36</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100.00%</w:t>
            </w:r>
          </w:p>
        </w:tc>
        <w:tc>
          <w:tcPr>
            <w:tcW w:w="1099" w:type="dxa"/>
            <w:tcBorders>
              <w:top w:val="single" w:sz="4" w:space="0" w:color="auto"/>
              <w:left w:val="single" w:sz="4" w:space="0" w:color="auto"/>
              <w:bottom w:val="single" w:sz="4" w:space="0" w:color="auto"/>
              <w:right w:val="single" w:sz="4" w:space="0" w:color="auto"/>
            </w:tcBorders>
            <w:shd w:val="clear" w:color="auto" w:fill="FFFFFF"/>
          </w:tcPr>
          <w:p w:rsidR="00830A65" w:rsidRPr="000A5B5D" w:rsidRDefault="00830A65" w:rsidP="00257022">
            <w:pPr>
              <w:jc w:val="center"/>
            </w:pPr>
            <w:r w:rsidRPr="000A5B5D">
              <w:t>-21.56%</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DTY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POY(</w:t>
            </w:r>
            <w:r w:rsidRPr="000A5B5D">
              <w:rPr>
                <w:rFonts w:hint="eastAsia"/>
                <w:szCs w:val="24"/>
              </w:rPr>
              <w:t>含委托加工</w:t>
            </w:r>
            <w:r w:rsidRPr="000A5B5D">
              <w:rPr>
                <w:szCs w:val="24"/>
              </w:rPr>
              <w:t>)</w:t>
            </w:r>
            <w:r w:rsidRPr="000A5B5D">
              <w:rPr>
                <w:rFonts w:hint="eastAsia"/>
                <w:szCs w:val="24"/>
              </w:rPr>
              <w:t>及外购切片</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1,772,605,837.29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80.83%</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2,359,793,594.83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88.81%</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-24.88%</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DTY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能源</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144,352,959.77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6.58%</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107,341,920.10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4.04%</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34.48%</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DTY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折旧及其他</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276,101,184.22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12.59%</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190,013,497.79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7.15%</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45.31%</w:t>
            </w:r>
          </w:p>
        </w:tc>
      </w:tr>
      <w:tr w:rsidR="00BC4D56" w:rsidRPr="000A5B5D" w:rsidTr="009B0771">
        <w:trPr>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DTY</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rFonts w:hint="eastAsia"/>
                <w:szCs w:val="24"/>
              </w:rPr>
              <w:t>合计</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2,193,059,981.28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100.00%</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2,657,149,012.72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100.00%</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jc w:val="center"/>
              <w:rPr>
                <w:szCs w:val="24"/>
              </w:rPr>
            </w:pPr>
            <w:r w:rsidRPr="000A5B5D">
              <w:rPr>
                <w:szCs w:val="24"/>
              </w:rPr>
              <w:t>-17.47%</w:t>
            </w:r>
          </w:p>
        </w:tc>
      </w:tr>
    </w:tbl>
    <w:p w:rsidR="00BC4D56" w:rsidRPr="000A5B5D" w:rsidRDefault="00BC4D56" w:rsidP="009B0771">
      <w:pPr>
        <w:pStyle w:val="Section"/>
        <w:spacing w:line="360" w:lineRule="auto"/>
        <w:outlineLvl w:val="3"/>
        <w:rPr>
          <w:rFonts w:asciiTheme="minorEastAsia" w:eastAsiaTheme="minorEastAsia" w:hAnsiTheme="minorEastAsia"/>
          <w:bCs w:val="0"/>
          <w:sz w:val="24"/>
          <w:szCs w:val="24"/>
        </w:rPr>
      </w:pPr>
      <w:r w:rsidRPr="000A5B5D">
        <w:rPr>
          <w:rFonts w:asciiTheme="minorEastAsia" w:eastAsiaTheme="minorEastAsia" w:hAnsiTheme="minorEastAsia" w:hint="eastAsia"/>
          <w:bCs w:val="0"/>
          <w:sz w:val="24"/>
          <w:szCs w:val="24"/>
        </w:rPr>
        <w:t>（</w:t>
      </w:r>
      <w:r w:rsidRPr="000A5B5D">
        <w:rPr>
          <w:rFonts w:asciiTheme="minorEastAsia" w:eastAsiaTheme="minorEastAsia" w:hAnsiTheme="minorEastAsia"/>
          <w:bCs w:val="0"/>
          <w:sz w:val="24"/>
          <w:szCs w:val="24"/>
        </w:rPr>
        <w:t>6</w:t>
      </w:r>
      <w:r w:rsidRPr="000A5B5D">
        <w:rPr>
          <w:rFonts w:asciiTheme="minorEastAsia" w:eastAsiaTheme="minorEastAsia" w:hAnsiTheme="minorEastAsia" w:hint="eastAsia"/>
          <w:bCs w:val="0"/>
          <w:sz w:val="24"/>
          <w:szCs w:val="24"/>
        </w:rPr>
        <w:t>）报告期内合并范围是否发生变动</w:t>
      </w:r>
    </w:p>
    <w:p w:rsidR="00BC4D56" w:rsidRPr="000A5B5D" w:rsidRDefault="00BC4D56" w:rsidP="009B0771">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1</w:t>
      </w:r>
      <w:r w:rsidRPr="000A5B5D">
        <w:rPr>
          <w:rFonts w:asciiTheme="minorEastAsia" w:eastAsiaTheme="minorEastAsia" w:hAnsiTheme="minorEastAsia" w:cs="宋体" w:hint="eastAsia"/>
          <w:kern w:val="0"/>
          <w:sz w:val="24"/>
          <w:szCs w:val="24"/>
          <w:lang w:val="zh-CN"/>
        </w:rPr>
        <w:t>、浙江逸盛公司于</w:t>
      </w: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年出资</w:t>
      </w:r>
      <w:r w:rsidRPr="000A5B5D">
        <w:rPr>
          <w:rFonts w:asciiTheme="minorEastAsia" w:eastAsiaTheme="minorEastAsia" w:hAnsiTheme="minorEastAsia"/>
          <w:kern w:val="0"/>
          <w:sz w:val="24"/>
          <w:szCs w:val="24"/>
          <w:lang w:val="zh-CN"/>
        </w:rPr>
        <w:t>500</w:t>
      </w:r>
      <w:r w:rsidRPr="000A5B5D">
        <w:rPr>
          <w:rFonts w:asciiTheme="minorEastAsia" w:eastAsiaTheme="minorEastAsia" w:hAnsiTheme="minorEastAsia" w:cs="宋体" w:hint="eastAsia"/>
          <w:kern w:val="0"/>
          <w:sz w:val="24"/>
          <w:szCs w:val="24"/>
          <w:lang w:val="zh-CN"/>
        </w:rPr>
        <w:t>万美元在香港设立了全资子公司香港逸盛石化投资有限公司，故本年度合并范围增加了该公司。</w:t>
      </w:r>
    </w:p>
    <w:p w:rsidR="00BC4D56" w:rsidRPr="000A5B5D" w:rsidRDefault="00BC4D56" w:rsidP="009B0771">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w:t>
      </w:r>
      <w:r w:rsidRPr="000A5B5D">
        <w:rPr>
          <w:rFonts w:asciiTheme="minorEastAsia" w:eastAsiaTheme="minorEastAsia" w:hAnsiTheme="minorEastAsia" w:cs="宋体" w:hint="eastAsia"/>
          <w:kern w:val="0"/>
          <w:sz w:val="24"/>
          <w:szCs w:val="24"/>
          <w:lang w:val="zh-CN"/>
        </w:rPr>
        <w:t>、本公司之全资子公司香港天逸国际控股有限公司于</w:t>
      </w: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年购入恒逸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cs="宋体" w:hint="eastAsia"/>
          <w:kern w:val="0"/>
          <w:sz w:val="24"/>
          <w:szCs w:val="24"/>
          <w:lang w:val="zh-CN"/>
        </w:rPr>
        <w:t>株式会社</w:t>
      </w:r>
      <w:r w:rsidRPr="000A5B5D">
        <w:rPr>
          <w:rFonts w:asciiTheme="minorEastAsia" w:eastAsiaTheme="minorEastAsia" w:hAnsiTheme="minorEastAsia" w:cs="宋体" w:hint="eastAsia"/>
          <w:kern w:val="0"/>
          <w:sz w:val="24"/>
          <w:szCs w:val="24"/>
          <w:lang w:val="zh-CN"/>
        </w:rPr>
        <w:lastRenderedPageBreak/>
        <w:t>（以下简称</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hint="eastAsia"/>
          <w:kern w:val="0"/>
          <w:sz w:val="24"/>
          <w:szCs w:val="24"/>
          <w:lang w:val="zh-CN"/>
        </w:rPr>
        <w:t>”</w:t>
      </w:r>
      <w:r w:rsidRPr="000A5B5D">
        <w:rPr>
          <w:rFonts w:asciiTheme="minorEastAsia" w:eastAsiaTheme="minorEastAsia" w:hAnsiTheme="minorEastAsia" w:cs="宋体" w:hint="eastAsia"/>
          <w:kern w:val="0"/>
          <w:sz w:val="24"/>
          <w:szCs w:val="24"/>
          <w:lang w:val="zh-CN"/>
        </w:rPr>
        <w:t>）另外两个股东</w:t>
      </w:r>
      <w:r w:rsidRPr="000A5B5D">
        <w:rPr>
          <w:rFonts w:asciiTheme="minorEastAsia" w:eastAsiaTheme="minorEastAsia" w:hAnsiTheme="minorEastAsia"/>
          <w:kern w:val="0"/>
          <w:sz w:val="24"/>
          <w:szCs w:val="24"/>
          <w:lang w:val="zh-CN"/>
        </w:rPr>
        <w:t>17%</w:t>
      </w:r>
      <w:r w:rsidRPr="000A5B5D">
        <w:rPr>
          <w:rFonts w:asciiTheme="minorEastAsia" w:eastAsiaTheme="minorEastAsia" w:hAnsiTheme="minorEastAsia" w:cs="宋体" w:hint="eastAsia"/>
          <w:kern w:val="0"/>
          <w:sz w:val="24"/>
          <w:szCs w:val="24"/>
          <w:lang w:val="zh-CN"/>
        </w:rPr>
        <w:t>的股权，对恒逸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cs="宋体" w:hint="eastAsia"/>
          <w:kern w:val="0"/>
          <w:sz w:val="24"/>
          <w:szCs w:val="24"/>
          <w:lang w:val="zh-CN"/>
        </w:rPr>
        <w:t>的持股比例达到</w:t>
      </w:r>
      <w:r w:rsidRPr="000A5B5D">
        <w:rPr>
          <w:rFonts w:asciiTheme="minorEastAsia" w:eastAsiaTheme="minorEastAsia" w:hAnsiTheme="minorEastAsia"/>
          <w:kern w:val="0"/>
          <w:sz w:val="24"/>
          <w:szCs w:val="24"/>
          <w:lang w:val="zh-CN"/>
        </w:rPr>
        <w:t>51%</w:t>
      </w:r>
      <w:r w:rsidRPr="000A5B5D">
        <w:rPr>
          <w:rFonts w:asciiTheme="minorEastAsia" w:eastAsiaTheme="minorEastAsia" w:hAnsiTheme="minorEastAsia" w:cs="宋体" w:hint="eastAsia"/>
          <w:kern w:val="0"/>
          <w:sz w:val="24"/>
          <w:szCs w:val="24"/>
          <w:lang w:val="zh-CN"/>
        </w:rPr>
        <w:t>，能对恒逸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cs="宋体" w:hint="eastAsia"/>
          <w:kern w:val="0"/>
          <w:sz w:val="24"/>
          <w:szCs w:val="24"/>
          <w:lang w:val="zh-CN"/>
        </w:rPr>
        <w:t>实施控制，故本年度合并范围增加了该公司。</w:t>
      </w:r>
    </w:p>
    <w:p w:rsidR="00BC4D56" w:rsidRPr="000A5B5D" w:rsidRDefault="00BC4D56" w:rsidP="009B0771">
      <w:pPr>
        <w:pStyle w:val="Section"/>
        <w:spacing w:line="360" w:lineRule="auto"/>
        <w:outlineLvl w:val="3"/>
        <w:rPr>
          <w:rFonts w:asciiTheme="minorEastAsia" w:eastAsiaTheme="minorEastAsia" w:hAnsiTheme="minorEastAsia"/>
          <w:bCs w:val="0"/>
          <w:sz w:val="24"/>
          <w:szCs w:val="24"/>
        </w:rPr>
      </w:pPr>
      <w:r w:rsidRPr="000A5B5D">
        <w:rPr>
          <w:rFonts w:asciiTheme="minorEastAsia" w:eastAsiaTheme="minorEastAsia" w:hAnsiTheme="minorEastAsia" w:hint="eastAsia"/>
          <w:bCs w:val="0"/>
          <w:sz w:val="24"/>
          <w:szCs w:val="24"/>
        </w:rPr>
        <w:t>（</w:t>
      </w:r>
      <w:r w:rsidRPr="000A5B5D">
        <w:rPr>
          <w:rFonts w:asciiTheme="minorEastAsia" w:eastAsiaTheme="minorEastAsia" w:hAnsiTheme="minorEastAsia"/>
          <w:bCs w:val="0"/>
          <w:sz w:val="24"/>
          <w:szCs w:val="24"/>
        </w:rPr>
        <w:t>7</w:t>
      </w:r>
      <w:r w:rsidRPr="000A5B5D">
        <w:rPr>
          <w:rFonts w:asciiTheme="minorEastAsia" w:eastAsiaTheme="minorEastAsia" w:hAnsiTheme="minorEastAsia" w:hint="eastAsia"/>
          <w:bCs w:val="0"/>
          <w:sz w:val="24"/>
          <w:szCs w:val="24"/>
        </w:rPr>
        <w:t>）公司报告期内业务、产品或服务发生重大变化或调整有关情况</w:t>
      </w:r>
    </w:p>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w:t>
      </w:r>
      <w:r w:rsidRPr="000A5B5D">
        <w:rPr>
          <w:rFonts w:asciiTheme="minorEastAsia" w:eastAsiaTheme="minorEastAsia" w:hAnsiTheme="minorEastAsia" w:hint="eastAsia"/>
          <w:sz w:val="24"/>
          <w:szCs w:val="24"/>
        </w:rPr>
        <w:t>适用</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√不适用</w:t>
      </w:r>
      <w:r w:rsidRPr="000A5B5D">
        <w:rPr>
          <w:rFonts w:asciiTheme="minorEastAsia" w:eastAsiaTheme="minorEastAsia" w:hAnsiTheme="minorEastAsia"/>
          <w:sz w:val="24"/>
          <w:szCs w:val="24"/>
        </w:rPr>
        <w:t xml:space="preserve"> </w:t>
      </w:r>
    </w:p>
    <w:p w:rsidR="00BC4D56" w:rsidRPr="000A5B5D" w:rsidRDefault="00BC4D56" w:rsidP="009B0771">
      <w:pPr>
        <w:pStyle w:val="Section"/>
        <w:spacing w:line="360" w:lineRule="auto"/>
        <w:outlineLvl w:val="3"/>
        <w:rPr>
          <w:rFonts w:asciiTheme="minorEastAsia" w:eastAsiaTheme="minorEastAsia" w:hAnsiTheme="minorEastAsia"/>
          <w:bCs w:val="0"/>
          <w:sz w:val="24"/>
          <w:szCs w:val="24"/>
        </w:rPr>
      </w:pPr>
      <w:r w:rsidRPr="000A5B5D">
        <w:rPr>
          <w:rFonts w:asciiTheme="minorEastAsia" w:eastAsiaTheme="minorEastAsia" w:hAnsiTheme="minorEastAsia" w:hint="eastAsia"/>
          <w:bCs w:val="0"/>
          <w:sz w:val="24"/>
          <w:szCs w:val="24"/>
        </w:rPr>
        <w:t>（</w:t>
      </w:r>
      <w:r w:rsidRPr="000A5B5D">
        <w:rPr>
          <w:rFonts w:asciiTheme="minorEastAsia" w:eastAsiaTheme="minorEastAsia" w:hAnsiTheme="minorEastAsia"/>
          <w:bCs w:val="0"/>
          <w:sz w:val="24"/>
          <w:szCs w:val="24"/>
        </w:rPr>
        <w:t>8</w:t>
      </w:r>
      <w:r w:rsidRPr="000A5B5D">
        <w:rPr>
          <w:rFonts w:asciiTheme="minorEastAsia" w:eastAsiaTheme="minorEastAsia" w:hAnsiTheme="minorEastAsia" w:hint="eastAsia"/>
          <w:bCs w:val="0"/>
          <w:sz w:val="24"/>
          <w:szCs w:val="24"/>
        </w:rPr>
        <w:t>）主要销售客户和主要供应商情况</w:t>
      </w:r>
    </w:p>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公司主要销售客户情况</w:t>
      </w:r>
    </w:p>
    <w:tbl>
      <w:tblPr>
        <w:tblW w:w="0" w:type="auto"/>
        <w:tblInd w:w="28" w:type="dxa"/>
        <w:tblLayout w:type="fixed"/>
        <w:tblCellMar>
          <w:left w:w="28" w:type="dxa"/>
          <w:right w:w="28" w:type="dxa"/>
        </w:tblCellMar>
        <w:tblLook w:val="0000" w:firstRow="0" w:lastRow="0" w:firstColumn="0" w:lastColumn="0" w:noHBand="0" w:noVBand="0"/>
      </w:tblPr>
      <w:tblGrid>
        <w:gridCol w:w="5103"/>
        <w:gridCol w:w="4465"/>
      </w:tblGrid>
      <w:tr w:rsidR="00BC4D56" w:rsidRPr="000A5B5D" w:rsidTr="009B0771">
        <w:tc>
          <w:tcPr>
            <w:tcW w:w="510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spacing w:line="360" w:lineRule="auto"/>
              <w:jc w:val="left"/>
              <w:rPr>
                <w:rFonts w:eastAsiaTheme="minorEastAsia"/>
                <w:sz w:val="24"/>
                <w:szCs w:val="24"/>
              </w:rPr>
            </w:pPr>
            <w:r w:rsidRPr="000A5B5D">
              <w:rPr>
                <w:rFonts w:eastAsiaTheme="minorEastAsia" w:hint="eastAsia"/>
                <w:sz w:val="24"/>
                <w:szCs w:val="24"/>
              </w:rPr>
              <w:t>前五名客户合计销售金额（元）</w:t>
            </w:r>
          </w:p>
        </w:tc>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spacing w:line="360" w:lineRule="auto"/>
              <w:jc w:val="right"/>
              <w:rPr>
                <w:rFonts w:eastAsiaTheme="minorEastAsia"/>
                <w:sz w:val="24"/>
                <w:szCs w:val="24"/>
              </w:rPr>
            </w:pPr>
            <w:r w:rsidRPr="000A5B5D">
              <w:rPr>
                <w:rFonts w:eastAsiaTheme="minorEastAsia"/>
                <w:sz w:val="24"/>
                <w:szCs w:val="24"/>
              </w:rPr>
              <w:t>5,231,516,625.48</w:t>
            </w:r>
          </w:p>
        </w:tc>
      </w:tr>
      <w:tr w:rsidR="00BC4D56" w:rsidRPr="000A5B5D" w:rsidTr="009B0771">
        <w:tc>
          <w:tcPr>
            <w:tcW w:w="510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spacing w:line="360" w:lineRule="auto"/>
              <w:jc w:val="left"/>
              <w:rPr>
                <w:rFonts w:eastAsiaTheme="minorEastAsia"/>
                <w:sz w:val="24"/>
                <w:szCs w:val="24"/>
              </w:rPr>
            </w:pPr>
            <w:r w:rsidRPr="000A5B5D">
              <w:rPr>
                <w:rFonts w:eastAsiaTheme="minorEastAsia" w:hint="eastAsia"/>
                <w:sz w:val="24"/>
                <w:szCs w:val="24"/>
              </w:rPr>
              <w:t>前五名客户合计销售金额占年度销售总额比例</w:t>
            </w:r>
          </w:p>
        </w:tc>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0771">
            <w:pPr>
              <w:spacing w:line="360" w:lineRule="auto"/>
              <w:jc w:val="right"/>
              <w:rPr>
                <w:rFonts w:eastAsiaTheme="minorEastAsia"/>
                <w:sz w:val="24"/>
                <w:szCs w:val="24"/>
              </w:rPr>
            </w:pPr>
            <w:r w:rsidRPr="000A5B5D">
              <w:rPr>
                <w:rFonts w:eastAsiaTheme="minorEastAsia"/>
                <w:sz w:val="24"/>
                <w:szCs w:val="24"/>
              </w:rPr>
              <w:t>17.26%</w:t>
            </w:r>
          </w:p>
        </w:tc>
      </w:tr>
    </w:tbl>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公司前</w:t>
      </w:r>
      <w:r w:rsidRPr="000A5B5D">
        <w:rPr>
          <w:rFonts w:asciiTheme="minorEastAsia" w:eastAsiaTheme="minorEastAsia" w:hAnsiTheme="minorEastAsia"/>
          <w:sz w:val="24"/>
          <w:szCs w:val="24"/>
        </w:rPr>
        <w:t>5</w:t>
      </w:r>
      <w:r w:rsidRPr="000A5B5D">
        <w:rPr>
          <w:rFonts w:asciiTheme="minorEastAsia" w:eastAsiaTheme="minorEastAsia" w:hAnsiTheme="minorEastAsia" w:hint="eastAsia"/>
          <w:sz w:val="24"/>
          <w:szCs w:val="24"/>
        </w:rPr>
        <w:t>大客户资料</w:t>
      </w:r>
    </w:p>
    <w:tbl>
      <w:tblPr>
        <w:tblW w:w="0" w:type="auto"/>
        <w:jc w:val="center"/>
        <w:tblLayout w:type="fixed"/>
        <w:tblCellMar>
          <w:left w:w="28" w:type="dxa"/>
          <w:right w:w="28" w:type="dxa"/>
        </w:tblCellMar>
        <w:tblLook w:val="0000" w:firstRow="0" w:lastRow="0" w:firstColumn="0" w:lastColumn="0" w:noHBand="0" w:noVBand="0"/>
      </w:tblPr>
      <w:tblGrid>
        <w:gridCol w:w="802"/>
        <w:gridCol w:w="3734"/>
        <w:gridCol w:w="2375"/>
        <w:gridCol w:w="2657"/>
      </w:tblGrid>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序号</w:t>
            </w:r>
          </w:p>
        </w:tc>
        <w:tc>
          <w:tcPr>
            <w:tcW w:w="37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客户名称</w:t>
            </w:r>
          </w:p>
        </w:tc>
        <w:tc>
          <w:tcPr>
            <w:tcW w:w="237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销售额（元）</w:t>
            </w:r>
          </w:p>
        </w:tc>
        <w:tc>
          <w:tcPr>
            <w:tcW w:w="265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占年度销售总额比例</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1</w:t>
            </w:r>
          </w:p>
        </w:tc>
        <w:tc>
          <w:tcPr>
            <w:tcW w:w="37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浙江双兔新材料有限公司</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1,789,357,701.82</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5.90%</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2</w:t>
            </w:r>
          </w:p>
        </w:tc>
        <w:tc>
          <w:tcPr>
            <w:tcW w:w="37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浙江古纤道新材料股份有限公司</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1,001,909,201.57</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3.30%</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3</w:t>
            </w:r>
          </w:p>
        </w:tc>
        <w:tc>
          <w:tcPr>
            <w:tcW w:w="37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东南新材料（杭州）有限公司</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948,396,001.63</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3.13%</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4</w:t>
            </w:r>
          </w:p>
        </w:tc>
        <w:tc>
          <w:tcPr>
            <w:tcW w:w="37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宁波禾元控股有限公司</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847,295,709.13</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2.79%</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5</w:t>
            </w:r>
          </w:p>
        </w:tc>
        <w:tc>
          <w:tcPr>
            <w:tcW w:w="37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浙江古纤道绿色纤维有限公司</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644,558,011.33</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2.13%</w:t>
            </w:r>
          </w:p>
        </w:tc>
      </w:tr>
      <w:tr w:rsidR="00BC4D56" w:rsidRPr="000A5B5D" w:rsidTr="009B7B6C">
        <w:trPr>
          <w:jc w:val="center"/>
        </w:trPr>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合计</w:t>
            </w:r>
          </w:p>
        </w:tc>
        <w:tc>
          <w:tcPr>
            <w:tcW w:w="37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7B6C">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w:t>
            </w:r>
          </w:p>
        </w:tc>
        <w:tc>
          <w:tcPr>
            <w:tcW w:w="23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5,231,516,625.48</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7B6C">
            <w:pPr>
              <w:spacing w:line="360" w:lineRule="auto"/>
              <w:jc w:val="center"/>
              <w:rPr>
                <w:rFonts w:eastAsiaTheme="minorEastAsia"/>
                <w:sz w:val="24"/>
                <w:szCs w:val="24"/>
              </w:rPr>
            </w:pPr>
            <w:r w:rsidRPr="000A5B5D">
              <w:rPr>
                <w:rFonts w:eastAsiaTheme="minorEastAsia"/>
                <w:sz w:val="24"/>
                <w:szCs w:val="24"/>
              </w:rPr>
              <w:t>17.26%</w:t>
            </w:r>
          </w:p>
        </w:tc>
      </w:tr>
    </w:tbl>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主要客户其他情况说明</w:t>
      </w:r>
    </w:p>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适用</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不适用</w:t>
      </w:r>
      <w:r w:rsidRPr="000A5B5D">
        <w:rPr>
          <w:rFonts w:asciiTheme="minorEastAsia" w:eastAsiaTheme="minorEastAsia" w:hAnsiTheme="minorEastAsia"/>
          <w:sz w:val="24"/>
          <w:szCs w:val="24"/>
        </w:rPr>
        <w:t xml:space="preserve"> </w:t>
      </w:r>
    </w:p>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公司主要供应商情况</w:t>
      </w:r>
    </w:p>
    <w:tbl>
      <w:tblPr>
        <w:tblW w:w="0" w:type="auto"/>
        <w:tblInd w:w="28" w:type="dxa"/>
        <w:tblLayout w:type="fixed"/>
        <w:tblCellMar>
          <w:left w:w="28" w:type="dxa"/>
          <w:right w:w="28" w:type="dxa"/>
        </w:tblCellMar>
        <w:tblLook w:val="0000" w:firstRow="0" w:lastRow="0" w:firstColumn="0" w:lastColumn="0" w:noHBand="0" w:noVBand="0"/>
      </w:tblPr>
      <w:tblGrid>
        <w:gridCol w:w="6521"/>
        <w:gridCol w:w="3047"/>
      </w:tblGrid>
      <w:tr w:rsidR="00BC4D56" w:rsidRPr="000A5B5D" w:rsidTr="00A12D54">
        <w:tc>
          <w:tcPr>
            <w:tcW w:w="65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前五名供应商合计采购金额（元）</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97986">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9,210,017,480.70</w:t>
            </w:r>
          </w:p>
        </w:tc>
      </w:tr>
      <w:tr w:rsidR="00BC4D56" w:rsidRPr="000A5B5D" w:rsidTr="00A12D54">
        <w:tc>
          <w:tcPr>
            <w:tcW w:w="652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前五名供应商合计采购金额占年度采购总额比例</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97986">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3</w:t>
            </w:r>
            <w:r w:rsidR="00FD1698" w:rsidRPr="000A5B5D">
              <w:rPr>
                <w:rFonts w:asciiTheme="minorEastAsia" w:eastAsiaTheme="minorEastAsia" w:hAnsiTheme="minorEastAsia"/>
                <w:sz w:val="24"/>
                <w:szCs w:val="24"/>
              </w:rPr>
              <w:t>1</w:t>
            </w:r>
            <w:r w:rsidRPr="000A5B5D">
              <w:rPr>
                <w:rFonts w:asciiTheme="minorEastAsia" w:eastAsiaTheme="minorEastAsia" w:hAnsiTheme="minorEastAsia"/>
                <w:sz w:val="24"/>
                <w:szCs w:val="24"/>
              </w:rPr>
              <w:t>.</w:t>
            </w:r>
            <w:r w:rsidR="00FD1698" w:rsidRPr="000A5B5D">
              <w:rPr>
                <w:rFonts w:asciiTheme="minorEastAsia" w:eastAsiaTheme="minorEastAsia" w:hAnsiTheme="minorEastAsia"/>
                <w:sz w:val="24"/>
                <w:szCs w:val="24"/>
              </w:rPr>
              <w:t>7</w:t>
            </w:r>
            <w:r w:rsidRPr="000A5B5D">
              <w:rPr>
                <w:rFonts w:asciiTheme="minorEastAsia" w:eastAsiaTheme="minorEastAsia" w:hAnsiTheme="minorEastAsia"/>
                <w:sz w:val="24"/>
                <w:szCs w:val="24"/>
              </w:rPr>
              <w:t>6%</w:t>
            </w:r>
          </w:p>
        </w:tc>
      </w:tr>
    </w:tbl>
    <w:p w:rsidR="00BC4D56" w:rsidRPr="000A5B5D" w:rsidRDefault="00BC4D56" w:rsidP="009B077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公司前</w:t>
      </w:r>
      <w:r w:rsidRPr="000A5B5D">
        <w:rPr>
          <w:rFonts w:asciiTheme="minorEastAsia" w:eastAsiaTheme="minorEastAsia" w:hAnsiTheme="minorEastAsia"/>
          <w:sz w:val="24"/>
          <w:szCs w:val="24"/>
        </w:rPr>
        <w:t>5</w:t>
      </w:r>
      <w:r w:rsidRPr="000A5B5D">
        <w:rPr>
          <w:rFonts w:asciiTheme="minorEastAsia" w:eastAsiaTheme="minorEastAsia" w:hAnsiTheme="minorEastAsia" w:hint="eastAsia"/>
          <w:sz w:val="24"/>
          <w:szCs w:val="24"/>
        </w:rPr>
        <w:t>名供应商资料</w:t>
      </w:r>
    </w:p>
    <w:tbl>
      <w:tblPr>
        <w:tblW w:w="0" w:type="auto"/>
        <w:tblInd w:w="28" w:type="dxa"/>
        <w:tblLayout w:type="fixed"/>
        <w:tblCellMar>
          <w:left w:w="28" w:type="dxa"/>
          <w:right w:w="28" w:type="dxa"/>
        </w:tblCellMar>
        <w:tblLook w:val="0000" w:firstRow="0" w:lastRow="0" w:firstColumn="0" w:lastColumn="0" w:noHBand="0" w:noVBand="0"/>
      </w:tblPr>
      <w:tblGrid>
        <w:gridCol w:w="935"/>
        <w:gridCol w:w="4168"/>
        <w:gridCol w:w="2127"/>
        <w:gridCol w:w="2338"/>
      </w:tblGrid>
      <w:tr w:rsidR="00BC4D56" w:rsidRPr="000A5B5D" w:rsidTr="00A12D54">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12D54">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序号</w:t>
            </w:r>
          </w:p>
        </w:tc>
        <w:tc>
          <w:tcPr>
            <w:tcW w:w="41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12D54">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供应商名称</w:t>
            </w:r>
          </w:p>
        </w:tc>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12D54">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采购额（元）</w:t>
            </w:r>
          </w:p>
        </w:tc>
        <w:tc>
          <w:tcPr>
            <w:tcW w:w="23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A12D54">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占年度采购总额比例</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lastRenderedPageBreak/>
              <w:t>1</w:t>
            </w:r>
          </w:p>
        </w:tc>
        <w:tc>
          <w:tcPr>
            <w:tcW w:w="4168" w:type="dxa"/>
            <w:tcBorders>
              <w:top w:val="single" w:sz="4" w:space="0" w:color="auto"/>
              <w:left w:val="single" w:sz="4" w:space="0" w:color="auto"/>
              <w:bottom w:val="single" w:sz="4" w:space="0" w:color="auto"/>
              <w:right w:val="single" w:sz="4" w:space="0" w:color="auto"/>
            </w:tcBorders>
            <w:shd w:val="clear" w:color="auto" w:fill="FFFFFF"/>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MITSUI &amp;CO.,LTD</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3,383,267,836.14</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11.67%</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2</w:t>
            </w:r>
          </w:p>
        </w:tc>
        <w:tc>
          <w:tcPr>
            <w:tcW w:w="4168" w:type="dxa"/>
            <w:tcBorders>
              <w:top w:val="single" w:sz="4" w:space="0" w:color="auto"/>
              <w:left w:val="single" w:sz="4" w:space="0" w:color="auto"/>
              <w:bottom w:val="single" w:sz="4" w:space="0" w:color="auto"/>
              <w:right w:val="single" w:sz="4" w:space="0" w:color="auto"/>
            </w:tcBorders>
            <w:shd w:val="clear" w:color="auto" w:fill="FFFFFF"/>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中国石化化工销售有限公司宁波经营部</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2,289,673,602.39</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7.90%</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3</w:t>
            </w:r>
          </w:p>
        </w:tc>
        <w:tc>
          <w:tcPr>
            <w:tcW w:w="4168" w:type="dxa"/>
            <w:tcBorders>
              <w:top w:val="single" w:sz="4" w:space="0" w:color="auto"/>
              <w:left w:val="single" w:sz="4" w:space="0" w:color="auto"/>
              <w:bottom w:val="single" w:sz="4" w:space="0" w:color="auto"/>
              <w:right w:val="single" w:sz="4" w:space="0" w:color="auto"/>
            </w:tcBorders>
            <w:shd w:val="clear" w:color="auto" w:fill="FFFFFF"/>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宁波中金石化有限公司</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1,827,176,967.26</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6.30%</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4</w:t>
            </w:r>
          </w:p>
        </w:tc>
        <w:tc>
          <w:tcPr>
            <w:tcW w:w="4168" w:type="dxa"/>
            <w:tcBorders>
              <w:top w:val="single" w:sz="4" w:space="0" w:color="auto"/>
              <w:left w:val="single" w:sz="4" w:space="0" w:color="auto"/>
              <w:bottom w:val="single" w:sz="4" w:space="0" w:color="auto"/>
              <w:right w:val="single" w:sz="4" w:space="0" w:color="auto"/>
            </w:tcBorders>
            <w:shd w:val="clear" w:color="auto" w:fill="FFFFFF"/>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福建联合石油化工</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1,002,244,142.62</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3.46%</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5</w:t>
            </w:r>
          </w:p>
        </w:tc>
        <w:tc>
          <w:tcPr>
            <w:tcW w:w="4168" w:type="dxa"/>
            <w:tcBorders>
              <w:top w:val="single" w:sz="4" w:space="0" w:color="auto"/>
              <w:left w:val="single" w:sz="4" w:space="0" w:color="auto"/>
              <w:bottom w:val="single" w:sz="4" w:space="0" w:color="auto"/>
              <w:right w:val="single" w:sz="4" w:space="0" w:color="auto"/>
            </w:tcBorders>
            <w:shd w:val="clear" w:color="auto" w:fill="FFFFFF"/>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SK networks Co.,Ltd</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707,654,932.29</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2.44%</w:t>
            </w:r>
          </w:p>
        </w:tc>
      </w:tr>
      <w:tr w:rsidR="00347003" w:rsidRPr="000A5B5D" w:rsidTr="00997986">
        <w:tc>
          <w:tcPr>
            <w:tcW w:w="935"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合计</w:t>
            </w:r>
          </w:p>
        </w:tc>
        <w:tc>
          <w:tcPr>
            <w:tcW w:w="4168" w:type="dxa"/>
            <w:tcBorders>
              <w:top w:val="single" w:sz="4" w:space="0" w:color="auto"/>
              <w:left w:val="single" w:sz="4" w:space="0" w:color="auto"/>
              <w:bottom w:val="single" w:sz="4" w:space="0" w:color="auto"/>
              <w:right w:val="single" w:sz="4" w:space="0" w:color="auto"/>
            </w:tcBorders>
            <w:shd w:val="clear" w:color="auto" w:fill="D3D3D3"/>
            <w:vAlign w:val="center"/>
          </w:tcPr>
          <w:p w:rsidR="00347003" w:rsidRPr="000A5B5D" w:rsidRDefault="00347003" w:rsidP="00347003">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9,210,017,480.70</w:t>
            </w:r>
          </w:p>
        </w:tc>
        <w:tc>
          <w:tcPr>
            <w:tcW w:w="2338" w:type="dxa"/>
            <w:tcBorders>
              <w:top w:val="single" w:sz="4" w:space="0" w:color="auto"/>
              <w:left w:val="single" w:sz="4" w:space="0" w:color="auto"/>
              <w:bottom w:val="single" w:sz="4" w:space="0" w:color="auto"/>
              <w:right w:val="single" w:sz="4" w:space="0" w:color="auto"/>
            </w:tcBorders>
            <w:shd w:val="clear" w:color="auto" w:fill="FFFFFF"/>
          </w:tcPr>
          <w:p w:rsidR="00347003" w:rsidRPr="000A5B5D" w:rsidRDefault="00347003" w:rsidP="00347003">
            <w:pPr>
              <w:spacing w:line="360" w:lineRule="auto"/>
              <w:jc w:val="center"/>
              <w:rPr>
                <w:sz w:val="24"/>
                <w:szCs w:val="24"/>
              </w:rPr>
            </w:pPr>
            <w:r w:rsidRPr="000A5B5D">
              <w:rPr>
                <w:sz w:val="24"/>
                <w:szCs w:val="24"/>
              </w:rPr>
              <w:t>31.76%</w:t>
            </w:r>
          </w:p>
        </w:tc>
      </w:tr>
    </w:tbl>
    <w:p w:rsidR="00BC4D56" w:rsidRPr="000A5B5D" w:rsidRDefault="00BC4D56" w:rsidP="00746A1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主要供应商其他情况说明</w:t>
      </w:r>
    </w:p>
    <w:p w:rsidR="00BC4D56" w:rsidRPr="000A5B5D" w:rsidRDefault="00BC4D56" w:rsidP="00746A1A">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适用</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不适用</w:t>
      </w:r>
      <w:r w:rsidRPr="000A5B5D">
        <w:rPr>
          <w:rFonts w:asciiTheme="minorEastAsia" w:eastAsiaTheme="minorEastAsia" w:hAnsiTheme="minorEastAsia"/>
          <w:sz w:val="24"/>
          <w:szCs w:val="24"/>
        </w:rPr>
        <w:t xml:space="preserve"> </w:t>
      </w:r>
    </w:p>
    <w:p w:rsidR="00BC4D56" w:rsidRPr="000A5B5D" w:rsidRDefault="00BC4D56" w:rsidP="00746A1A">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、费用</w:t>
      </w:r>
    </w:p>
    <w:p w:rsidR="00BC4D56" w:rsidRPr="000A5B5D" w:rsidRDefault="00BC4D56" w:rsidP="00746A1A">
      <w:pPr>
        <w:wordWrap w:val="0"/>
        <w:spacing w:line="360" w:lineRule="auto"/>
        <w:jc w:val="righ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单位：元</w:t>
      </w:r>
      <w:r w:rsidR="00746A1A" w:rsidRPr="000A5B5D">
        <w:rPr>
          <w:rFonts w:asciiTheme="minorEastAsia" w:eastAsiaTheme="minorEastAsia" w:hAnsiTheme="minorEastAsia"/>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985"/>
        <w:gridCol w:w="1928"/>
        <w:gridCol w:w="1461"/>
        <w:gridCol w:w="2918"/>
      </w:tblGrid>
      <w:tr w:rsidR="00BC4D56" w:rsidRPr="000A5B5D" w:rsidTr="00746A1A">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2015</w:t>
            </w:r>
            <w:r w:rsidRPr="000A5B5D">
              <w:rPr>
                <w:rFonts w:eastAsiaTheme="minorEastAsia" w:hint="eastAsia"/>
                <w:sz w:val="24"/>
                <w:szCs w:val="24"/>
              </w:rPr>
              <w:t>年</w:t>
            </w:r>
          </w:p>
        </w:tc>
        <w:tc>
          <w:tcPr>
            <w:tcW w:w="192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2014</w:t>
            </w:r>
            <w:r w:rsidRPr="000A5B5D">
              <w:rPr>
                <w:rFonts w:eastAsiaTheme="minorEastAsia" w:hint="eastAsia"/>
                <w:sz w:val="24"/>
                <w:szCs w:val="24"/>
              </w:rPr>
              <w:t>年</w:t>
            </w:r>
          </w:p>
        </w:tc>
        <w:tc>
          <w:tcPr>
            <w:tcW w:w="146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同比增减</w:t>
            </w:r>
          </w:p>
        </w:tc>
        <w:tc>
          <w:tcPr>
            <w:tcW w:w="29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重大变动说明</w:t>
            </w:r>
          </w:p>
        </w:tc>
      </w:tr>
      <w:tr w:rsidR="00BC4D56" w:rsidRPr="000A5B5D" w:rsidTr="00746A1A">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销售费用</w:t>
            </w:r>
          </w:p>
        </w:tc>
        <w:tc>
          <w:tcPr>
            <w:tcW w:w="1985"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328,044,585.93</w:t>
            </w:r>
          </w:p>
        </w:tc>
        <w:tc>
          <w:tcPr>
            <w:tcW w:w="192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325,472,641.02</w:t>
            </w:r>
          </w:p>
        </w:tc>
        <w:tc>
          <w:tcPr>
            <w:tcW w:w="146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0.79%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无重大变动</w:t>
            </w:r>
          </w:p>
        </w:tc>
      </w:tr>
      <w:tr w:rsidR="00BC4D56" w:rsidRPr="000A5B5D" w:rsidTr="00746A1A">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管理费用</w:t>
            </w:r>
          </w:p>
        </w:tc>
        <w:tc>
          <w:tcPr>
            <w:tcW w:w="1985"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347,526,366.86</w:t>
            </w:r>
          </w:p>
        </w:tc>
        <w:tc>
          <w:tcPr>
            <w:tcW w:w="192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324,484,606.65</w:t>
            </w:r>
          </w:p>
        </w:tc>
        <w:tc>
          <w:tcPr>
            <w:tcW w:w="146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7.10%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无重大变动</w:t>
            </w:r>
          </w:p>
        </w:tc>
      </w:tr>
      <w:tr w:rsidR="00BC4D56" w:rsidRPr="000A5B5D" w:rsidTr="00746A1A">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hint="eastAsia"/>
                <w:sz w:val="24"/>
                <w:szCs w:val="24"/>
              </w:rPr>
              <w:t>财务费用</w:t>
            </w:r>
          </w:p>
        </w:tc>
        <w:tc>
          <w:tcPr>
            <w:tcW w:w="1985"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940,171,464.25</w:t>
            </w:r>
          </w:p>
        </w:tc>
        <w:tc>
          <w:tcPr>
            <w:tcW w:w="192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499,620,516.12</w:t>
            </w:r>
          </w:p>
        </w:tc>
        <w:tc>
          <w:tcPr>
            <w:tcW w:w="146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jc w:val="center"/>
              <w:rPr>
                <w:rFonts w:eastAsiaTheme="minorEastAsia"/>
                <w:sz w:val="24"/>
                <w:szCs w:val="24"/>
              </w:rPr>
            </w:pPr>
            <w:r w:rsidRPr="000A5B5D">
              <w:rPr>
                <w:rFonts w:eastAsiaTheme="minorEastAsia"/>
                <w:sz w:val="24"/>
                <w:szCs w:val="24"/>
              </w:rPr>
              <w:t>88.18%</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46A1A">
            <w:pPr>
              <w:spacing w:line="360" w:lineRule="auto"/>
              <w:rPr>
                <w:rFonts w:eastAsiaTheme="minorEastAsia"/>
                <w:sz w:val="24"/>
                <w:szCs w:val="24"/>
              </w:rPr>
            </w:pPr>
            <w:r w:rsidRPr="000A5B5D">
              <w:rPr>
                <w:rFonts w:eastAsiaTheme="minorEastAsia" w:hint="eastAsia"/>
                <w:sz w:val="24"/>
                <w:szCs w:val="24"/>
              </w:rPr>
              <w:t>美元对人民币升值，导致公司产生较大汇兑损失</w:t>
            </w:r>
          </w:p>
        </w:tc>
      </w:tr>
    </w:tbl>
    <w:p w:rsidR="00BC4D56" w:rsidRPr="000A5B5D" w:rsidRDefault="00747CB3" w:rsidP="00746A1A">
      <w:pPr>
        <w:pStyle w:val="Section"/>
        <w:spacing w:line="360" w:lineRule="auto"/>
        <w:outlineLvl w:val="2"/>
        <w:rPr>
          <w:rFonts w:asciiTheme="minorEastAsia" w:eastAsiaTheme="minorEastAsia" w:hAnsiTheme="minorEastAsia"/>
          <w:bCs w:val="0"/>
          <w:sz w:val="24"/>
          <w:szCs w:val="24"/>
        </w:rPr>
      </w:pPr>
      <w:r w:rsidRPr="000A5B5D">
        <w:rPr>
          <w:rFonts w:asciiTheme="minorEastAsia" w:eastAsiaTheme="minorEastAsia" w:hAnsiTheme="minorEastAsia"/>
          <w:bCs w:val="0"/>
          <w:sz w:val="24"/>
          <w:szCs w:val="24"/>
        </w:rPr>
        <w:t>4</w:t>
      </w:r>
      <w:r w:rsidR="00BC4D56" w:rsidRPr="000A5B5D">
        <w:rPr>
          <w:rFonts w:asciiTheme="minorEastAsia" w:eastAsiaTheme="minorEastAsia" w:hAnsiTheme="minorEastAsia" w:hint="eastAsia"/>
          <w:bCs w:val="0"/>
          <w:sz w:val="24"/>
          <w:szCs w:val="24"/>
        </w:rPr>
        <w:t>、现金流</w:t>
      </w:r>
    </w:p>
    <w:p w:rsidR="00BC4D56" w:rsidRPr="000A5B5D" w:rsidRDefault="00BC4D56" w:rsidP="00326982">
      <w:pPr>
        <w:wordWrap w:val="0"/>
        <w:spacing w:line="360" w:lineRule="auto"/>
        <w:jc w:val="righ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单位：元</w:t>
      </w:r>
      <w:r w:rsidR="00326982" w:rsidRPr="000A5B5D">
        <w:rPr>
          <w:rFonts w:asciiTheme="minorEastAsia" w:eastAsiaTheme="minorEastAsia" w:hAnsiTheme="minorEastAsia"/>
          <w:sz w:val="24"/>
          <w:szCs w:val="24"/>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3686"/>
        <w:gridCol w:w="2410"/>
        <w:gridCol w:w="2268"/>
        <w:gridCol w:w="1204"/>
      </w:tblGrid>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项目</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2015</w:t>
            </w:r>
            <w:r w:rsidRPr="000A5B5D">
              <w:rPr>
                <w:rFonts w:eastAsiaTheme="minorEastAsia" w:hint="eastAsia"/>
                <w:sz w:val="24"/>
                <w:szCs w:val="24"/>
              </w:rPr>
              <w:t>年</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2014</w:t>
            </w:r>
            <w:r w:rsidRPr="000A5B5D">
              <w:rPr>
                <w:rFonts w:eastAsiaTheme="minorEastAsia" w:hint="eastAsia"/>
                <w:sz w:val="24"/>
                <w:szCs w:val="24"/>
              </w:rPr>
              <w:t>年</w:t>
            </w:r>
          </w:p>
        </w:tc>
        <w:tc>
          <w:tcPr>
            <w:tcW w:w="120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同比增减</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经营活动现金流入小计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44,143,076,894.27</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35,722,689,502.17</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23.57%</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经营活动现金流出小计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43,732,889,469.50</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33,841,895,530.37</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29.23%</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经营活动产生的现金流量净额</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410,187,424.77</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1,880,793,971.80</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-78.19%</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投资活动现金流入小计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949,585,284.66</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205,160,099.21</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362.85%</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投资活动现金流出小计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2,293,786,213.56</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1,520,730,172.50</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50.83%</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lastRenderedPageBreak/>
              <w:t>投资活动产生的现金流量净额</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-1,344,200,928.90</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-1,315,570,073.29</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4AB5" w:rsidP="008B5656">
            <w:pPr>
              <w:spacing w:line="360" w:lineRule="auto"/>
              <w:jc w:val="center"/>
              <w:rPr>
                <w:rFonts w:eastAsiaTheme="minorEastAsia"/>
                <w:sz w:val="24"/>
                <w:szCs w:val="24"/>
              </w:rPr>
            </w:pPr>
            <w:r w:rsidRPr="000A5B5D">
              <w:rPr>
                <w:rFonts w:eastAsiaTheme="minorEastAsia"/>
                <w:sz w:val="24"/>
                <w:szCs w:val="24"/>
              </w:rPr>
              <w:t>-</w:t>
            </w:r>
            <w:r w:rsidR="00BC4D56" w:rsidRPr="000A5B5D">
              <w:rPr>
                <w:rFonts w:eastAsiaTheme="minorEastAsia"/>
                <w:sz w:val="24"/>
                <w:szCs w:val="24"/>
              </w:rPr>
              <w:t>2.18%</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筹资活动现金流入小计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21,929,062,387.53</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19,132,120,900.17</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14.62%</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hint="eastAsia"/>
                <w:sz w:val="24"/>
                <w:szCs w:val="24"/>
              </w:rPr>
              <w:t>筹资活动现金流出小计</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21,672,873,876.24</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19,046,983,900.65</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rFonts w:eastAsiaTheme="minorEastAsia"/>
                <w:sz w:val="24"/>
                <w:szCs w:val="24"/>
              </w:rPr>
            </w:pPr>
            <w:r w:rsidRPr="000A5B5D">
              <w:rPr>
                <w:rFonts w:eastAsiaTheme="minorEastAsia"/>
                <w:sz w:val="24"/>
                <w:szCs w:val="24"/>
              </w:rPr>
              <w:t>13.79%</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sz w:val="24"/>
                <w:szCs w:val="24"/>
              </w:rPr>
            </w:pPr>
            <w:r w:rsidRPr="000A5B5D">
              <w:rPr>
                <w:rFonts w:hint="eastAsia"/>
                <w:sz w:val="24"/>
                <w:szCs w:val="24"/>
              </w:rPr>
              <w:t>筹资活动产生的现金流量净额</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sz w:val="24"/>
                <w:szCs w:val="24"/>
              </w:rPr>
            </w:pPr>
            <w:r w:rsidRPr="000A5B5D">
              <w:rPr>
                <w:sz w:val="24"/>
                <w:szCs w:val="24"/>
              </w:rPr>
              <w:t>256,188,511.29</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sz w:val="24"/>
                <w:szCs w:val="24"/>
              </w:rPr>
            </w:pPr>
            <w:r w:rsidRPr="000A5B5D">
              <w:rPr>
                <w:sz w:val="24"/>
                <w:szCs w:val="24"/>
              </w:rPr>
              <w:t>85,136,999.52</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sz w:val="24"/>
                <w:szCs w:val="24"/>
              </w:rPr>
            </w:pPr>
            <w:r w:rsidRPr="000A5B5D">
              <w:rPr>
                <w:sz w:val="24"/>
                <w:szCs w:val="24"/>
              </w:rPr>
              <w:t>200.91%</w:t>
            </w:r>
          </w:p>
        </w:tc>
      </w:tr>
      <w:tr w:rsidR="00BC4D56" w:rsidRPr="000A5B5D" w:rsidTr="00326982">
        <w:trPr>
          <w:jc w:val="center"/>
        </w:trPr>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B5656">
            <w:pPr>
              <w:spacing w:line="360" w:lineRule="auto"/>
              <w:jc w:val="center"/>
              <w:rPr>
                <w:sz w:val="24"/>
                <w:szCs w:val="24"/>
              </w:rPr>
            </w:pPr>
            <w:r w:rsidRPr="000A5B5D">
              <w:rPr>
                <w:rFonts w:hint="eastAsia"/>
                <w:sz w:val="24"/>
                <w:szCs w:val="24"/>
              </w:rPr>
              <w:t>现金及现金等价物净增加额</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sz w:val="24"/>
                <w:szCs w:val="24"/>
              </w:rPr>
            </w:pPr>
            <w:r w:rsidRPr="000A5B5D">
              <w:rPr>
                <w:sz w:val="24"/>
                <w:szCs w:val="24"/>
              </w:rPr>
              <w:t>-572,815,675.03</w:t>
            </w:r>
          </w:p>
        </w:tc>
        <w:tc>
          <w:tcPr>
            <w:tcW w:w="2268"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8B5656">
            <w:pPr>
              <w:spacing w:line="360" w:lineRule="auto"/>
              <w:jc w:val="center"/>
              <w:rPr>
                <w:sz w:val="24"/>
                <w:szCs w:val="24"/>
              </w:rPr>
            </w:pPr>
            <w:r w:rsidRPr="000A5B5D">
              <w:rPr>
                <w:sz w:val="24"/>
                <w:szCs w:val="24"/>
              </w:rPr>
              <w:t>656,645,578.83</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B5656">
            <w:pPr>
              <w:spacing w:line="360" w:lineRule="auto"/>
              <w:jc w:val="center"/>
              <w:rPr>
                <w:sz w:val="24"/>
                <w:szCs w:val="24"/>
              </w:rPr>
            </w:pPr>
            <w:r w:rsidRPr="000A5B5D">
              <w:rPr>
                <w:sz w:val="24"/>
                <w:szCs w:val="24"/>
              </w:rPr>
              <w:t>-187.23%</w:t>
            </w:r>
          </w:p>
        </w:tc>
      </w:tr>
    </w:tbl>
    <w:p w:rsidR="00BC4D56" w:rsidRPr="000A5B5D" w:rsidRDefault="00BC4D56" w:rsidP="008B5656">
      <w:pPr>
        <w:autoSpaceDE w:val="0"/>
        <w:autoSpaceDN w:val="0"/>
        <w:adjustRightInd w:val="0"/>
        <w:spacing w:line="360" w:lineRule="auto"/>
        <w:jc w:val="left"/>
        <w:rPr>
          <w:rFonts w:eastAsia="Times New Roman"/>
          <w:b/>
          <w:kern w:val="0"/>
          <w:sz w:val="24"/>
          <w:szCs w:val="24"/>
          <w:lang w:val="zh-CN"/>
        </w:rPr>
      </w:pPr>
      <w:r w:rsidRPr="000A5B5D">
        <w:rPr>
          <w:rFonts w:hint="eastAsia"/>
          <w:b/>
          <w:kern w:val="0"/>
          <w:sz w:val="24"/>
          <w:szCs w:val="24"/>
          <w:lang w:val="zh-CN"/>
        </w:rPr>
        <w:t>相关数据同比发生变动</w:t>
      </w:r>
      <w:r w:rsidRPr="000A5B5D">
        <w:rPr>
          <w:rFonts w:eastAsia="Times New Roman"/>
          <w:b/>
          <w:kern w:val="0"/>
          <w:sz w:val="24"/>
          <w:szCs w:val="24"/>
          <w:lang w:val="zh-CN"/>
        </w:rPr>
        <w:t>30%</w:t>
      </w:r>
      <w:r w:rsidRPr="000A5B5D">
        <w:rPr>
          <w:rFonts w:hint="eastAsia"/>
          <w:b/>
          <w:kern w:val="0"/>
          <w:sz w:val="24"/>
          <w:szCs w:val="24"/>
          <w:lang w:val="zh-CN"/>
        </w:rPr>
        <w:t>以上的原因说明</w:t>
      </w:r>
    </w:p>
    <w:p w:rsidR="00BC4D56" w:rsidRPr="000A5B5D" w:rsidRDefault="00BC4D56" w:rsidP="008B5656">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hint="eastAsia"/>
          <w:kern w:val="0"/>
          <w:sz w:val="24"/>
          <w:szCs w:val="24"/>
          <w:lang w:val="zh-CN"/>
        </w:rPr>
        <w:t>经营活动产生的现金流量净额同比大幅减少，原因为因美元升值，增加国内采购，货款支付周期缩短，导致购买商品支付的现金增加；</w:t>
      </w:r>
    </w:p>
    <w:p w:rsidR="00BC4D56" w:rsidRPr="000A5B5D" w:rsidRDefault="00BC4D56" w:rsidP="008B5656">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hint="eastAsia"/>
          <w:kern w:val="0"/>
          <w:sz w:val="24"/>
          <w:szCs w:val="24"/>
          <w:lang w:val="zh-CN"/>
        </w:rPr>
        <w:t>投资活动现金流入小计同比上涨</w:t>
      </w:r>
      <w:r w:rsidRPr="000A5B5D">
        <w:rPr>
          <w:rFonts w:eastAsia="Times New Roman"/>
          <w:kern w:val="0"/>
          <w:sz w:val="24"/>
          <w:szCs w:val="24"/>
          <w:lang w:val="zh-CN"/>
        </w:rPr>
        <w:t>362.85%</w:t>
      </w:r>
      <w:r w:rsidRPr="000A5B5D">
        <w:rPr>
          <w:rFonts w:hint="eastAsia"/>
          <w:kern w:val="0"/>
          <w:sz w:val="24"/>
          <w:szCs w:val="24"/>
          <w:lang w:val="zh-CN"/>
        </w:rPr>
        <w:t>，主要原因为委托贷款到期收回；</w:t>
      </w:r>
    </w:p>
    <w:p w:rsidR="00BC4D56" w:rsidRPr="000A5B5D" w:rsidRDefault="00BC4D56" w:rsidP="008B5656">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hint="eastAsia"/>
          <w:kern w:val="0"/>
          <w:sz w:val="24"/>
          <w:szCs w:val="24"/>
          <w:lang w:val="zh-CN"/>
        </w:rPr>
        <w:t>投资活动现金流出小计同比上涨</w:t>
      </w:r>
      <w:r w:rsidRPr="000A5B5D">
        <w:rPr>
          <w:rFonts w:eastAsia="Times New Roman"/>
          <w:kern w:val="0"/>
          <w:sz w:val="24"/>
          <w:szCs w:val="24"/>
          <w:lang w:val="zh-CN"/>
        </w:rPr>
        <w:t>50.83%</w:t>
      </w:r>
      <w:r w:rsidRPr="000A5B5D">
        <w:rPr>
          <w:rFonts w:hint="eastAsia"/>
          <w:kern w:val="0"/>
          <w:sz w:val="24"/>
          <w:szCs w:val="24"/>
          <w:lang w:val="zh-CN"/>
        </w:rPr>
        <w:t>，原因为增加对浙商银行和海南逸盛的投资；</w:t>
      </w:r>
    </w:p>
    <w:p w:rsidR="00BC4D56" w:rsidRPr="000A5B5D" w:rsidRDefault="00BC4D56" w:rsidP="008B5656">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hint="eastAsia"/>
          <w:kern w:val="0"/>
          <w:sz w:val="24"/>
          <w:szCs w:val="24"/>
          <w:lang w:val="zh-CN"/>
        </w:rPr>
        <w:t>筹资活动产生的现金流量净额同比上涨</w:t>
      </w:r>
      <w:r w:rsidRPr="000A5B5D">
        <w:rPr>
          <w:rFonts w:eastAsia="Times New Roman"/>
          <w:kern w:val="0"/>
          <w:sz w:val="24"/>
          <w:szCs w:val="24"/>
          <w:lang w:val="zh-CN"/>
        </w:rPr>
        <w:t>191.32%</w:t>
      </w:r>
      <w:r w:rsidRPr="000A5B5D">
        <w:rPr>
          <w:rFonts w:hint="eastAsia"/>
          <w:kern w:val="0"/>
          <w:sz w:val="24"/>
          <w:szCs w:val="24"/>
          <w:lang w:val="zh-CN"/>
        </w:rPr>
        <w:t>，主要原因是报告期定增、股权激励收到的现金增加。</w:t>
      </w:r>
    </w:p>
    <w:p w:rsidR="00BC4D56" w:rsidRPr="000A5B5D" w:rsidRDefault="00BC4D56" w:rsidP="008B5656">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hint="eastAsia"/>
          <w:kern w:val="0"/>
          <w:sz w:val="24"/>
          <w:szCs w:val="24"/>
          <w:lang w:val="zh-CN"/>
        </w:rPr>
        <w:t>现金及现金等价物净增加额同比大幅下降，主要受销售收款方式变化的影响。</w:t>
      </w:r>
    </w:p>
    <w:p w:rsidR="00BC4D56" w:rsidRPr="000A5B5D" w:rsidRDefault="00BC4D56" w:rsidP="008B5656">
      <w:pPr>
        <w:spacing w:line="360" w:lineRule="auto"/>
        <w:jc w:val="left"/>
        <w:rPr>
          <w:sz w:val="24"/>
          <w:szCs w:val="24"/>
        </w:rPr>
      </w:pPr>
      <w:r w:rsidRPr="000A5B5D">
        <w:rPr>
          <w:rFonts w:hint="eastAsia"/>
          <w:sz w:val="24"/>
          <w:szCs w:val="24"/>
        </w:rPr>
        <w:t>报告期内公司经营活动产生的现金净流量与本年度净利润存在重大差异的原因说明</w:t>
      </w:r>
    </w:p>
    <w:p w:rsidR="00BC4D56" w:rsidRPr="000A5B5D" w:rsidRDefault="00BC4D56" w:rsidP="008B5656">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pPr>
        <w:pStyle w:val="Chapter"/>
        <w:outlineLvl w:val="1"/>
        <w:rPr>
          <w:bCs w:val="0"/>
        </w:rPr>
      </w:pPr>
      <w:r w:rsidRPr="000A5B5D">
        <w:rPr>
          <w:rFonts w:hint="eastAsia"/>
          <w:bCs w:val="0"/>
        </w:rPr>
        <w:t>三、非主营业务分析</w:t>
      </w:r>
    </w:p>
    <w:p w:rsidR="00BC4D56" w:rsidRPr="000A5B5D" w:rsidRDefault="00BC4D56" w:rsidP="00365B9A">
      <w:pPr>
        <w:wordWrap w:val="0"/>
        <w:jc w:val="right"/>
        <w:rPr>
          <w:sz w:val="24"/>
          <w:szCs w:val="24"/>
        </w:rPr>
      </w:pPr>
      <w:r w:rsidRPr="000A5B5D">
        <w:rPr>
          <w:rFonts w:hint="eastAsia"/>
          <w:sz w:val="24"/>
          <w:szCs w:val="24"/>
        </w:rPr>
        <w:t>单位：元</w:t>
      </w:r>
      <w:r w:rsidR="00365B9A"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559"/>
        <w:gridCol w:w="1134"/>
        <w:gridCol w:w="4536"/>
        <w:gridCol w:w="1063"/>
      </w:tblGrid>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center"/>
              <w:rPr>
                <w:sz w:val="24"/>
                <w:szCs w:val="24"/>
              </w:rPr>
            </w:pPr>
            <w:r w:rsidRPr="000A5B5D">
              <w:rPr>
                <w:rFonts w:hint="eastAsia"/>
                <w:sz w:val="24"/>
                <w:szCs w:val="24"/>
              </w:rPr>
              <w:t>金额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center"/>
              <w:rPr>
                <w:sz w:val="24"/>
                <w:szCs w:val="24"/>
              </w:rPr>
            </w:pPr>
            <w:r w:rsidRPr="000A5B5D">
              <w:rPr>
                <w:rFonts w:hint="eastAsia"/>
                <w:sz w:val="24"/>
                <w:szCs w:val="24"/>
              </w:rPr>
              <w:t>占利润总额比例</w:t>
            </w:r>
          </w:p>
        </w:tc>
        <w:tc>
          <w:tcPr>
            <w:tcW w:w="453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center"/>
              <w:rPr>
                <w:sz w:val="24"/>
                <w:szCs w:val="24"/>
              </w:rPr>
            </w:pPr>
            <w:r w:rsidRPr="000A5B5D">
              <w:rPr>
                <w:rFonts w:hint="eastAsia"/>
                <w:sz w:val="24"/>
                <w:szCs w:val="24"/>
              </w:rPr>
              <w:t>形成原因说明</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center"/>
              <w:rPr>
                <w:sz w:val="24"/>
                <w:szCs w:val="24"/>
              </w:rPr>
            </w:pPr>
            <w:r w:rsidRPr="000A5B5D">
              <w:rPr>
                <w:rFonts w:hint="eastAsia"/>
                <w:sz w:val="24"/>
                <w:szCs w:val="24"/>
              </w:rPr>
              <w:t>是否具有可持续性</w:t>
            </w:r>
          </w:p>
        </w:tc>
      </w:tr>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left"/>
              <w:rPr>
                <w:sz w:val="24"/>
                <w:szCs w:val="24"/>
              </w:rPr>
            </w:pPr>
            <w:r w:rsidRPr="000A5B5D">
              <w:rPr>
                <w:rFonts w:hint="eastAsia"/>
                <w:sz w:val="24"/>
                <w:szCs w:val="24"/>
              </w:rPr>
              <w:t>投资收益</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502,605,854.74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234.40%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本期因对浙商银行持股比例增加，并能对其产生重大影响，而将对该公司投资从可供出售金融资产转入长期股权投资按权益法核算，由此产生大额投资收益</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否</w:t>
            </w:r>
          </w:p>
        </w:tc>
      </w:tr>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left"/>
              <w:rPr>
                <w:sz w:val="24"/>
                <w:szCs w:val="24"/>
              </w:rPr>
            </w:pPr>
            <w:r w:rsidRPr="000A5B5D">
              <w:rPr>
                <w:rFonts w:hint="eastAsia"/>
                <w:sz w:val="24"/>
                <w:szCs w:val="24"/>
              </w:rPr>
              <w:t>公允价值变动损益</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29,079,003.65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13.56%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美元对人民币升值，公司为规避相关外汇风险而持有的远期外汇合约产生的估值收益增加</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否</w:t>
            </w:r>
          </w:p>
        </w:tc>
      </w:tr>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left"/>
              <w:rPr>
                <w:sz w:val="24"/>
                <w:szCs w:val="24"/>
              </w:rPr>
            </w:pPr>
            <w:r w:rsidRPr="000A5B5D">
              <w:rPr>
                <w:rFonts w:hint="eastAsia"/>
                <w:sz w:val="24"/>
                <w:szCs w:val="24"/>
              </w:rPr>
              <w:t>资产减值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29,942,487.11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13.96%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主要系因期末原材料及产品价格下跌计提</w:t>
            </w:r>
            <w:r w:rsidRPr="000A5B5D">
              <w:rPr>
                <w:rFonts w:hint="eastAsia"/>
                <w:sz w:val="24"/>
                <w:szCs w:val="24"/>
              </w:rPr>
              <w:lastRenderedPageBreak/>
              <w:t>的存货跌价损失</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lastRenderedPageBreak/>
              <w:t>否</w:t>
            </w:r>
          </w:p>
        </w:tc>
      </w:tr>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left"/>
              <w:rPr>
                <w:sz w:val="24"/>
                <w:szCs w:val="24"/>
              </w:rPr>
            </w:pPr>
            <w:r w:rsidRPr="000A5B5D">
              <w:rPr>
                <w:rFonts w:hint="eastAsia"/>
                <w:sz w:val="24"/>
                <w:szCs w:val="24"/>
              </w:rPr>
              <w:t>营业外收入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52,026,523.55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24.26%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主要系公司收到的政府补贴款</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是</w:t>
            </w:r>
          </w:p>
        </w:tc>
      </w:tr>
      <w:tr w:rsidR="00BC4D56" w:rsidRPr="000A5B5D" w:rsidTr="008712FE">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8712FE">
            <w:pPr>
              <w:spacing w:line="360" w:lineRule="auto"/>
              <w:jc w:val="left"/>
              <w:rPr>
                <w:sz w:val="24"/>
                <w:szCs w:val="24"/>
              </w:rPr>
            </w:pPr>
            <w:r w:rsidRPr="000A5B5D">
              <w:rPr>
                <w:rFonts w:hint="eastAsia"/>
                <w:sz w:val="24"/>
                <w:szCs w:val="24"/>
              </w:rPr>
              <w:t>营业外支出</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4,521,720.21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right"/>
              <w:rPr>
                <w:sz w:val="24"/>
                <w:szCs w:val="24"/>
              </w:rPr>
            </w:pPr>
            <w:r w:rsidRPr="000A5B5D">
              <w:rPr>
                <w:sz w:val="24"/>
                <w:szCs w:val="24"/>
              </w:rPr>
              <w:t>2.11%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主要系固定资产处置损失</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8712FE">
            <w:pPr>
              <w:spacing w:line="360" w:lineRule="auto"/>
              <w:jc w:val="left"/>
              <w:rPr>
                <w:sz w:val="24"/>
                <w:szCs w:val="24"/>
              </w:rPr>
            </w:pPr>
            <w:r w:rsidRPr="000A5B5D">
              <w:rPr>
                <w:rFonts w:hint="eastAsia"/>
                <w:sz w:val="24"/>
                <w:szCs w:val="24"/>
              </w:rPr>
              <w:t>否</w:t>
            </w:r>
          </w:p>
        </w:tc>
      </w:tr>
    </w:tbl>
    <w:p w:rsidR="00BC4D56" w:rsidRPr="000A5B5D" w:rsidRDefault="00BC4D56">
      <w:pPr>
        <w:pStyle w:val="Chapter"/>
        <w:outlineLvl w:val="1"/>
        <w:rPr>
          <w:bCs w:val="0"/>
        </w:rPr>
      </w:pPr>
      <w:r w:rsidRPr="000A5B5D">
        <w:rPr>
          <w:rFonts w:hint="eastAsia"/>
          <w:bCs w:val="0"/>
        </w:rPr>
        <w:t>四、资产及负债状况</w:t>
      </w:r>
    </w:p>
    <w:p w:rsidR="00BC4D56" w:rsidRPr="000A5B5D" w:rsidRDefault="00BC4D56" w:rsidP="008712FE">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、资产构成重大变动情况</w:t>
      </w:r>
    </w:p>
    <w:p w:rsidR="00BC4D56" w:rsidRPr="000A5B5D" w:rsidRDefault="00BC4D56" w:rsidP="008712FE">
      <w:pPr>
        <w:wordWrap w:val="0"/>
        <w:spacing w:line="360" w:lineRule="auto"/>
        <w:jc w:val="right"/>
        <w:rPr>
          <w:sz w:val="24"/>
          <w:szCs w:val="24"/>
        </w:rPr>
      </w:pPr>
      <w:r w:rsidRPr="000A5B5D">
        <w:rPr>
          <w:rFonts w:hint="eastAsia"/>
          <w:sz w:val="24"/>
          <w:szCs w:val="24"/>
        </w:rPr>
        <w:t>单位：元</w:t>
      </w:r>
      <w:r w:rsidR="008712FE"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467"/>
        <w:gridCol w:w="760"/>
        <w:gridCol w:w="1508"/>
        <w:gridCol w:w="750"/>
        <w:gridCol w:w="798"/>
        <w:gridCol w:w="2918"/>
      </w:tblGrid>
      <w:tr w:rsidR="005C23DA" w:rsidRPr="000A5B5D" w:rsidTr="00851B9D">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2C35FD" w:rsidP="00851B9D">
            <w:pPr>
              <w:jc w:val="center"/>
            </w:pPr>
            <w:r w:rsidRPr="000A5B5D">
              <w:rPr>
                <w:rFonts w:hint="eastAsia"/>
              </w:rPr>
              <w:t>科目名称</w:t>
            </w:r>
          </w:p>
        </w:tc>
        <w:tc>
          <w:tcPr>
            <w:tcW w:w="222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t>2015</w:t>
            </w:r>
            <w:r w:rsidRPr="000A5B5D">
              <w:rPr>
                <w:rFonts w:hint="eastAsia"/>
              </w:rPr>
              <w:t>年末</w:t>
            </w:r>
          </w:p>
        </w:tc>
        <w:tc>
          <w:tcPr>
            <w:tcW w:w="225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t>2014</w:t>
            </w:r>
            <w:r w:rsidRPr="000A5B5D">
              <w:rPr>
                <w:rFonts w:hint="eastAsia"/>
              </w:rPr>
              <w:t>年末</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比重增减</w:t>
            </w:r>
          </w:p>
        </w:tc>
        <w:tc>
          <w:tcPr>
            <w:tcW w:w="29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重大变动说明</w:t>
            </w:r>
          </w:p>
        </w:tc>
      </w:tr>
      <w:tr w:rsidR="005C23DA" w:rsidRPr="000A5B5D" w:rsidTr="005C23DA">
        <w:tc>
          <w:tcPr>
            <w:tcW w:w="1368" w:type="dxa"/>
            <w:vMerge/>
            <w:tcBorders>
              <w:top w:val="single" w:sz="4" w:space="0" w:color="auto"/>
              <w:left w:val="single" w:sz="4" w:space="0" w:color="auto"/>
              <w:bottom w:val="single" w:sz="4" w:space="0" w:color="auto"/>
              <w:right w:val="single" w:sz="4" w:space="0" w:color="auto"/>
            </w:tcBorders>
            <w:vAlign w:val="center"/>
          </w:tcPr>
          <w:p w:rsidR="005C23DA" w:rsidRPr="000A5B5D" w:rsidRDefault="005C23DA" w:rsidP="00851B9D">
            <w:pPr>
              <w:jc w:val="center"/>
            </w:pPr>
          </w:p>
        </w:tc>
        <w:tc>
          <w:tcPr>
            <w:tcW w:w="1467" w:type="dxa"/>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金额</w:t>
            </w:r>
          </w:p>
        </w:tc>
        <w:tc>
          <w:tcPr>
            <w:tcW w:w="760" w:type="dxa"/>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占总资产比例</w:t>
            </w:r>
          </w:p>
        </w:tc>
        <w:tc>
          <w:tcPr>
            <w:tcW w:w="1508" w:type="dxa"/>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金额</w:t>
            </w:r>
          </w:p>
        </w:tc>
        <w:tc>
          <w:tcPr>
            <w:tcW w:w="750" w:type="dxa"/>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center"/>
            </w:pPr>
            <w:r w:rsidRPr="000A5B5D">
              <w:rPr>
                <w:rFonts w:hint="eastAsia"/>
              </w:rPr>
              <w:t>占总资产比例</w:t>
            </w:r>
          </w:p>
        </w:tc>
        <w:tc>
          <w:tcPr>
            <w:tcW w:w="798" w:type="dxa"/>
            <w:vMerge/>
            <w:tcBorders>
              <w:top w:val="single" w:sz="4" w:space="0" w:color="auto"/>
              <w:left w:val="single" w:sz="4" w:space="0" w:color="auto"/>
              <w:bottom w:val="single" w:sz="4" w:space="0" w:color="auto"/>
              <w:right w:val="single" w:sz="4" w:space="0" w:color="auto"/>
            </w:tcBorders>
            <w:vAlign w:val="center"/>
          </w:tcPr>
          <w:p w:rsidR="005C23DA" w:rsidRPr="000A5B5D" w:rsidRDefault="005C23DA" w:rsidP="00851B9D">
            <w:pPr>
              <w:jc w:val="center"/>
            </w:pPr>
          </w:p>
        </w:tc>
        <w:tc>
          <w:tcPr>
            <w:tcW w:w="2918" w:type="dxa"/>
            <w:vMerge/>
            <w:tcBorders>
              <w:top w:val="single" w:sz="4" w:space="0" w:color="auto"/>
              <w:left w:val="single" w:sz="4" w:space="0" w:color="auto"/>
              <w:bottom w:val="single" w:sz="4" w:space="0" w:color="auto"/>
              <w:right w:val="single" w:sz="4" w:space="0" w:color="auto"/>
            </w:tcBorders>
            <w:vAlign w:val="center"/>
          </w:tcPr>
          <w:p w:rsidR="005C23DA" w:rsidRPr="000A5B5D" w:rsidRDefault="005C23DA" w:rsidP="00851B9D">
            <w:pPr>
              <w:jc w:val="center"/>
            </w:pPr>
          </w:p>
        </w:tc>
      </w:tr>
      <w:tr w:rsidR="005C23DA"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5C23DA" w:rsidRPr="000A5B5D" w:rsidRDefault="005C23DA" w:rsidP="00851B9D">
            <w:pPr>
              <w:jc w:val="left"/>
            </w:pPr>
            <w:r w:rsidRPr="000A5B5D">
              <w:rPr>
                <w:rFonts w:hint="eastAsia"/>
              </w:rPr>
              <w:t>货币资金</w:t>
            </w:r>
          </w:p>
        </w:tc>
        <w:tc>
          <w:tcPr>
            <w:tcW w:w="1467" w:type="dxa"/>
            <w:tcBorders>
              <w:top w:val="single" w:sz="4" w:space="0" w:color="auto"/>
              <w:left w:val="single" w:sz="4" w:space="0" w:color="auto"/>
              <w:bottom w:val="single" w:sz="4" w:space="0" w:color="auto"/>
              <w:right w:val="single" w:sz="4" w:space="0" w:color="auto"/>
            </w:tcBorders>
            <w:vAlign w:val="center"/>
          </w:tcPr>
          <w:p w:rsidR="005C23DA" w:rsidRPr="000A5B5D" w:rsidRDefault="005C23DA" w:rsidP="006825A5">
            <w:pPr>
              <w:jc w:val="center"/>
            </w:pPr>
            <w:r w:rsidRPr="000A5B5D">
              <w:t>2,618,324,179.37</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5C23DA" w:rsidRPr="000A5B5D" w:rsidRDefault="005C23DA" w:rsidP="006825A5">
            <w:pPr>
              <w:jc w:val="center"/>
            </w:pPr>
            <w:r w:rsidRPr="000A5B5D">
              <w:t>10.39%</w:t>
            </w:r>
          </w:p>
        </w:tc>
        <w:tc>
          <w:tcPr>
            <w:tcW w:w="1508" w:type="dxa"/>
            <w:tcBorders>
              <w:top w:val="single" w:sz="4" w:space="0" w:color="auto"/>
              <w:left w:val="single" w:sz="4" w:space="0" w:color="auto"/>
              <w:bottom w:val="single" w:sz="4" w:space="0" w:color="auto"/>
              <w:right w:val="single" w:sz="4" w:space="0" w:color="auto"/>
            </w:tcBorders>
            <w:vAlign w:val="center"/>
          </w:tcPr>
          <w:p w:rsidR="005C23DA" w:rsidRPr="000A5B5D" w:rsidRDefault="005C23DA" w:rsidP="006825A5">
            <w:pPr>
              <w:jc w:val="center"/>
            </w:pPr>
            <w:r w:rsidRPr="000A5B5D">
              <w:t>3,142,729,842.43</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5C23DA" w:rsidRPr="000A5B5D" w:rsidRDefault="005C23DA" w:rsidP="006825A5">
            <w:pPr>
              <w:jc w:val="center"/>
            </w:pPr>
            <w:r w:rsidRPr="000A5B5D">
              <w:t>11.76%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5C23DA" w:rsidRPr="000A5B5D" w:rsidRDefault="005C23DA" w:rsidP="006825A5">
            <w:pPr>
              <w:jc w:val="center"/>
            </w:pPr>
            <w:r w:rsidRPr="000A5B5D">
              <w:t>-1.37%</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5C23DA" w:rsidRPr="000A5B5D" w:rsidRDefault="005C23DA" w:rsidP="00851B9D">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以公允价值计量且其变动计入当期损益的金融资产</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24,435,904.89</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0.10%</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2,397,943.01</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期末未交割远期外汇交易增加</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衍生金融资产</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79,976,261.01</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0.32%</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740,544.00</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0.32%</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期末未交割远期外汇套期业务增加</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应收票据</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1,644,068,597.89</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6.52%</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3,737,940,486.28</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13.98%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-7.46%</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公司调整融资结构，减少票据质押贷美元融资，置换成票据贴现融资，故减少在库票据，提高资产流动性</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应收账款</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889,235,216.73</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3.53%</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985,881,328.49</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3.69%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-0.16%</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存货</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1,549,279,851.77</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6.15%</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1,481,539,703.28</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5.54%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0.61%</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其他应收款</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36,894,358.34</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0.15%</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10,643,191.79</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0.11%</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主要是应收补贴款增加</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其他流动资产</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76,251,355.85</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0.30%</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528,488,799.24</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1.98%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-1.68%</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期初对参股公司海南逸盛</w:t>
            </w:r>
            <w:r w:rsidRPr="000A5B5D">
              <w:t>4.4</w:t>
            </w:r>
            <w:r w:rsidRPr="000A5B5D">
              <w:rPr>
                <w:rFonts w:hint="eastAsia"/>
              </w:rPr>
              <w:t>亿元的委托贷款于本年到期收回</w:t>
            </w:r>
          </w:p>
        </w:tc>
      </w:tr>
      <w:tr w:rsidR="0003351B" w:rsidRPr="000A5B5D" w:rsidTr="0003351B">
        <w:trPr>
          <w:trHeight w:val="530"/>
        </w:trPr>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03351B" w:rsidRPr="000A5B5D" w:rsidRDefault="0003351B" w:rsidP="00CE488F">
            <w:pPr>
              <w:jc w:val="left"/>
            </w:pPr>
            <w:r w:rsidRPr="000A5B5D">
              <w:rPr>
                <w:rFonts w:hint="eastAsia"/>
              </w:rPr>
              <w:t>可供出售金融资产</w:t>
            </w:r>
          </w:p>
        </w:tc>
        <w:tc>
          <w:tcPr>
            <w:tcW w:w="1467" w:type="dxa"/>
            <w:tcBorders>
              <w:top w:val="single" w:sz="4" w:space="0" w:color="auto"/>
              <w:left w:val="single" w:sz="4" w:space="0" w:color="auto"/>
              <w:bottom w:val="single" w:sz="4" w:space="0" w:color="auto"/>
              <w:right w:val="single" w:sz="4" w:space="0" w:color="auto"/>
            </w:tcBorders>
            <w:vAlign w:val="center"/>
          </w:tcPr>
          <w:p w:rsidR="0003351B" w:rsidRPr="000A5B5D" w:rsidRDefault="0003351B" w:rsidP="00CE488F">
            <w:pPr>
              <w:jc w:val="center"/>
            </w:pPr>
            <w:r w:rsidRPr="000A5B5D">
              <w:t>0.00</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0.00%</w:t>
            </w:r>
          </w:p>
        </w:tc>
        <w:tc>
          <w:tcPr>
            <w:tcW w:w="1508" w:type="dxa"/>
            <w:tcBorders>
              <w:top w:val="single" w:sz="4" w:space="0" w:color="auto"/>
              <w:left w:val="single" w:sz="4" w:space="0" w:color="auto"/>
              <w:bottom w:val="single" w:sz="4" w:space="0" w:color="auto"/>
              <w:right w:val="single" w:sz="4" w:space="0" w:color="auto"/>
            </w:tcBorders>
            <w:vAlign w:val="center"/>
          </w:tcPr>
          <w:p w:rsidR="0003351B" w:rsidRPr="000A5B5D" w:rsidRDefault="0003351B" w:rsidP="00CE488F">
            <w:pPr>
              <w:jc w:val="center"/>
            </w:pPr>
            <w:r w:rsidRPr="000A5B5D">
              <w:t>381,600,000.00</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1.43%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-1.43%</w:t>
            </w:r>
          </w:p>
        </w:tc>
        <w:tc>
          <w:tcPr>
            <w:tcW w:w="2918" w:type="dxa"/>
            <w:vMerge w:val="restart"/>
            <w:tcBorders>
              <w:top w:val="single" w:sz="4" w:space="0" w:color="auto"/>
              <w:left w:val="single" w:sz="4" w:space="0" w:color="auto"/>
              <w:right w:val="single" w:sz="4" w:space="0" w:color="auto"/>
            </w:tcBorders>
            <w:shd w:val="clear" w:color="auto" w:fill="FFFFFF"/>
            <w:vAlign w:val="center"/>
          </w:tcPr>
          <w:p w:rsidR="0003351B" w:rsidRPr="000A5B5D" w:rsidRDefault="0003351B" w:rsidP="00CE488F">
            <w:pPr>
              <w:jc w:val="left"/>
            </w:pPr>
            <w:r w:rsidRPr="000A5B5D">
              <w:rPr>
                <w:rFonts w:hint="eastAsia"/>
              </w:rPr>
              <w:t>对浙商银行的投资增加，由可供出售金融资产转为长期股权投资</w:t>
            </w:r>
          </w:p>
        </w:tc>
      </w:tr>
      <w:tr w:rsidR="0003351B" w:rsidRPr="000A5B5D" w:rsidTr="004708FB">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03351B" w:rsidRPr="000A5B5D" w:rsidRDefault="0003351B" w:rsidP="00CE488F">
            <w:pPr>
              <w:jc w:val="left"/>
            </w:pPr>
            <w:r w:rsidRPr="000A5B5D">
              <w:rPr>
                <w:rFonts w:hint="eastAsia"/>
              </w:rPr>
              <w:t>长期股权投资</w:t>
            </w:r>
          </w:p>
        </w:tc>
        <w:tc>
          <w:tcPr>
            <w:tcW w:w="1467" w:type="dxa"/>
            <w:tcBorders>
              <w:top w:val="single" w:sz="4" w:space="0" w:color="auto"/>
              <w:left w:val="single" w:sz="4" w:space="0" w:color="auto"/>
              <w:bottom w:val="single" w:sz="4" w:space="0" w:color="auto"/>
              <w:right w:val="single" w:sz="4" w:space="0" w:color="auto"/>
            </w:tcBorders>
            <w:vAlign w:val="center"/>
          </w:tcPr>
          <w:p w:rsidR="0003351B" w:rsidRPr="000A5B5D" w:rsidRDefault="0003351B" w:rsidP="00CE488F">
            <w:pPr>
              <w:jc w:val="center"/>
            </w:pPr>
            <w:r w:rsidRPr="000A5B5D">
              <w:t>5,071,507,887.03</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20.12%</w:t>
            </w:r>
          </w:p>
        </w:tc>
        <w:tc>
          <w:tcPr>
            <w:tcW w:w="1508" w:type="dxa"/>
            <w:tcBorders>
              <w:top w:val="single" w:sz="4" w:space="0" w:color="auto"/>
              <w:left w:val="single" w:sz="4" w:space="0" w:color="auto"/>
              <w:bottom w:val="single" w:sz="4" w:space="0" w:color="auto"/>
              <w:right w:val="single" w:sz="4" w:space="0" w:color="auto"/>
            </w:tcBorders>
            <w:vAlign w:val="center"/>
          </w:tcPr>
          <w:p w:rsidR="0003351B" w:rsidRPr="000A5B5D" w:rsidRDefault="0003351B" w:rsidP="00CE488F">
            <w:pPr>
              <w:jc w:val="center"/>
            </w:pPr>
            <w:r w:rsidRPr="000A5B5D">
              <w:t>2,597,122,211.40</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9.72%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center"/>
            </w:pPr>
            <w:r w:rsidRPr="000A5B5D">
              <w:t>10.40%</w:t>
            </w:r>
          </w:p>
        </w:tc>
        <w:tc>
          <w:tcPr>
            <w:tcW w:w="2918" w:type="dxa"/>
            <w:vMerge/>
            <w:tcBorders>
              <w:left w:val="single" w:sz="4" w:space="0" w:color="auto"/>
              <w:bottom w:val="single" w:sz="4" w:space="0" w:color="auto"/>
              <w:right w:val="single" w:sz="4" w:space="0" w:color="auto"/>
            </w:tcBorders>
            <w:shd w:val="clear" w:color="auto" w:fill="FFFFFF"/>
            <w:vAlign w:val="center"/>
          </w:tcPr>
          <w:p w:rsidR="0003351B" w:rsidRPr="000A5B5D" w:rsidRDefault="0003351B" w:rsidP="00CE488F">
            <w:pPr>
              <w:jc w:val="left"/>
            </w:pP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固定资产</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9,627,419,883.80</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38.19%</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10,450,864,444.42</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39.09%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-0.90%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在建工程</w:t>
            </w:r>
          </w:p>
        </w:tc>
        <w:tc>
          <w:tcPr>
            <w:tcW w:w="1467"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927,968,824.59</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3.68%</w:t>
            </w:r>
          </w:p>
        </w:tc>
        <w:tc>
          <w:tcPr>
            <w:tcW w:w="1508" w:type="dxa"/>
            <w:tcBorders>
              <w:top w:val="single" w:sz="4" w:space="0" w:color="auto"/>
              <w:left w:val="single" w:sz="4" w:space="0" w:color="auto"/>
              <w:bottom w:val="single" w:sz="4" w:space="0" w:color="auto"/>
              <w:right w:val="single" w:sz="4" w:space="0" w:color="auto"/>
            </w:tcBorders>
            <w:vAlign w:val="center"/>
          </w:tcPr>
          <w:p w:rsidR="00CE488F" w:rsidRPr="000A5B5D" w:rsidRDefault="00CE488F" w:rsidP="00CE488F">
            <w:pPr>
              <w:jc w:val="center"/>
            </w:pPr>
            <w:r w:rsidRPr="000A5B5D">
              <w:t>583,857,298.25</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2.18%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1.50%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长期待摊费用</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10,057,408.58</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0.04%</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7,029,214.14</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0.01%</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厂区装修工程增加长期待摊费用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递延所得税资产</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90,599,367.23</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0.36%</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133,675,775.56</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0.50%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-0.14%</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冲销上海恒逸公司以前年度因可抵扣亏损确认的递延所得税资产</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短期借款</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11,028,424,212.61</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43.75%</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10,716,588,821.97</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40.09%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3.66%</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无重大变动</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lastRenderedPageBreak/>
              <w:t>一年内到期的非流动负债</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710,349,585.94</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2.82%</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218,429,677.75</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0.82%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2.00%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一年内到期长期借款增加</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长期借款</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532,345,040.00</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2.11%</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1,211,051,746.97</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4.53%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-2.42%</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一年内到期长期借款增加</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递延所得税负债</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14,164,850.88</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0.06%</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0.00</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0.06%</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交易性金融资产公允价值变动损益确认的递延所得税负债</w:t>
            </w:r>
          </w:p>
        </w:tc>
      </w:tr>
      <w:tr w:rsidR="00CE488F" w:rsidRPr="000A5B5D" w:rsidTr="005C23DA">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CE488F" w:rsidRPr="000A5B5D" w:rsidRDefault="00CE488F" w:rsidP="00CE488F">
            <w:pPr>
              <w:jc w:val="left"/>
            </w:pPr>
            <w:r w:rsidRPr="000A5B5D">
              <w:rPr>
                <w:rFonts w:hint="eastAsia"/>
              </w:rPr>
              <w:t>资本公积</w:t>
            </w:r>
          </w:p>
        </w:tc>
        <w:tc>
          <w:tcPr>
            <w:tcW w:w="1467"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946,954,016.52</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3.76%</w:t>
            </w:r>
          </w:p>
        </w:tc>
        <w:tc>
          <w:tcPr>
            <w:tcW w:w="150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40,671,809.59</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0.15%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center"/>
            </w:pPr>
            <w:r w:rsidRPr="000A5B5D">
              <w:t>3.61%</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CE488F" w:rsidRPr="000A5B5D" w:rsidRDefault="00CE488F" w:rsidP="00CE488F">
            <w:pPr>
              <w:jc w:val="left"/>
            </w:pPr>
            <w:r w:rsidRPr="000A5B5D">
              <w:rPr>
                <w:rFonts w:hint="eastAsia"/>
              </w:rPr>
              <w:t>本期完成非公开发行股票及股权激励项目，报告期资本溢价增加</w:t>
            </w:r>
          </w:p>
        </w:tc>
      </w:tr>
    </w:tbl>
    <w:p w:rsidR="00BC4D56" w:rsidRPr="000A5B5D" w:rsidRDefault="00BC4D56">
      <w:pPr>
        <w:pStyle w:val="Section"/>
        <w:outlineLvl w:val="2"/>
        <w:rPr>
          <w:bCs w:val="0"/>
          <w:sz w:val="24"/>
          <w:szCs w:val="24"/>
        </w:rPr>
      </w:pPr>
      <w:r w:rsidRPr="000A5B5D">
        <w:rPr>
          <w:bCs w:val="0"/>
          <w:sz w:val="24"/>
          <w:szCs w:val="24"/>
        </w:rPr>
        <w:t>2</w:t>
      </w:r>
      <w:r w:rsidRPr="000A5B5D">
        <w:rPr>
          <w:rFonts w:hint="eastAsia"/>
          <w:bCs w:val="0"/>
          <w:sz w:val="24"/>
          <w:szCs w:val="24"/>
        </w:rPr>
        <w:t>、以公允价值计量的资产和负债</w:t>
      </w:r>
    </w:p>
    <w:p w:rsidR="00BC4D56" w:rsidRPr="000A5B5D" w:rsidRDefault="00BC4D56" w:rsidP="009B2AB9">
      <w:pPr>
        <w:wordWrap w:val="0"/>
        <w:jc w:val="right"/>
        <w:rPr>
          <w:sz w:val="24"/>
          <w:szCs w:val="24"/>
        </w:rPr>
      </w:pPr>
      <w:r w:rsidRPr="000A5B5D">
        <w:rPr>
          <w:rFonts w:hint="eastAsia"/>
          <w:sz w:val="24"/>
          <w:szCs w:val="24"/>
        </w:rPr>
        <w:t>单位：元</w:t>
      </w:r>
      <w:r w:rsidR="009B2AB9"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219"/>
        <w:gridCol w:w="1213"/>
        <w:gridCol w:w="1213"/>
        <w:gridCol w:w="1317"/>
        <w:gridCol w:w="1109"/>
        <w:gridCol w:w="1213"/>
        <w:gridCol w:w="1080"/>
        <w:gridCol w:w="1206"/>
      </w:tblGrid>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项目</w:t>
            </w:r>
          </w:p>
        </w:tc>
        <w:tc>
          <w:tcPr>
            <w:tcW w:w="121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期初数</w:t>
            </w:r>
          </w:p>
        </w:tc>
        <w:tc>
          <w:tcPr>
            <w:tcW w:w="121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本期公允价值变动损益</w:t>
            </w:r>
          </w:p>
        </w:tc>
        <w:tc>
          <w:tcPr>
            <w:tcW w:w="13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计入权益的累计公允价值变动</w:t>
            </w:r>
          </w:p>
        </w:tc>
        <w:tc>
          <w:tcPr>
            <w:tcW w:w="11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本期计提的减值</w:t>
            </w:r>
          </w:p>
        </w:tc>
        <w:tc>
          <w:tcPr>
            <w:tcW w:w="121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本期购买金额</w:t>
            </w:r>
          </w:p>
        </w:tc>
        <w:tc>
          <w:tcPr>
            <w:tcW w:w="108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本期出售金额</w:t>
            </w:r>
          </w:p>
        </w:tc>
        <w:tc>
          <w:tcPr>
            <w:tcW w:w="120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期末数</w:t>
            </w:r>
          </w:p>
        </w:tc>
      </w:tr>
      <w:tr w:rsidR="00BC4D56" w:rsidRPr="000A5B5D">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金融资产</w:t>
            </w:r>
          </w:p>
        </w:tc>
        <w:tc>
          <w:tcPr>
            <w:tcW w:w="835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szCs w:val="24"/>
              </w:rPr>
              <w:t>1.</w:t>
            </w:r>
            <w:r w:rsidRPr="000A5B5D">
              <w:rPr>
                <w:rFonts w:hint="eastAsia"/>
                <w:szCs w:val="24"/>
              </w:rPr>
              <w:t>以公允价值计量且其变动计入当期损益的金融资产（不含衍生金融资产）</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2,397,943.01</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25,757,225.29</w:t>
            </w: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24,435,904.89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3,064,574.40</w:t>
            </w: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24,435,904.89</w:t>
            </w: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szCs w:val="24"/>
              </w:rPr>
              <w:t>2.</w:t>
            </w:r>
            <w:r w:rsidRPr="000A5B5D">
              <w:rPr>
                <w:rFonts w:hint="eastAsia"/>
                <w:szCs w:val="24"/>
              </w:rPr>
              <w:t>衍生金融资产</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740,544.00</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434,475.00</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79,976,261.01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79,976,261.01</w:t>
            </w: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szCs w:val="24"/>
              </w:rPr>
              <w:t>3.</w:t>
            </w:r>
            <w:r w:rsidRPr="000A5B5D">
              <w:rPr>
                <w:rFonts w:hint="eastAsia"/>
                <w:szCs w:val="24"/>
              </w:rPr>
              <w:t>可供出售金融资产</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381,600,000.00</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金融资产小计</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384,738,487.01</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104,412,165.90</w:t>
            </w: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上述合计</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769,476,974.02</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25,757,225.29</w:t>
            </w: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434,475.00</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104,412,165.90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3,064,574.40</w:t>
            </w: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208,824,331.80</w:t>
            </w:r>
          </w:p>
        </w:tc>
      </w:tr>
      <w:tr w:rsidR="00BC4D56" w:rsidRPr="000A5B5D" w:rsidTr="009B2AB9">
        <w:tc>
          <w:tcPr>
            <w:tcW w:w="121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金融负债</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12,916,407.35</w:t>
            </w: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1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120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13,429,110.94</w:t>
            </w:r>
          </w:p>
        </w:tc>
      </w:tr>
    </w:tbl>
    <w:p w:rsidR="00BC4D56" w:rsidRPr="000A5B5D" w:rsidRDefault="00BC4D56" w:rsidP="009B2AB9">
      <w:pPr>
        <w:spacing w:line="360" w:lineRule="auto"/>
        <w:jc w:val="left"/>
        <w:rPr>
          <w:sz w:val="24"/>
          <w:szCs w:val="24"/>
        </w:rPr>
      </w:pPr>
      <w:r w:rsidRPr="000A5B5D">
        <w:rPr>
          <w:rFonts w:hint="eastAsia"/>
          <w:sz w:val="24"/>
          <w:szCs w:val="24"/>
        </w:rPr>
        <w:t>报告期内公司主要资产计量属性是否发生重大变化</w:t>
      </w:r>
    </w:p>
    <w:p w:rsidR="00BC4D56" w:rsidRPr="000A5B5D" w:rsidRDefault="00BC4D56" w:rsidP="009B2AB9">
      <w:pPr>
        <w:spacing w:line="360" w:lineRule="auto"/>
        <w:jc w:val="left"/>
        <w:rPr>
          <w:sz w:val="24"/>
          <w:szCs w:val="24"/>
        </w:rPr>
      </w:pPr>
      <w:r w:rsidRPr="000A5B5D">
        <w:rPr>
          <w:sz w:val="24"/>
          <w:szCs w:val="24"/>
        </w:rPr>
        <w:t xml:space="preserve">□ </w:t>
      </w:r>
      <w:r w:rsidRPr="000A5B5D">
        <w:rPr>
          <w:rFonts w:hint="eastAsia"/>
          <w:sz w:val="24"/>
          <w:szCs w:val="24"/>
        </w:rPr>
        <w:t>是</w:t>
      </w:r>
      <w:r w:rsidR="00427E2A">
        <w:rPr>
          <w:rFonts w:hint="eastAsia"/>
          <w:sz w:val="24"/>
          <w:szCs w:val="24"/>
        </w:rPr>
        <w:t xml:space="preserve"> </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9B2AB9">
      <w:pPr>
        <w:pStyle w:val="Chapter"/>
        <w:spacing w:line="360" w:lineRule="auto"/>
        <w:outlineLvl w:val="1"/>
        <w:rPr>
          <w:bCs w:val="0"/>
        </w:rPr>
      </w:pPr>
      <w:r w:rsidRPr="000A5B5D">
        <w:rPr>
          <w:rFonts w:hint="eastAsia"/>
          <w:bCs w:val="0"/>
        </w:rPr>
        <w:t>五、投资状况</w:t>
      </w:r>
    </w:p>
    <w:p w:rsidR="00BC4D56" w:rsidRPr="000A5B5D" w:rsidRDefault="00BC4D56" w:rsidP="009B2AB9">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、总体情况</w:t>
      </w:r>
    </w:p>
    <w:tbl>
      <w:tblPr>
        <w:tblW w:w="0" w:type="auto"/>
        <w:tblInd w:w="28" w:type="dxa"/>
        <w:tblLayout w:type="fixed"/>
        <w:tblCellMar>
          <w:left w:w="28" w:type="dxa"/>
          <w:right w:w="28" w:type="dxa"/>
        </w:tblCellMar>
        <w:tblLook w:val="0000" w:firstRow="0" w:lastRow="0" w:firstColumn="0" w:lastColumn="0" w:noHBand="0" w:noVBand="0"/>
      </w:tblPr>
      <w:tblGrid>
        <w:gridCol w:w="3188"/>
        <w:gridCol w:w="3190"/>
        <w:gridCol w:w="3191"/>
      </w:tblGrid>
      <w:tr w:rsidR="00BC4D56" w:rsidRPr="000A5B5D">
        <w:tc>
          <w:tcPr>
            <w:tcW w:w="318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2AB9">
            <w:pPr>
              <w:spacing w:line="360" w:lineRule="auto"/>
              <w:jc w:val="center"/>
              <w:rPr>
                <w:sz w:val="24"/>
                <w:szCs w:val="24"/>
              </w:rPr>
            </w:pPr>
            <w:r w:rsidRPr="000A5B5D">
              <w:rPr>
                <w:rFonts w:hint="eastAsia"/>
                <w:sz w:val="24"/>
                <w:szCs w:val="24"/>
              </w:rPr>
              <w:t>报告期投资额（元）</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2AB9">
            <w:pPr>
              <w:spacing w:line="360" w:lineRule="auto"/>
              <w:jc w:val="center"/>
              <w:rPr>
                <w:sz w:val="24"/>
                <w:szCs w:val="24"/>
              </w:rPr>
            </w:pPr>
            <w:r w:rsidRPr="000A5B5D">
              <w:rPr>
                <w:rFonts w:hint="eastAsia"/>
                <w:sz w:val="24"/>
                <w:szCs w:val="24"/>
              </w:rPr>
              <w:t>上年同期投资额（元）</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B2AB9">
            <w:pPr>
              <w:spacing w:line="360" w:lineRule="auto"/>
              <w:jc w:val="center"/>
              <w:rPr>
                <w:sz w:val="24"/>
                <w:szCs w:val="24"/>
              </w:rPr>
            </w:pPr>
            <w:r w:rsidRPr="000A5B5D">
              <w:rPr>
                <w:rFonts w:hint="eastAsia"/>
                <w:sz w:val="24"/>
                <w:szCs w:val="24"/>
              </w:rPr>
              <w:t>变动幅度</w:t>
            </w:r>
          </w:p>
        </w:tc>
      </w:tr>
      <w:tr w:rsidR="00BC4D56" w:rsidRPr="000A5B5D">
        <w:tc>
          <w:tcPr>
            <w:tcW w:w="318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2AB9">
            <w:pPr>
              <w:spacing w:line="360" w:lineRule="auto"/>
              <w:jc w:val="right"/>
              <w:rPr>
                <w:sz w:val="24"/>
                <w:szCs w:val="24"/>
              </w:rPr>
            </w:pPr>
            <w:r w:rsidRPr="000A5B5D">
              <w:rPr>
                <w:sz w:val="24"/>
                <w:szCs w:val="24"/>
              </w:rPr>
              <w:t>1,977,908,380.17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2AB9">
            <w:pPr>
              <w:spacing w:line="360" w:lineRule="auto"/>
              <w:jc w:val="right"/>
              <w:rPr>
                <w:sz w:val="24"/>
                <w:szCs w:val="24"/>
              </w:rPr>
            </w:pPr>
            <w:r w:rsidRPr="000A5B5D">
              <w:rPr>
                <w:sz w:val="24"/>
                <w:szCs w:val="24"/>
              </w:rPr>
              <w:t>1,902,908,380.17</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B2AB9">
            <w:pPr>
              <w:spacing w:line="360" w:lineRule="auto"/>
              <w:jc w:val="right"/>
              <w:rPr>
                <w:sz w:val="24"/>
                <w:szCs w:val="24"/>
              </w:rPr>
            </w:pPr>
            <w:r w:rsidRPr="000A5B5D">
              <w:rPr>
                <w:sz w:val="24"/>
                <w:szCs w:val="24"/>
              </w:rPr>
              <w:t>3.94%</w:t>
            </w:r>
          </w:p>
        </w:tc>
      </w:tr>
    </w:tbl>
    <w:p w:rsidR="00BC4D56" w:rsidRPr="000A5B5D" w:rsidRDefault="00BC4D56" w:rsidP="009B2AB9">
      <w:pPr>
        <w:pStyle w:val="Section"/>
        <w:spacing w:line="360" w:lineRule="auto"/>
        <w:outlineLvl w:val="2"/>
        <w:rPr>
          <w:bCs w:val="0"/>
          <w:sz w:val="24"/>
          <w:szCs w:val="24"/>
        </w:rPr>
      </w:pPr>
      <w:r w:rsidRPr="000A5B5D">
        <w:rPr>
          <w:bCs w:val="0"/>
          <w:sz w:val="24"/>
          <w:szCs w:val="24"/>
        </w:rPr>
        <w:lastRenderedPageBreak/>
        <w:t>2</w:t>
      </w:r>
      <w:r w:rsidRPr="000A5B5D">
        <w:rPr>
          <w:rFonts w:hint="eastAsia"/>
          <w:bCs w:val="0"/>
          <w:sz w:val="24"/>
          <w:szCs w:val="24"/>
        </w:rPr>
        <w:t>、报告期内获取的重大的股权投资情况</w:t>
      </w:r>
    </w:p>
    <w:p w:rsidR="00BC4D56" w:rsidRPr="000A5B5D" w:rsidRDefault="00BC4D56" w:rsidP="009B2AB9">
      <w:pPr>
        <w:wordWrap w:val="0"/>
        <w:spacing w:line="360" w:lineRule="auto"/>
        <w:jc w:val="right"/>
        <w:rPr>
          <w:sz w:val="24"/>
          <w:szCs w:val="24"/>
        </w:rPr>
      </w:pPr>
      <w:r w:rsidRPr="000A5B5D">
        <w:rPr>
          <w:rFonts w:hint="eastAsia"/>
          <w:sz w:val="24"/>
          <w:szCs w:val="24"/>
        </w:rPr>
        <w:t>单位：元</w:t>
      </w:r>
      <w:r w:rsidR="009B2AB9" w:rsidRPr="000A5B5D">
        <w:rPr>
          <w:sz w:val="24"/>
          <w:szCs w:val="24"/>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851"/>
        <w:gridCol w:w="567"/>
        <w:gridCol w:w="492"/>
        <w:gridCol w:w="1209"/>
        <w:gridCol w:w="709"/>
        <w:gridCol w:w="425"/>
        <w:gridCol w:w="850"/>
        <w:gridCol w:w="567"/>
        <w:gridCol w:w="426"/>
        <w:gridCol w:w="850"/>
        <w:gridCol w:w="425"/>
        <w:gridCol w:w="426"/>
        <w:gridCol w:w="499"/>
        <w:gridCol w:w="638"/>
        <w:gridCol w:w="638"/>
      </w:tblGrid>
      <w:tr w:rsidR="00BC4D56" w:rsidRPr="000A5B5D" w:rsidTr="00664DBA">
        <w:trPr>
          <w:jc w:val="center"/>
        </w:trPr>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被投资公司名称</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主要业务</w:t>
            </w:r>
          </w:p>
        </w:tc>
        <w:tc>
          <w:tcPr>
            <w:tcW w:w="4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投资方式</w:t>
            </w:r>
          </w:p>
        </w:tc>
        <w:tc>
          <w:tcPr>
            <w:tcW w:w="12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投资金额</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持股比例</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资金来源</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合作方</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投资期限</w:t>
            </w:r>
          </w:p>
        </w:tc>
        <w:tc>
          <w:tcPr>
            <w:tcW w:w="42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产品类型</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截至资产负债表日的进展情况</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预计收益</w:t>
            </w:r>
          </w:p>
        </w:tc>
        <w:tc>
          <w:tcPr>
            <w:tcW w:w="42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本期投资盈亏</w:t>
            </w:r>
          </w:p>
        </w:tc>
        <w:tc>
          <w:tcPr>
            <w:tcW w:w="49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是否涉诉</w:t>
            </w:r>
          </w:p>
        </w:tc>
        <w:tc>
          <w:tcPr>
            <w:tcW w:w="6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披露日期（如有）</w:t>
            </w:r>
          </w:p>
        </w:tc>
        <w:tc>
          <w:tcPr>
            <w:tcW w:w="6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披露索引（如有）</w:t>
            </w:r>
          </w:p>
        </w:tc>
      </w:tr>
      <w:tr w:rsidR="00BC4D56" w:rsidRPr="000A5B5D" w:rsidTr="00664DBA">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海南逸盛石化有限公司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PTA</w:t>
            </w:r>
            <w:r w:rsidRPr="000A5B5D">
              <w:rPr>
                <w:rFonts w:hint="eastAsia"/>
                <w:szCs w:val="24"/>
              </w:rPr>
              <w:t>生产销售</w:t>
            </w:r>
          </w:p>
        </w:tc>
        <w:tc>
          <w:tcPr>
            <w:tcW w:w="4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增资</w:t>
            </w: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75,000,000.00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37.50%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自有资金</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逸盛投资、锦兴化纤、英良贸易</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一次性</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0E48FB">
            <w:pPr>
              <w:jc w:val="center"/>
              <w:rPr>
                <w:szCs w:val="24"/>
              </w:rPr>
            </w:pPr>
            <w:r w:rsidRPr="000A5B5D">
              <w:rPr>
                <w:rFonts w:hint="eastAsia"/>
                <w:szCs w:val="24"/>
              </w:rPr>
              <w:t>已完成</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0.00</w:t>
            </w:r>
          </w:p>
        </w:tc>
        <w:tc>
          <w:tcPr>
            <w:tcW w:w="4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rFonts w:hint="eastAsia"/>
                <w:szCs w:val="24"/>
              </w:rPr>
              <w:t>否</w:t>
            </w:r>
          </w:p>
        </w:tc>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24</w:t>
            </w:r>
            <w:r w:rsidRPr="000A5B5D">
              <w:rPr>
                <w:rFonts w:hint="eastAsia"/>
                <w:szCs w:val="24"/>
              </w:rPr>
              <w:t>日</w:t>
            </w:r>
          </w:p>
        </w:tc>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http://www.cninfo.com.cn/</w:t>
            </w:r>
          </w:p>
        </w:tc>
      </w:tr>
      <w:tr w:rsidR="00BC4D56" w:rsidRPr="000A5B5D" w:rsidTr="00664DBA">
        <w:trPr>
          <w:jc w:val="center"/>
        </w:trPr>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rFonts w:hint="eastAsia"/>
                <w:szCs w:val="24"/>
              </w:rPr>
              <w:t>合计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4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75,000,000.00</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664DBA">
            <w:pPr>
              <w:jc w:val="center"/>
              <w:rPr>
                <w:szCs w:val="24"/>
              </w:rPr>
            </w:pPr>
            <w:r w:rsidRPr="000A5B5D">
              <w:rPr>
                <w:szCs w:val="24"/>
              </w:rPr>
              <w:t>0.00</w:t>
            </w:r>
          </w:p>
        </w:tc>
        <w:tc>
          <w:tcPr>
            <w:tcW w:w="49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6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c>
          <w:tcPr>
            <w:tcW w:w="6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664DBA">
            <w:pPr>
              <w:jc w:val="center"/>
              <w:rPr>
                <w:szCs w:val="24"/>
              </w:rPr>
            </w:pPr>
            <w:r w:rsidRPr="000A5B5D">
              <w:rPr>
                <w:szCs w:val="24"/>
              </w:rPr>
              <w:t>--</w:t>
            </w:r>
          </w:p>
        </w:tc>
      </w:tr>
    </w:tbl>
    <w:p w:rsidR="00BC4D56" w:rsidRPr="000A5B5D" w:rsidRDefault="00BC4D56" w:rsidP="00664DBA">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、报告期内正在进行的重大的非股权投资情况</w:t>
      </w:r>
    </w:p>
    <w:p w:rsidR="00BC4D56" w:rsidRPr="000A5B5D" w:rsidRDefault="00BC4D56" w:rsidP="00664DBA">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664DBA">
      <w:pPr>
        <w:pStyle w:val="Section"/>
        <w:spacing w:line="360" w:lineRule="auto"/>
        <w:outlineLvl w:val="2"/>
        <w:rPr>
          <w:bCs w:val="0"/>
          <w:sz w:val="24"/>
          <w:szCs w:val="24"/>
        </w:rPr>
      </w:pPr>
      <w:r w:rsidRPr="000A5B5D">
        <w:rPr>
          <w:bCs w:val="0"/>
          <w:sz w:val="24"/>
          <w:szCs w:val="24"/>
        </w:rPr>
        <w:t>4</w:t>
      </w:r>
      <w:r w:rsidRPr="000A5B5D">
        <w:rPr>
          <w:rFonts w:hint="eastAsia"/>
          <w:bCs w:val="0"/>
          <w:sz w:val="24"/>
          <w:szCs w:val="24"/>
        </w:rPr>
        <w:t>、金融资产投资</w:t>
      </w:r>
    </w:p>
    <w:p w:rsidR="00BC4D56" w:rsidRPr="000A5B5D" w:rsidRDefault="00BC4D56" w:rsidP="00664DBA">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1</w:t>
      </w:r>
      <w:r w:rsidRPr="000A5B5D">
        <w:rPr>
          <w:rFonts w:hint="eastAsia"/>
          <w:bCs w:val="0"/>
          <w:sz w:val="24"/>
          <w:szCs w:val="24"/>
        </w:rPr>
        <w:t>）证券投资情况</w:t>
      </w:r>
    </w:p>
    <w:p w:rsidR="00BC4D56" w:rsidRPr="000A5B5D" w:rsidRDefault="00BC4D56" w:rsidP="00664DBA">
      <w:pPr>
        <w:spacing w:line="360" w:lineRule="auto"/>
        <w:ind w:firstLineChars="200" w:firstLine="480"/>
        <w:jc w:val="left"/>
        <w:rPr>
          <w:sz w:val="24"/>
          <w:szCs w:val="24"/>
        </w:rPr>
      </w:pPr>
      <w:r w:rsidRPr="000A5B5D">
        <w:rPr>
          <w:rFonts w:hint="eastAsia"/>
          <w:sz w:val="24"/>
          <w:szCs w:val="24"/>
        </w:rPr>
        <w:t>公司报告期不存在证券投资。</w:t>
      </w:r>
    </w:p>
    <w:p w:rsidR="00BC4D56" w:rsidRPr="000A5B5D" w:rsidRDefault="00BC4D56" w:rsidP="00664DBA">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）衍生品投资情况</w:t>
      </w:r>
    </w:p>
    <w:p w:rsidR="00BC4D56" w:rsidRPr="000A5B5D" w:rsidRDefault="00BC4D56" w:rsidP="00664DBA">
      <w:pPr>
        <w:wordWrap w:val="0"/>
        <w:spacing w:line="360" w:lineRule="auto"/>
        <w:jc w:val="right"/>
        <w:rPr>
          <w:sz w:val="24"/>
          <w:szCs w:val="24"/>
        </w:rPr>
      </w:pPr>
      <w:r w:rsidRPr="000A5B5D">
        <w:rPr>
          <w:rFonts w:hint="eastAsia"/>
          <w:sz w:val="24"/>
          <w:szCs w:val="24"/>
        </w:rPr>
        <w:t>单位：万元</w:t>
      </w:r>
      <w:r w:rsidR="00664DBA" w:rsidRPr="000A5B5D">
        <w:rPr>
          <w:sz w:val="24"/>
          <w:szCs w:val="24"/>
        </w:rPr>
        <w:t xml:space="preserve">  </w:t>
      </w:r>
    </w:p>
    <w:tbl>
      <w:tblPr>
        <w:tblW w:w="10065" w:type="dxa"/>
        <w:jc w:val="center"/>
        <w:tblLayout w:type="fixed"/>
        <w:tblCellMar>
          <w:left w:w="28" w:type="dxa"/>
          <w:right w:w="28" w:type="dxa"/>
        </w:tblCellMar>
        <w:tblLook w:val="0000" w:firstRow="0" w:lastRow="0" w:firstColumn="0" w:lastColumn="0" w:noHBand="0" w:noVBand="0"/>
      </w:tblPr>
      <w:tblGrid>
        <w:gridCol w:w="695"/>
        <w:gridCol w:w="695"/>
        <w:gridCol w:w="693"/>
        <w:gridCol w:w="738"/>
        <w:gridCol w:w="693"/>
        <w:gridCol w:w="693"/>
        <w:gridCol w:w="691"/>
        <w:gridCol w:w="693"/>
        <w:gridCol w:w="691"/>
        <w:gridCol w:w="878"/>
        <w:gridCol w:w="504"/>
        <w:gridCol w:w="983"/>
        <w:gridCol w:w="709"/>
        <w:gridCol w:w="709"/>
      </w:tblGrid>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衍生品投资操作方名称</w:t>
            </w:r>
          </w:p>
        </w:tc>
        <w:tc>
          <w:tcPr>
            <w:tcW w:w="69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关联关系</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是否关联交易</w:t>
            </w:r>
          </w:p>
        </w:tc>
        <w:tc>
          <w:tcPr>
            <w:tcW w:w="73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衍生品投资类型</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衍生品投资初始投资金额</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起始日期</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终止日期</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期初投资金额</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报告期内购入金额</w:t>
            </w:r>
          </w:p>
        </w:tc>
        <w:tc>
          <w:tcPr>
            <w:tcW w:w="8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报告期内售出金额</w:t>
            </w:r>
          </w:p>
        </w:tc>
        <w:tc>
          <w:tcPr>
            <w:tcW w:w="50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计提减值准备金额（如有）</w:t>
            </w:r>
          </w:p>
        </w:tc>
        <w:tc>
          <w:tcPr>
            <w:tcW w:w="9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期末投资金额</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期末投资金额占公司报告期末净资产比例</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报告期实际损益金额</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恒逸有限</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远期外汇合约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107,083</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16</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2016</w:t>
            </w:r>
            <w:r w:rsidRPr="000A5B5D">
              <w:rPr>
                <w:rFonts w:hint="eastAsia"/>
                <w:szCs w:val="24"/>
              </w:rPr>
              <w:t>年</w:t>
            </w:r>
            <w:r w:rsidRPr="000A5B5D">
              <w:rPr>
                <w:szCs w:val="24"/>
              </w:rPr>
              <w:t>12</w:t>
            </w:r>
            <w:r w:rsidRPr="000A5B5D">
              <w:rPr>
                <w:rFonts w:hint="eastAsia"/>
                <w:szCs w:val="24"/>
              </w:rPr>
              <w:t>月</w:t>
            </w:r>
            <w:r w:rsidRPr="000A5B5D">
              <w:rPr>
                <w:szCs w:val="24"/>
              </w:rPr>
              <w:t>09</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107,083</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107,469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68,530.12</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146,021.96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17.51%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-884.98</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恒逸高新</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远期外汇合约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24</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2016</w:t>
            </w:r>
            <w:r w:rsidRPr="000A5B5D">
              <w:rPr>
                <w:rFonts w:hint="eastAsia"/>
                <w:szCs w:val="24"/>
              </w:rPr>
              <w:t>年</w:t>
            </w:r>
            <w:r w:rsidRPr="000A5B5D">
              <w:rPr>
                <w:szCs w:val="24"/>
              </w:rPr>
              <w:t>12</w:t>
            </w:r>
            <w:r w:rsidRPr="000A5B5D">
              <w:rPr>
                <w:rFonts w:hint="eastAsia"/>
                <w:szCs w:val="24"/>
              </w:rPr>
              <w:t>月</w:t>
            </w:r>
            <w:r w:rsidRPr="000A5B5D">
              <w:rPr>
                <w:szCs w:val="24"/>
              </w:rPr>
              <w:t>12</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172,730</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172,729.76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20.71%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1,100.8</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lastRenderedPageBreak/>
              <w:t>恒逸聚合物</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远期外汇合约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2016</w:t>
            </w:r>
            <w:r w:rsidRPr="000A5B5D">
              <w:rPr>
                <w:rFonts w:hint="eastAsia"/>
                <w:szCs w:val="24"/>
              </w:rPr>
              <w:t>年</w:t>
            </w:r>
            <w:r w:rsidRPr="000A5B5D">
              <w:rPr>
                <w:szCs w:val="24"/>
              </w:rPr>
              <w:t>12</w:t>
            </w:r>
            <w:r w:rsidRPr="000A5B5D">
              <w:rPr>
                <w:rFonts w:hint="eastAsia"/>
                <w:szCs w:val="24"/>
              </w:rPr>
              <w:t>月</w:t>
            </w:r>
            <w:r w:rsidRPr="000A5B5D">
              <w:rPr>
                <w:szCs w:val="24"/>
              </w:rPr>
              <w:t>07</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33,178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33,177.52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3.98%</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314.98</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浙江逸盛</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远期外汇合约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25</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2016</w:t>
            </w:r>
            <w:r w:rsidRPr="000A5B5D">
              <w:rPr>
                <w:rFonts w:hint="eastAsia"/>
                <w:szCs w:val="24"/>
              </w:rPr>
              <w:t>年</w:t>
            </w:r>
            <w:r w:rsidRPr="000A5B5D">
              <w:rPr>
                <w:szCs w:val="24"/>
              </w:rPr>
              <w:t>12</w:t>
            </w:r>
            <w:r w:rsidRPr="000A5B5D">
              <w:rPr>
                <w:rFonts w:hint="eastAsia"/>
                <w:szCs w:val="24"/>
              </w:rPr>
              <w:t>月</w:t>
            </w:r>
            <w:r w:rsidRPr="000A5B5D">
              <w:rPr>
                <w:szCs w:val="24"/>
              </w:rPr>
              <w:t>01</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340,914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340,914</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40.87%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1,028.58</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浙江逸盛</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PTA</w:t>
            </w:r>
            <w:r w:rsidRPr="000A5B5D">
              <w:rPr>
                <w:rFonts w:hint="eastAsia"/>
                <w:szCs w:val="24"/>
              </w:rPr>
              <w:t>期货</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02</w:t>
            </w:r>
            <w:r w:rsidRPr="000A5B5D">
              <w:rPr>
                <w:rFonts w:hint="eastAsia"/>
                <w:szCs w:val="24"/>
              </w:rPr>
              <w:t>月</w:t>
            </w:r>
            <w:r w:rsidRPr="000A5B5D">
              <w:rPr>
                <w:szCs w:val="24"/>
              </w:rPr>
              <w:t>27</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16</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03351B" w:rsidP="00707E81">
            <w:pPr>
              <w:jc w:val="center"/>
              <w:rPr>
                <w:szCs w:val="24"/>
              </w:rPr>
            </w:pPr>
            <w:r w:rsidRPr="000A5B5D">
              <w:rPr>
                <w:szCs w:val="24"/>
              </w:rPr>
              <w:t>78</w:t>
            </w:r>
            <w:r w:rsidR="005C2547" w:rsidRPr="000A5B5D">
              <w:rPr>
                <w:szCs w:val="24"/>
              </w:rPr>
              <w:t>,</w:t>
            </w:r>
            <w:r w:rsidRPr="000A5B5D">
              <w:rPr>
                <w:szCs w:val="24"/>
              </w:rPr>
              <w:t>016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03351B" w:rsidP="00707E81">
            <w:pPr>
              <w:jc w:val="center"/>
              <w:rPr>
                <w:szCs w:val="24"/>
              </w:rPr>
            </w:pPr>
            <w:r w:rsidRPr="000A5B5D">
              <w:rPr>
                <w:szCs w:val="24"/>
              </w:rPr>
              <w:t>78</w:t>
            </w:r>
            <w:r w:rsidR="005C2547" w:rsidRPr="000A5B5D">
              <w:rPr>
                <w:szCs w:val="24"/>
              </w:rPr>
              <w:t>,</w:t>
            </w:r>
            <w:r w:rsidRPr="000A5B5D">
              <w:rPr>
                <w:szCs w:val="24"/>
              </w:rPr>
              <w:t>016</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1,830.78</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上海恒逸聚酯</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PTA</w:t>
            </w:r>
            <w:r w:rsidRPr="000A5B5D">
              <w:rPr>
                <w:rFonts w:hint="eastAsia"/>
                <w:szCs w:val="24"/>
              </w:rPr>
              <w:t>期货</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314</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2014</w:t>
            </w:r>
            <w:r w:rsidRPr="000A5B5D">
              <w:rPr>
                <w:rFonts w:hint="eastAsia"/>
                <w:szCs w:val="24"/>
              </w:rPr>
              <w:t>年</w:t>
            </w:r>
            <w:r w:rsidRPr="000A5B5D">
              <w:rPr>
                <w:szCs w:val="24"/>
              </w:rPr>
              <w:t>12</w:t>
            </w:r>
            <w:r w:rsidRPr="000A5B5D">
              <w:rPr>
                <w:rFonts w:hint="eastAsia"/>
                <w:szCs w:val="24"/>
              </w:rPr>
              <w:t>月</w:t>
            </w:r>
            <w:r w:rsidRPr="000A5B5D">
              <w:rPr>
                <w:szCs w:val="24"/>
              </w:rPr>
              <w:t>03</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2016</w:t>
            </w:r>
            <w:r w:rsidRPr="000A5B5D">
              <w:rPr>
                <w:rFonts w:hint="eastAsia"/>
                <w:szCs w:val="24"/>
              </w:rPr>
              <w:t>年</w:t>
            </w:r>
            <w:r w:rsidRPr="000A5B5D">
              <w:rPr>
                <w:szCs w:val="24"/>
              </w:rPr>
              <w:t>06</w:t>
            </w:r>
            <w:r w:rsidRPr="000A5B5D">
              <w:rPr>
                <w:rFonts w:hint="eastAsia"/>
                <w:szCs w:val="24"/>
              </w:rPr>
              <w:t>月</w:t>
            </w:r>
            <w:r w:rsidRPr="000A5B5D">
              <w:rPr>
                <w:szCs w:val="24"/>
              </w:rPr>
              <w:t>30</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314</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306.46</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7.54</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486.26</w:t>
            </w:r>
          </w:p>
        </w:tc>
      </w:tr>
      <w:tr w:rsidR="00BC4D56" w:rsidRPr="000A5B5D" w:rsidTr="0041157C">
        <w:trPr>
          <w:jc w:val="center"/>
        </w:trPr>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宁波恒逸实业有限公司</w:t>
            </w:r>
          </w:p>
        </w:tc>
        <w:tc>
          <w:tcPr>
            <w:tcW w:w="69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控股子公司</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否</w:t>
            </w:r>
          </w:p>
        </w:tc>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PTA</w:t>
            </w:r>
            <w:r w:rsidRPr="000A5B5D">
              <w:rPr>
                <w:rFonts w:hint="eastAsia"/>
                <w:szCs w:val="24"/>
              </w:rPr>
              <w:t>期货</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07</w:t>
            </w:r>
            <w:r w:rsidRPr="000A5B5D">
              <w:rPr>
                <w:rFonts w:hint="eastAsia"/>
                <w:szCs w:val="24"/>
              </w:rPr>
              <w:t>日</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26</w:t>
            </w:r>
            <w:r w:rsidRPr="000A5B5D">
              <w:rPr>
                <w:rFonts w:hint="eastAsia"/>
                <w:szCs w:val="24"/>
              </w:rPr>
              <w:t>日</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03351B" w:rsidP="00707E81">
            <w:pPr>
              <w:jc w:val="center"/>
              <w:rPr>
                <w:szCs w:val="24"/>
              </w:rPr>
            </w:pPr>
            <w:r w:rsidRPr="000A5B5D">
              <w:rPr>
                <w:szCs w:val="24"/>
              </w:rPr>
              <w:t>8</w:t>
            </w:r>
            <w:r w:rsidR="005C2547" w:rsidRPr="000A5B5D">
              <w:rPr>
                <w:szCs w:val="24"/>
              </w:rPr>
              <w:t>,</w:t>
            </w:r>
            <w:r w:rsidRPr="000A5B5D">
              <w:rPr>
                <w:szCs w:val="24"/>
              </w:rPr>
              <w:t>800</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03351B" w:rsidP="00707E81">
            <w:pPr>
              <w:jc w:val="center"/>
              <w:rPr>
                <w:szCs w:val="24"/>
              </w:rPr>
            </w:pPr>
            <w:r w:rsidRPr="000A5B5D">
              <w:rPr>
                <w:szCs w:val="24"/>
              </w:rPr>
              <w:t>8</w:t>
            </w:r>
            <w:r w:rsidR="005C2547" w:rsidRPr="000A5B5D">
              <w:rPr>
                <w:szCs w:val="24"/>
              </w:rPr>
              <w:t>,</w:t>
            </w:r>
            <w:r w:rsidRPr="000A5B5D">
              <w:rPr>
                <w:szCs w:val="24"/>
              </w:rPr>
              <w:t>800</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C6C43" w:rsidP="00707E81">
            <w:pPr>
              <w:jc w:val="center"/>
              <w:rPr>
                <w:szCs w:val="24"/>
              </w:rPr>
            </w:pPr>
            <w:r w:rsidRPr="000A5B5D">
              <w:rPr>
                <w:szCs w:val="24"/>
              </w:rPr>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1,868.47</w:t>
            </w:r>
          </w:p>
        </w:tc>
      </w:tr>
      <w:tr w:rsidR="00BC4D56" w:rsidRPr="000A5B5D" w:rsidTr="0041157C">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合计</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107,397</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szCs w:val="24"/>
              </w:rPr>
              <w:t>--</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107,397</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03351B" w:rsidP="00707E81">
            <w:pPr>
              <w:jc w:val="center"/>
              <w:rPr>
                <w:szCs w:val="24"/>
              </w:rPr>
            </w:pPr>
            <w:r w:rsidRPr="000A5B5D">
              <w:rPr>
                <w:szCs w:val="24"/>
              </w:rPr>
              <w:t>741</w:t>
            </w:r>
            <w:r w:rsidR="005C2547" w:rsidRPr="000A5B5D">
              <w:rPr>
                <w:szCs w:val="24"/>
              </w:rPr>
              <w:t>,</w:t>
            </w:r>
            <w:r w:rsidRPr="000A5B5D">
              <w:rPr>
                <w:szCs w:val="24"/>
              </w:rPr>
              <w:t>106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41157C" w:rsidP="00707E81">
            <w:pPr>
              <w:jc w:val="center"/>
              <w:rPr>
                <w:szCs w:val="24"/>
              </w:rPr>
            </w:pPr>
            <w:r w:rsidRPr="000A5B5D">
              <w:rPr>
                <w:szCs w:val="24"/>
              </w:rPr>
              <w:t>155,652.58</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692,850.78</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83.07%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5,744.89</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衍生品投资资金来源</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公司自有资金</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涉诉情况（如适用）</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rFonts w:hint="eastAsia"/>
                <w:szCs w:val="24"/>
              </w:rPr>
              <w:t>无</w:t>
            </w:r>
          </w:p>
        </w:tc>
      </w:tr>
      <w:tr w:rsidR="00BC4D56" w:rsidRPr="000A5B5D" w:rsidTr="00707E81">
        <w:trPr>
          <w:jc w:val="center"/>
        </w:trPr>
        <w:tc>
          <w:tcPr>
            <w:tcW w:w="2821" w:type="dxa"/>
            <w:gridSpan w:val="4"/>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衍生品投资审批董事会公告披露日期（如有</w:t>
            </w:r>
            <w:r w:rsidRPr="000A5B5D">
              <w:rPr>
                <w:szCs w:val="24"/>
              </w:rPr>
              <w:t>)</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09</w:t>
            </w:r>
            <w:r w:rsidRPr="000A5B5D">
              <w:rPr>
                <w:rFonts w:hint="eastAsia"/>
                <w:szCs w:val="24"/>
              </w:rPr>
              <w:t>日</w:t>
            </w:r>
            <w:r w:rsidR="004C6C43" w:rsidRPr="000A5B5D">
              <w:rPr>
                <w:rFonts w:hint="eastAsia"/>
                <w:szCs w:val="24"/>
              </w:rPr>
              <w:t>，</w:t>
            </w:r>
            <w:r w:rsidR="004C6C43" w:rsidRPr="000A5B5D">
              <w:rPr>
                <w:szCs w:val="24"/>
              </w:rPr>
              <w:t>2015</w:t>
            </w:r>
            <w:r w:rsidR="004C6C43" w:rsidRPr="000A5B5D">
              <w:rPr>
                <w:rFonts w:hint="eastAsia"/>
                <w:szCs w:val="24"/>
              </w:rPr>
              <w:t>年</w:t>
            </w:r>
            <w:r w:rsidR="004C6C43" w:rsidRPr="000A5B5D">
              <w:rPr>
                <w:szCs w:val="24"/>
              </w:rPr>
              <w:t>12</w:t>
            </w:r>
            <w:r w:rsidR="004C6C43" w:rsidRPr="000A5B5D">
              <w:rPr>
                <w:rFonts w:hint="eastAsia"/>
                <w:szCs w:val="24"/>
              </w:rPr>
              <w:t>月</w:t>
            </w:r>
            <w:r w:rsidR="004C6C43" w:rsidRPr="000A5B5D">
              <w:rPr>
                <w:szCs w:val="24"/>
              </w:rPr>
              <w:t>9</w:t>
            </w:r>
            <w:r w:rsidR="004C6C43" w:rsidRPr="000A5B5D">
              <w:rPr>
                <w:rFonts w:hint="eastAsia"/>
                <w:szCs w:val="24"/>
              </w:rPr>
              <w:t>日</w:t>
            </w:r>
          </w:p>
        </w:tc>
      </w:tr>
      <w:tr w:rsidR="00BC4D56" w:rsidRPr="000A5B5D" w:rsidTr="00707E81">
        <w:trPr>
          <w:jc w:val="center"/>
        </w:trPr>
        <w:tc>
          <w:tcPr>
            <w:tcW w:w="2821" w:type="dxa"/>
            <w:gridSpan w:val="4"/>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07E81">
            <w:pPr>
              <w:jc w:val="center"/>
              <w:rPr>
                <w:szCs w:val="24"/>
              </w:rPr>
            </w:pP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28</w:t>
            </w:r>
            <w:r w:rsidRPr="000A5B5D">
              <w:rPr>
                <w:rFonts w:hint="eastAsia"/>
                <w:szCs w:val="24"/>
              </w:rPr>
              <w:t>日</w:t>
            </w:r>
          </w:p>
        </w:tc>
      </w:tr>
      <w:tr w:rsidR="00BC4D56" w:rsidRPr="000A5B5D" w:rsidTr="00707E81">
        <w:trPr>
          <w:jc w:val="center"/>
        </w:trPr>
        <w:tc>
          <w:tcPr>
            <w:tcW w:w="2821" w:type="dxa"/>
            <w:gridSpan w:val="4"/>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衍生品投资审批股东会公告披露日期（如有</w:t>
            </w:r>
            <w:r w:rsidRPr="000A5B5D">
              <w:rPr>
                <w:szCs w:val="24"/>
              </w:rPr>
              <w:t>)</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23</w:t>
            </w:r>
            <w:r w:rsidRPr="000A5B5D">
              <w:rPr>
                <w:rFonts w:hint="eastAsia"/>
                <w:szCs w:val="24"/>
              </w:rPr>
              <w:t>日</w:t>
            </w:r>
            <w:r w:rsidR="004C6C43" w:rsidRPr="000A5B5D">
              <w:rPr>
                <w:rFonts w:hint="eastAsia"/>
                <w:szCs w:val="24"/>
              </w:rPr>
              <w:t>，</w:t>
            </w:r>
            <w:r w:rsidR="004C6C43" w:rsidRPr="000A5B5D">
              <w:rPr>
                <w:szCs w:val="24"/>
              </w:rPr>
              <w:t>2015</w:t>
            </w:r>
            <w:r w:rsidR="004C6C43" w:rsidRPr="000A5B5D">
              <w:rPr>
                <w:rFonts w:hint="eastAsia"/>
                <w:szCs w:val="24"/>
              </w:rPr>
              <w:t>年</w:t>
            </w:r>
            <w:r w:rsidR="004C6C43" w:rsidRPr="000A5B5D">
              <w:rPr>
                <w:szCs w:val="24"/>
              </w:rPr>
              <w:t>12</w:t>
            </w:r>
            <w:r w:rsidR="004C6C43" w:rsidRPr="000A5B5D">
              <w:rPr>
                <w:rFonts w:hint="eastAsia"/>
                <w:szCs w:val="24"/>
              </w:rPr>
              <w:t>月</w:t>
            </w:r>
            <w:r w:rsidR="004C6C43" w:rsidRPr="000A5B5D">
              <w:rPr>
                <w:szCs w:val="24"/>
              </w:rPr>
              <w:t>25</w:t>
            </w:r>
            <w:r w:rsidR="004C6C43" w:rsidRPr="000A5B5D">
              <w:rPr>
                <w:rFonts w:hint="eastAsia"/>
                <w:szCs w:val="24"/>
              </w:rPr>
              <w:t>日</w:t>
            </w:r>
          </w:p>
        </w:tc>
      </w:tr>
      <w:tr w:rsidR="00BC4D56" w:rsidRPr="000A5B5D" w:rsidTr="00707E81">
        <w:trPr>
          <w:jc w:val="center"/>
        </w:trPr>
        <w:tc>
          <w:tcPr>
            <w:tcW w:w="2821" w:type="dxa"/>
            <w:gridSpan w:val="4"/>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rsidP="00707E81">
            <w:pPr>
              <w:jc w:val="center"/>
              <w:rPr>
                <w:szCs w:val="24"/>
              </w:rPr>
            </w:pP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707E81">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18</w:t>
            </w:r>
            <w:r w:rsidRPr="000A5B5D">
              <w:rPr>
                <w:rFonts w:hint="eastAsia"/>
                <w:szCs w:val="24"/>
              </w:rPr>
              <w:t>日</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报告期衍生品持仓的风险分析及控制措施说明（包括但不限于市场风险、流动性风险、信用风险、操作风险、法律风险等）</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506DC7">
            <w:pPr>
              <w:jc w:val="left"/>
              <w:rPr>
                <w:szCs w:val="24"/>
              </w:rPr>
            </w:pPr>
            <w:r w:rsidRPr="000A5B5D">
              <w:rPr>
                <w:rFonts w:hint="eastAsia"/>
                <w:szCs w:val="24"/>
              </w:rPr>
              <w:t>开展衍生品投资面临的风险：</w:t>
            </w:r>
            <w:r w:rsidRPr="000A5B5D">
              <w:rPr>
                <w:szCs w:val="24"/>
              </w:rPr>
              <w:t xml:space="preserve"> 1</w:t>
            </w:r>
            <w:r w:rsidRPr="000A5B5D">
              <w:rPr>
                <w:rFonts w:hint="eastAsia"/>
                <w:szCs w:val="24"/>
              </w:rPr>
              <w:t>、市场风险：在行情变动较大的情况下，价格按照预期相反方向波动，造成损失。</w:t>
            </w:r>
            <w:r w:rsidRPr="000A5B5D">
              <w:rPr>
                <w:szCs w:val="24"/>
              </w:rPr>
              <w:t>2</w:t>
            </w:r>
            <w:r w:rsidRPr="000A5B5D">
              <w:rPr>
                <w:rFonts w:hint="eastAsia"/>
                <w:szCs w:val="24"/>
              </w:rPr>
              <w:t>、流动性风险：衍生品投资面临合约交易时间与预期不符合的风险。</w:t>
            </w:r>
            <w:r w:rsidRPr="000A5B5D">
              <w:rPr>
                <w:szCs w:val="24"/>
              </w:rPr>
              <w:t xml:space="preserve"> 3</w:t>
            </w:r>
            <w:r w:rsidRPr="000A5B5D">
              <w:rPr>
                <w:rFonts w:hint="eastAsia"/>
                <w:szCs w:val="24"/>
              </w:rPr>
              <w:t>、信用风险：在交付周期内，由于产品价格的大幅波动，客户主动违约而造成公司交易上的损失。</w:t>
            </w:r>
            <w:r w:rsidRPr="000A5B5D">
              <w:rPr>
                <w:szCs w:val="24"/>
              </w:rPr>
              <w:t xml:space="preserve"> 4</w:t>
            </w:r>
            <w:r w:rsidRPr="000A5B5D">
              <w:rPr>
                <w:rFonts w:hint="eastAsia"/>
                <w:szCs w:val="24"/>
              </w:rPr>
              <w:t>、操作风险：由于衍生品投资专业性较强，复杂程度较高，会存在因信息系统或内部控制方面的缺陷而导致意外损失的可能。</w:t>
            </w:r>
            <w:r w:rsidRPr="000A5B5D">
              <w:rPr>
                <w:szCs w:val="24"/>
              </w:rPr>
              <w:t xml:space="preserve"> 5</w:t>
            </w:r>
            <w:r w:rsidRPr="000A5B5D">
              <w:rPr>
                <w:rFonts w:hint="eastAsia"/>
                <w:szCs w:val="24"/>
              </w:rPr>
              <w:t>、法律风险：在衍生品交易中，由于相关行为与相应的法规发生冲突，致使无法获得当初所期待的经济效果甚至蒙受损失的风险。公司采取的风险控制措施：公司董事会已审议批准了《远期外汇交易业务管理制度》和《期货业务管理制度》，规定公司从事衍生品投资业务，以套期保值为主要目的，禁止投机和套利交易。制度就公司业务操作原则、审批权限、内部审核流程、责任部门及责任人、信息隔离措施、内部风险报告制度及风险处理程序等做出了明确规定，符合监管部门的有关要求，满足实际操作的需要，所制定的风险控制措施是切实有效的。</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已投资衍生品报告期内市场价格或产品公允价值变动的情况，对衍生品公允价值的分析应披露具体使用的方法及相关假设与参数的设定</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506DC7">
            <w:pPr>
              <w:jc w:val="left"/>
              <w:rPr>
                <w:szCs w:val="24"/>
              </w:rPr>
            </w:pPr>
            <w:r w:rsidRPr="000A5B5D">
              <w:rPr>
                <w:rFonts w:hint="eastAsia"/>
                <w:szCs w:val="24"/>
              </w:rPr>
              <w:t>报告期内，公司商品期货、外汇等衍生品公允价值变动情况：盈利</w:t>
            </w:r>
            <w:r w:rsidRPr="000A5B5D">
              <w:rPr>
                <w:szCs w:val="24"/>
              </w:rPr>
              <w:t>5,744.90</w:t>
            </w:r>
            <w:r w:rsidRPr="000A5B5D">
              <w:rPr>
                <w:rFonts w:hint="eastAsia"/>
                <w:szCs w:val="24"/>
              </w:rPr>
              <w:t>万元。公司对衍生品投资按照公允价值计价，远期外汇基本按照银行、路透系统等定价服务机构等提供或获得的价格厘定，企业每月均进行公允价值计量与确认；期货的交易价格即为公允价格。</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t>报告期公司衍生品的会计政策及会计核算具体原则与上一报告期相比</w:t>
            </w:r>
            <w:r w:rsidRPr="000A5B5D">
              <w:rPr>
                <w:rFonts w:hint="eastAsia"/>
                <w:szCs w:val="24"/>
              </w:rPr>
              <w:lastRenderedPageBreak/>
              <w:t>是否发生重大变化的说明</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506DC7">
            <w:pPr>
              <w:jc w:val="left"/>
              <w:rPr>
                <w:szCs w:val="24"/>
              </w:rPr>
            </w:pPr>
            <w:r w:rsidRPr="000A5B5D">
              <w:rPr>
                <w:rFonts w:hint="eastAsia"/>
                <w:szCs w:val="24"/>
              </w:rPr>
              <w:lastRenderedPageBreak/>
              <w:t>否，公司根据财政部《企业会计准则第</w:t>
            </w:r>
            <w:r w:rsidRPr="000A5B5D">
              <w:rPr>
                <w:szCs w:val="24"/>
              </w:rPr>
              <w:t>22</w:t>
            </w:r>
            <w:r w:rsidRPr="000A5B5D">
              <w:rPr>
                <w:rFonts w:hint="eastAsia"/>
                <w:szCs w:val="24"/>
              </w:rPr>
              <w:t>号</w:t>
            </w:r>
            <w:r w:rsidRPr="000A5B5D">
              <w:rPr>
                <w:szCs w:val="24"/>
              </w:rPr>
              <w:t>--</w:t>
            </w:r>
            <w:r w:rsidRPr="000A5B5D">
              <w:rPr>
                <w:rFonts w:hint="eastAsia"/>
                <w:szCs w:val="24"/>
              </w:rPr>
              <w:t>金融工具确认和计量》、《企业会计准则第</w:t>
            </w:r>
            <w:r w:rsidRPr="000A5B5D">
              <w:rPr>
                <w:szCs w:val="24"/>
              </w:rPr>
              <w:t>24</w:t>
            </w:r>
            <w:r w:rsidRPr="000A5B5D">
              <w:rPr>
                <w:rFonts w:hint="eastAsia"/>
                <w:szCs w:val="24"/>
              </w:rPr>
              <w:t>号</w:t>
            </w:r>
            <w:r w:rsidRPr="000A5B5D">
              <w:rPr>
                <w:szCs w:val="24"/>
              </w:rPr>
              <w:t>--</w:t>
            </w:r>
            <w:r w:rsidRPr="000A5B5D">
              <w:rPr>
                <w:rFonts w:hint="eastAsia"/>
                <w:szCs w:val="24"/>
              </w:rPr>
              <w:t>套期保值》、企业会计准则第</w:t>
            </w:r>
            <w:r w:rsidRPr="000A5B5D">
              <w:rPr>
                <w:szCs w:val="24"/>
              </w:rPr>
              <w:t>23</w:t>
            </w:r>
            <w:r w:rsidRPr="000A5B5D">
              <w:rPr>
                <w:rFonts w:hint="eastAsia"/>
                <w:szCs w:val="24"/>
              </w:rPr>
              <w:t>号</w:t>
            </w:r>
            <w:r w:rsidRPr="000A5B5D">
              <w:rPr>
                <w:szCs w:val="24"/>
              </w:rPr>
              <w:t>-</w:t>
            </w:r>
            <w:r w:rsidRPr="000A5B5D">
              <w:rPr>
                <w:rFonts w:hint="eastAsia"/>
                <w:szCs w:val="24"/>
              </w:rPr>
              <w:t>金融资产转移》、《企业会计准则第</w:t>
            </w:r>
            <w:r w:rsidRPr="000A5B5D">
              <w:rPr>
                <w:szCs w:val="24"/>
              </w:rPr>
              <w:t>37</w:t>
            </w:r>
            <w:r w:rsidRPr="000A5B5D">
              <w:rPr>
                <w:rFonts w:hint="eastAsia"/>
                <w:szCs w:val="24"/>
              </w:rPr>
              <w:t>号</w:t>
            </w:r>
            <w:r w:rsidRPr="000A5B5D">
              <w:rPr>
                <w:szCs w:val="24"/>
              </w:rPr>
              <w:t>--</w:t>
            </w:r>
            <w:r w:rsidRPr="000A5B5D">
              <w:rPr>
                <w:rFonts w:hint="eastAsia"/>
                <w:szCs w:val="24"/>
              </w:rPr>
              <w:t>金融工具</w:t>
            </w:r>
            <w:r w:rsidRPr="000A5B5D">
              <w:rPr>
                <w:rFonts w:hint="eastAsia"/>
                <w:szCs w:val="24"/>
              </w:rPr>
              <w:lastRenderedPageBreak/>
              <w:t>列报》相关规定及其指南，对开展的衍生品投资业务进行相应的核算处理，反映资产负债表及损益表相关项目。</w:t>
            </w:r>
          </w:p>
        </w:tc>
      </w:tr>
      <w:tr w:rsidR="00BC4D56" w:rsidRPr="000A5B5D" w:rsidTr="00707E81">
        <w:trPr>
          <w:jc w:val="center"/>
        </w:trPr>
        <w:tc>
          <w:tcPr>
            <w:tcW w:w="282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707E81">
            <w:pPr>
              <w:jc w:val="center"/>
              <w:rPr>
                <w:szCs w:val="24"/>
              </w:rPr>
            </w:pPr>
            <w:r w:rsidRPr="000A5B5D">
              <w:rPr>
                <w:rFonts w:hint="eastAsia"/>
                <w:szCs w:val="24"/>
              </w:rPr>
              <w:lastRenderedPageBreak/>
              <w:t>独立董事对公司衍生品投资及风险控制情况的专项意见</w:t>
            </w:r>
          </w:p>
        </w:tc>
        <w:tc>
          <w:tcPr>
            <w:tcW w:w="7244"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506DC7">
            <w:pPr>
              <w:jc w:val="left"/>
              <w:rPr>
                <w:szCs w:val="24"/>
              </w:rPr>
            </w:pPr>
            <w:r w:rsidRPr="000A5B5D">
              <w:rPr>
                <w:rFonts w:hint="eastAsia"/>
                <w:szCs w:val="24"/>
              </w:rPr>
              <w:t>公司以规避市场波动风险、套期保值为目的开展的衍生品投资业务，与公司日常经营需求紧密相关，符合有关法律、法规的规定，且公司建立了《远期外汇交易业务管理制度》和《期货管理制度》，加强了风险管理和控制，有利于规避和控制经营风险，提高公司抵御市场风险的能力，不存在损害公司和全体股东利益的情况。</w:t>
            </w:r>
          </w:p>
        </w:tc>
      </w:tr>
    </w:tbl>
    <w:p w:rsidR="00BC4D56" w:rsidRPr="000A5B5D" w:rsidRDefault="00BC4D56" w:rsidP="00506DC7">
      <w:pPr>
        <w:pStyle w:val="Section"/>
        <w:spacing w:line="360" w:lineRule="auto"/>
        <w:outlineLvl w:val="2"/>
        <w:rPr>
          <w:rFonts w:asciiTheme="minorEastAsia" w:eastAsiaTheme="minorEastAsia" w:hAnsiTheme="minorEastAsia"/>
          <w:bCs w:val="0"/>
          <w:sz w:val="24"/>
          <w:szCs w:val="24"/>
        </w:rPr>
      </w:pPr>
      <w:r w:rsidRPr="000A5B5D">
        <w:rPr>
          <w:rFonts w:asciiTheme="minorEastAsia" w:eastAsiaTheme="minorEastAsia" w:hAnsiTheme="minorEastAsia"/>
          <w:bCs w:val="0"/>
          <w:sz w:val="24"/>
          <w:szCs w:val="24"/>
        </w:rPr>
        <w:t>5</w:t>
      </w:r>
      <w:r w:rsidRPr="000A5B5D">
        <w:rPr>
          <w:rFonts w:asciiTheme="minorEastAsia" w:eastAsiaTheme="minorEastAsia" w:hAnsiTheme="minorEastAsia" w:hint="eastAsia"/>
          <w:bCs w:val="0"/>
          <w:sz w:val="24"/>
          <w:szCs w:val="24"/>
        </w:rPr>
        <w:t>、募集资金使用情况</w:t>
      </w:r>
    </w:p>
    <w:p w:rsidR="00BC4D56" w:rsidRPr="000A5B5D" w:rsidRDefault="00BC4D56" w:rsidP="00506DC7">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适用</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w:t>
      </w:r>
      <w:r w:rsidRPr="000A5B5D">
        <w:rPr>
          <w:rFonts w:asciiTheme="minorEastAsia" w:eastAsiaTheme="minorEastAsia" w:hAnsiTheme="minorEastAsia"/>
          <w:sz w:val="24"/>
          <w:szCs w:val="24"/>
        </w:rPr>
        <w:t xml:space="preserve"> </w:t>
      </w:r>
      <w:r w:rsidRPr="000A5B5D">
        <w:rPr>
          <w:rFonts w:asciiTheme="minorEastAsia" w:eastAsiaTheme="minorEastAsia" w:hAnsiTheme="minorEastAsia" w:hint="eastAsia"/>
          <w:sz w:val="24"/>
          <w:szCs w:val="24"/>
        </w:rPr>
        <w:t>不适用</w:t>
      </w:r>
      <w:r w:rsidRPr="000A5B5D">
        <w:rPr>
          <w:rFonts w:asciiTheme="minorEastAsia" w:eastAsiaTheme="minorEastAsia" w:hAnsiTheme="minorEastAsia"/>
          <w:sz w:val="24"/>
          <w:szCs w:val="24"/>
        </w:rPr>
        <w:t xml:space="preserve"> </w:t>
      </w:r>
    </w:p>
    <w:p w:rsidR="00BC4D56" w:rsidRPr="000A5B5D" w:rsidRDefault="00BC4D56" w:rsidP="00506DC7">
      <w:pPr>
        <w:pStyle w:val="Section"/>
        <w:spacing w:line="360" w:lineRule="auto"/>
        <w:outlineLvl w:val="3"/>
        <w:rPr>
          <w:rFonts w:asciiTheme="minorEastAsia" w:eastAsiaTheme="minorEastAsia" w:hAnsiTheme="minorEastAsia"/>
          <w:bCs w:val="0"/>
          <w:sz w:val="24"/>
          <w:szCs w:val="24"/>
        </w:rPr>
      </w:pPr>
      <w:r w:rsidRPr="000A5B5D">
        <w:rPr>
          <w:rFonts w:asciiTheme="minorEastAsia" w:eastAsiaTheme="minorEastAsia" w:hAnsiTheme="minorEastAsia" w:hint="eastAsia"/>
          <w:bCs w:val="0"/>
          <w:sz w:val="24"/>
          <w:szCs w:val="24"/>
        </w:rPr>
        <w:t>（</w:t>
      </w:r>
      <w:r w:rsidRPr="000A5B5D">
        <w:rPr>
          <w:rFonts w:asciiTheme="minorEastAsia" w:eastAsiaTheme="minorEastAsia" w:hAnsiTheme="minorEastAsia"/>
          <w:bCs w:val="0"/>
          <w:sz w:val="24"/>
          <w:szCs w:val="24"/>
        </w:rPr>
        <w:t>1</w:t>
      </w:r>
      <w:r w:rsidRPr="000A5B5D">
        <w:rPr>
          <w:rFonts w:asciiTheme="minorEastAsia" w:eastAsiaTheme="minorEastAsia" w:hAnsiTheme="minorEastAsia" w:hint="eastAsia"/>
          <w:bCs w:val="0"/>
          <w:sz w:val="24"/>
          <w:szCs w:val="24"/>
        </w:rPr>
        <w:t>）募集资金总体使用情况</w:t>
      </w:r>
    </w:p>
    <w:p w:rsidR="00BC4D56" w:rsidRPr="000A5B5D" w:rsidRDefault="00BC4D56" w:rsidP="00506DC7">
      <w:pPr>
        <w:wordWrap w:val="0"/>
        <w:spacing w:line="360" w:lineRule="auto"/>
        <w:jc w:val="righ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单位：万元</w:t>
      </w:r>
      <w:r w:rsidR="00506DC7" w:rsidRPr="000A5B5D">
        <w:rPr>
          <w:rFonts w:asciiTheme="minorEastAsia" w:eastAsiaTheme="minorEastAsia" w:hAnsiTheme="minorEastAsia"/>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567"/>
        <w:gridCol w:w="709"/>
        <w:gridCol w:w="1134"/>
        <w:gridCol w:w="1134"/>
        <w:gridCol w:w="1134"/>
        <w:gridCol w:w="992"/>
        <w:gridCol w:w="851"/>
        <w:gridCol w:w="850"/>
        <w:gridCol w:w="709"/>
        <w:gridCol w:w="851"/>
        <w:gridCol w:w="633"/>
      </w:tblGrid>
      <w:tr w:rsidR="00BC4D56" w:rsidRPr="000A5B5D" w:rsidTr="002D1437">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募集年份</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募集方式</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募集资金总额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本期已使用募集资金总额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已累计使用募集资金总额</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报告期内变更用途的募集资金总额</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累计变更用途的募集资金总额</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累计变更用途的募集资金总额比例</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尚未使用募集资金总额</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尚未使用募集资金用途及去向</w:t>
            </w:r>
          </w:p>
        </w:tc>
        <w:tc>
          <w:tcPr>
            <w:tcW w:w="63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闲置两年以上募集资金金额</w:t>
            </w:r>
          </w:p>
        </w:tc>
      </w:tr>
      <w:tr w:rsidR="00BC4D56" w:rsidRPr="000A5B5D" w:rsidTr="002D1437">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非公开发行</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575967" w:rsidRPr="000A5B5D" w:rsidRDefault="00575967" w:rsidP="00575967">
            <w:pPr>
              <w:jc w:val="center"/>
              <w:rPr>
                <w:szCs w:val="24"/>
              </w:rPr>
            </w:pPr>
            <w:r w:rsidRPr="000A5B5D">
              <w:rPr>
                <w:szCs w:val="24"/>
              </w:rPr>
              <w:t>99,999.9997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5967" w:rsidP="00916548">
            <w:pPr>
              <w:jc w:val="center"/>
              <w:rPr>
                <w:szCs w:val="24"/>
              </w:rPr>
            </w:pPr>
            <w:r w:rsidRPr="000A5B5D">
              <w:rPr>
                <w:szCs w:val="24"/>
              </w:rPr>
              <w:t>99,999.9997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5967" w:rsidP="00916548">
            <w:pPr>
              <w:jc w:val="center"/>
              <w:rPr>
                <w:szCs w:val="24"/>
              </w:rPr>
            </w:pPr>
            <w:r w:rsidRPr="000A5B5D">
              <w:rPr>
                <w:szCs w:val="24"/>
              </w:rPr>
              <w:t>99,999.9997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rFonts w:hint="eastAsia"/>
                <w:szCs w:val="24"/>
              </w:rPr>
              <w:t>无</w:t>
            </w:r>
          </w:p>
        </w:tc>
        <w:tc>
          <w:tcPr>
            <w:tcW w:w="6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r>
      <w:tr w:rsidR="00BC4D56" w:rsidRPr="000A5B5D" w:rsidTr="002D1437">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合计</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5967" w:rsidP="00916548">
            <w:pPr>
              <w:jc w:val="center"/>
              <w:rPr>
                <w:szCs w:val="24"/>
              </w:rPr>
            </w:pPr>
            <w:r w:rsidRPr="000A5B5D">
              <w:rPr>
                <w:szCs w:val="24"/>
              </w:rPr>
              <w:t>99,999.9997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5967" w:rsidP="00916548">
            <w:pPr>
              <w:jc w:val="center"/>
              <w:rPr>
                <w:szCs w:val="24"/>
              </w:rPr>
            </w:pPr>
            <w:r w:rsidRPr="000A5B5D">
              <w:rPr>
                <w:szCs w:val="24"/>
              </w:rPr>
              <w:t>99,999.9997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575967" w:rsidP="00916548">
            <w:pPr>
              <w:jc w:val="center"/>
              <w:rPr>
                <w:szCs w:val="24"/>
              </w:rPr>
            </w:pPr>
            <w:r w:rsidRPr="000A5B5D">
              <w:rPr>
                <w:szCs w:val="24"/>
              </w:rPr>
              <w:t>99,999.9997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16548">
            <w:pPr>
              <w:jc w:val="center"/>
              <w:rPr>
                <w:szCs w:val="24"/>
              </w:rPr>
            </w:pPr>
            <w:r w:rsidRPr="000A5B5D">
              <w:rPr>
                <w:szCs w:val="24"/>
              </w:rPr>
              <w:t>--</w:t>
            </w:r>
          </w:p>
        </w:tc>
        <w:tc>
          <w:tcPr>
            <w:tcW w:w="6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16548">
            <w:pPr>
              <w:jc w:val="center"/>
              <w:rPr>
                <w:szCs w:val="24"/>
              </w:rPr>
            </w:pPr>
            <w:r w:rsidRPr="000A5B5D">
              <w:rPr>
                <w:szCs w:val="24"/>
              </w:rPr>
              <w:t>0</w:t>
            </w:r>
          </w:p>
        </w:tc>
      </w:tr>
      <w:tr w:rsidR="00BC4D56" w:rsidRPr="000A5B5D" w:rsidTr="00506DC7">
        <w:tc>
          <w:tcPr>
            <w:tcW w:w="9564"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募集资金总体使用情况说明</w:t>
            </w:r>
          </w:p>
        </w:tc>
      </w:tr>
      <w:tr w:rsidR="00BC4D56" w:rsidRPr="000A5B5D" w:rsidTr="00506DC7">
        <w:tc>
          <w:tcPr>
            <w:tcW w:w="9564"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经瑞华会计师事务所出具的瑞华验字</w:t>
            </w:r>
            <w:r w:rsidRPr="000A5B5D">
              <w:rPr>
                <w:szCs w:val="24"/>
              </w:rPr>
              <w:t>[2015]</w:t>
            </w:r>
            <w:r w:rsidRPr="000A5B5D">
              <w:rPr>
                <w:rFonts w:hint="eastAsia"/>
                <w:szCs w:val="24"/>
              </w:rPr>
              <w:t>第</w:t>
            </w:r>
            <w:r w:rsidRPr="000A5B5D">
              <w:rPr>
                <w:szCs w:val="24"/>
              </w:rPr>
              <w:t>01970013</w:t>
            </w:r>
            <w:r w:rsidRPr="000A5B5D">
              <w:rPr>
                <w:rFonts w:hint="eastAsia"/>
                <w:szCs w:val="24"/>
              </w:rPr>
              <w:t>号验资报告验证，上述募集资金人民币</w:t>
            </w:r>
            <w:r w:rsidRPr="000A5B5D">
              <w:rPr>
                <w:szCs w:val="24"/>
              </w:rPr>
              <w:t>999,999,997.00</w:t>
            </w:r>
            <w:r w:rsidRPr="000A5B5D">
              <w:rPr>
                <w:rFonts w:hint="eastAsia"/>
                <w:szCs w:val="24"/>
              </w:rPr>
              <w:t>元（尚未扣除承销保荐费用人民币</w:t>
            </w:r>
            <w:r w:rsidRPr="000A5B5D">
              <w:rPr>
                <w:szCs w:val="24"/>
              </w:rPr>
              <w:t>3,500,000.00</w:t>
            </w:r>
            <w:r w:rsidRPr="000A5B5D">
              <w:rPr>
                <w:rFonts w:hint="eastAsia"/>
                <w:szCs w:val="24"/>
              </w:rPr>
              <w:t>元，验资费人民币</w:t>
            </w:r>
            <w:r w:rsidRPr="000A5B5D">
              <w:rPr>
                <w:szCs w:val="24"/>
              </w:rPr>
              <w:t>80,000.00</w:t>
            </w:r>
            <w:r w:rsidRPr="000A5B5D">
              <w:rPr>
                <w:rFonts w:hint="eastAsia"/>
                <w:szCs w:val="24"/>
              </w:rPr>
              <w:t>元、律师费人民币</w:t>
            </w:r>
            <w:r w:rsidRPr="000A5B5D">
              <w:rPr>
                <w:szCs w:val="24"/>
              </w:rPr>
              <w:t>900,000.00</w:t>
            </w:r>
            <w:r w:rsidRPr="000A5B5D">
              <w:rPr>
                <w:rFonts w:hint="eastAsia"/>
                <w:szCs w:val="24"/>
              </w:rPr>
              <w:t>元、股权登记费人民币</w:t>
            </w:r>
            <w:r w:rsidRPr="000A5B5D">
              <w:rPr>
                <w:szCs w:val="24"/>
              </w:rPr>
              <w:t>140,845.07</w:t>
            </w:r>
            <w:r w:rsidRPr="000A5B5D">
              <w:rPr>
                <w:rFonts w:hint="eastAsia"/>
                <w:szCs w:val="24"/>
              </w:rPr>
              <w:t>元）已于</w:t>
            </w: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12</w:t>
            </w:r>
            <w:r w:rsidRPr="000A5B5D">
              <w:rPr>
                <w:rFonts w:hint="eastAsia"/>
                <w:szCs w:val="24"/>
              </w:rPr>
              <w:t>日汇入本公司在中国银行浙江省分行营业中心开立的</w:t>
            </w:r>
            <w:r w:rsidRPr="000A5B5D">
              <w:rPr>
                <w:szCs w:val="24"/>
              </w:rPr>
              <w:t>363669604871</w:t>
            </w:r>
            <w:r w:rsidRPr="000A5B5D">
              <w:rPr>
                <w:rFonts w:hint="eastAsia"/>
                <w:szCs w:val="24"/>
              </w:rPr>
              <w:t>募集资金专户。本次募集资金全部用于补充流动资金。本公司已于</w:t>
            </w: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19</w:t>
            </w:r>
            <w:r w:rsidRPr="000A5B5D">
              <w:rPr>
                <w:rFonts w:hint="eastAsia"/>
                <w:szCs w:val="24"/>
              </w:rPr>
              <w:t>日以增资方式将本次募集资金净额</w:t>
            </w:r>
            <w:r w:rsidRPr="000A5B5D">
              <w:rPr>
                <w:szCs w:val="24"/>
              </w:rPr>
              <w:t>995,379,151.93</w:t>
            </w:r>
            <w:r w:rsidRPr="000A5B5D">
              <w:rPr>
                <w:rFonts w:hint="eastAsia"/>
                <w:szCs w:val="24"/>
              </w:rPr>
              <w:t>元从</w:t>
            </w:r>
            <w:r w:rsidRPr="000A5B5D">
              <w:rPr>
                <w:szCs w:val="24"/>
              </w:rPr>
              <w:t>363669604871</w:t>
            </w:r>
            <w:r w:rsidRPr="000A5B5D">
              <w:rPr>
                <w:rFonts w:hint="eastAsia"/>
                <w:szCs w:val="24"/>
              </w:rPr>
              <w:t>募集资金专户汇入本公司子公司浙江恒逸石化有限公司（以下简称</w:t>
            </w:r>
            <w:r w:rsidRPr="000A5B5D">
              <w:rPr>
                <w:szCs w:val="24"/>
              </w:rPr>
              <w:t>“</w:t>
            </w:r>
            <w:r w:rsidRPr="000A5B5D">
              <w:rPr>
                <w:rFonts w:hint="eastAsia"/>
                <w:szCs w:val="24"/>
              </w:rPr>
              <w:t>石化有限公司</w:t>
            </w:r>
            <w:r w:rsidRPr="000A5B5D">
              <w:rPr>
                <w:szCs w:val="24"/>
              </w:rPr>
              <w:t>”</w:t>
            </w:r>
            <w:r w:rsidRPr="000A5B5D">
              <w:rPr>
                <w:rFonts w:hint="eastAsia"/>
                <w:szCs w:val="24"/>
              </w:rPr>
              <w:t>）在中国银行浙江省分行营业中心开立的</w:t>
            </w:r>
            <w:r w:rsidRPr="000A5B5D">
              <w:rPr>
                <w:szCs w:val="24"/>
              </w:rPr>
              <w:t>372769571547</w:t>
            </w:r>
            <w:r w:rsidRPr="000A5B5D">
              <w:rPr>
                <w:rFonts w:hint="eastAsia"/>
                <w:szCs w:val="24"/>
              </w:rPr>
              <w:t>账户。截至</w:t>
            </w: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31</w:t>
            </w:r>
            <w:r w:rsidRPr="000A5B5D">
              <w:rPr>
                <w:rFonts w:hint="eastAsia"/>
                <w:szCs w:val="24"/>
              </w:rPr>
              <w:t>日止，</w:t>
            </w:r>
            <w:r w:rsidRPr="000A5B5D">
              <w:rPr>
                <w:szCs w:val="24"/>
              </w:rPr>
              <w:t>363669604871</w:t>
            </w:r>
            <w:r w:rsidRPr="000A5B5D">
              <w:rPr>
                <w:rFonts w:hint="eastAsia"/>
                <w:szCs w:val="24"/>
              </w:rPr>
              <w:t>募集资金专户的余额为人民币</w:t>
            </w:r>
            <w:r w:rsidRPr="000A5B5D">
              <w:rPr>
                <w:szCs w:val="24"/>
              </w:rPr>
              <w:t>0.00</w:t>
            </w:r>
            <w:r w:rsidRPr="000A5B5D">
              <w:rPr>
                <w:rFonts w:hint="eastAsia"/>
                <w:szCs w:val="24"/>
              </w:rPr>
              <w:t>元。募集资金实际投资项目与已披露的定增预案一致，无实际投资项目、实际投资总额的变更情况。</w:t>
            </w:r>
          </w:p>
        </w:tc>
      </w:tr>
    </w:tbl>
    <w:p w:rsidR="00BC4D56" w:rsidRPr="000A5B5D" w:rsidRDefault="00BC4D56" w:rsidP="002D1437">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）募集资金承诺项目情况</w:t>
      </w:r>
    </w:p>
    <w:p w:rsidR="00BC4D56" w:rsidRPr="000A5B5D" w:rsidRDefault="00BC4D56" w:rsidP="002D1437">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p>
    <w:p w:rsidR="00BC4D56" w:rsidRPr="000A5B5D" w:rsidRDefault="00BC4D56" w:rsidP="002D1437">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3</w:t>
      </w:r>
      <w:r w:rsidRPr="000A5B5D">
        <w:rPr>
          <w:rFonts w:hint="eastAsia"/>
          <w:bCs w:val="0"/>
          <w:sz w:val="24"/>
          <w:szCs w:val="24"/>
        </w:rPr>
        <w:t>）募集资金变更项目情况</w:t>
      </w:r>
    </w:p>
    <w:p w:rsidR="00BC4D56" w:rsidRPr="000A5B5D" w:rsidRDefault="00BC4D56" w:rsidP="002D1437">
      <w:pPr>
        <w:spacing w:line="360" w:lineRule="auto"/>
        <w:ind w:firstLineChars="200" w:firstLine="480"/>
        <w:jc w:val="left"/>
        <w:rPr>
          <w:sz w:val="24"/>
          <w:szCs w:val="24"/>
        </w:rPr>
      </w:pPr>
      <w:r w:rsidRPr="000A5B5D">
        <w:rPr>
          <w:rFonts w:hint="eastAsia"/>
          <w:sz w:val="24"/>
          <w:szCs w:val="24"/>
        </w:rPr>
        <w:t>公司报告期不存在募集资金变更项目情况。</w:t>
      </w:r>
    </w:p>
    <w:p w:rsidR="00BC4D56" w:rsidRPr="000A5B5D" w:rsidRDefault="00BC4D56" w:rsidP="002D1437">
      <w:pPr>
        <w:pStyle w:val="Chapter"/>
        <w:spacing w:line="360" w:lineRule="auto"/>
        <w:outlineLvl w:val="1"/>
        <w:rPr>
          <w:bCs w:val="0"/>
        </w:rPr>
      </w:pPr>
      <w:r w:rsidRPr="000A5B5D">
        <w:rPr>
          <w:rFonts w:hint="eastAsia"/>
          <w:bCs w:val="0"/>
        </w:rPr>
        <w:lastRenderedPageBreak/>
        <w:t>六、重大资产和股权出售</w:t>
      </w:r>
    </w:p>
    <w:p w:rsidR="00BC4D56" w:rsidRPr="000A5B5D" w:rsidRDefault="00BC4D56" w:rsidP="002D1437">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、出售重大资产情况</w:t>
      </w:r>
    </w:p>
    <w:p w:rsidR="00BC4D56" w:rsidRPr="000A5B5D" w:rsidRDefault="00BC4D56" w:rsidP="002D1437">
      <w:pPr>
        <w:spacing w:line="360" w:lineRule="auto"/>
        <w:ind w:firstLineChars="200" w:firstLine="480"/>
        <w:jc w:val="left"/>
        <w:rPr>
          <w:sz w:val="24"/>
          <w:szCs w:val="24"/>
        </w:rPr>
      </w:pPr>
      <w:r w:rsidRPr="000A5B5D">
        <w:rPr>
          <w:rFonts w:hint="eastAsia"/>
          <w:sz w:val="24"/>
          <w:szCs w:val="24"/>
        </w:rPr>
        <w:t>公司报告期未出售重大资产。</w:t>
      </w:r>
    </w:p>
    <w:p w:rsidR="00BC4D56" w:rsidRPr="000A5B5D" w:rsidRDefault="00BC4D56" w:rsidP="002D1437">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、出售重大股权情况</w:t>
      </w:r>
    </w:p>
    <w:p w:rsidR="00BC4D56" w:rsidRPr="000A5B5D" w:rsidRDefault="00BC4D56" w:rsidP="002D1437">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2D1437">
      <w:pPr>
        <w:pStyle w:val="Chapter"/>
        <w:spacing w:line="360" w:lineRule="auto"/>
        <w:outlineLvl w:val="1"/>
        <w:rPr>
          <w:bCs w:val="0"/>
        </w:rPr>
      </w:pPr>
      <w:r w:rsidRPr="000A5B5D">
        <w:rPr>
          <w:rFonts w:hint="eastAsia"/>
          <w:bCs w:val="0"/>
        </w:rPr>
        <w:t>七、主要控股参股公司分析</w:t>
      </w:r>
    </w:p>
    <w:p w:rsidR="00BC4D56" w:rsidRPr="000A5B5D" w:rsidRDefault="00BC4D56" w:rsidP="002D1437">
      <w:pPr>
        <w:spacing w:line="360" w:lineRule="auto"/>
        <w:ind w:firstLineChars="200" w:firstLine="480"/>
        <w:jc w:val="left"/>
        <w:rPr>
          <w:sz w:val="24"/>
          <w:szCs w:val="24"/>
        </w:rPr>
      </w:pPr>
      <w:r w:rsidRPr="000A5B5D">
        <w:rPr>
          <w:rFonts w:hint="eastAsia"/>
          <w:sz w:val="24"/>
          <w:szCs w:val="24"/>
        </w:rPr>
        <w:t>主要子公司及对公司净利润影响达</w:t>
      </w:r>
      <w:r w:rsidRPr="000A5B5D">
        <w:rPr>
          <w:sz w:val="24"/>
          <w:szCs w:val="24"/>
        </w:rPr>
        <w:t>10%</w:t>
      </w:r>
      <w:r w:rsidRPr="000A5B5D">
        <w:rPr>
          <w:rFonts w:hint="eastAsia"/>
          <w:sz w:val="24"/>
          <w:szCs w:val="24"/>
        </w:rPr>
        <w:t>以上的参股公司情况</w:t>
      </w:r>
    </w:p>
    <w:p w:rsidR="00BC4D56" w:rsidRPr="000A5B5D" w:rsidRDefault="00BC4D56" w:rsidP="002D1437">
      <w:pPr>
        <w:spacing w:line="360" w:lineRule="auto"/>
        <w:jc w:val="right"/>
        <w:rPr>
          <w:sz w:val="24"/>
          <w:szCs w:val="24"/>
        </w:rPr>
      </w:pPr>
      <w:r w:rsidRPr="000A5B5D">
        <w:rPr>
          <w:rFonts w:hint="eastAsia"/>
          <w:sz w:val="24"/>
          <w:szCs w:val="24"/>
        </w:rPr>
        <w:t>单位：元</w:t>
      </w:r>
    </w:p>
    <w:tbl>
      <w:tblPr>
        <w:tblW w:w="10348" w:type="dxa"/>
        <w:jc w:val="center"/>
        <w:tblLayout w:type="fixed"/>
        <w:tblCellMar>
          <w:left w:w="28" w:type="dxa"/>
          <w:right w:w="28" w:type="dxa"/>
        </w:tblCellMar>
        <w:tblLook w:val="0000" w:firstRow="0" w:lastRow="0" w:firstColumn="0" w:lastColumn="0" w:noHBand="0" w:noVBand="0"/>
      </w:tblPr>
      <w:tblGrid>
        <w:gridCol w:w="1054"/>
        <w:gridCol w:w="789"/>
        <w:gridCol w:w="851"/>
        <w:gridCol w:w="850"/>
        <w:gridCol w:w="1418"/>
        <w:gridCol w:w="1417"/>
        <w:gridCol w:w="1418"/>
        <w:gridCol w:w="1275"/>
        <w:gridCol w:w="1276"/>
      </w:tblGrid>
      <w:tr w:rsidR="00BC4D56" w:rsidRPr="000A5B5D" w:rsidTr="002D1437">
        <w:trPr>
          <w:jc w:val="center"/>
        </w:trPr>
        <w:tc>
          <w:tcPr>
            <w:tcW w:w="105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公司名称</w:t>
            </w: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公司类型</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主要业务</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注册资本</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总资产</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净资产</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营业收入</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营业利润</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净利润</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浙江恒逸石化有限公司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szCs w:val="24"/>
              </w:rPr>
              <w:t>DTY</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200,000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9,765,641,993.23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3,747,256,659.42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3,131,236,729.44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286,126,178.64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287,414,511.16</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浙江逸盛石化有限公司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szCs w:val="24"/>
              </w:rPr>
              <w:t>PTA</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50,042.48</w:t>
            </w:r>
            <w:r w:rsidRPr="000A5B5D">
              <w:rPr>
                <w:rFonts w:hint="eastAsia"/>
                <w:szCs w:val="24"/>
              </w:rPr>
              <w:t>万美元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13,102,880,164.82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5,100,940,880.48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19,739,385,342.18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87,033,521.26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89,234,020.90</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逸盛大化石化有限公司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参股公司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szCs w:val="24"/>
              </w:rPr>
              <w:t>PTA</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245,645</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14,229,808,100.00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4,585,800,300.00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21,158,801,600.00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-113,272,284.45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-83,594,200.00</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海南逸盛石化有限公司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参股公司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szCs w:val="24"/>
              </w:rPr>
              <w:t>PTA</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208,000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D62E09">
            <w:pPr>
              <w:jc w:val="center"/>
            </w:pPr>
            <w:r w:rsidRPr="000A5B5D">
              <w:t>9,51</w:t>
            </w:r>
            <w:r w:rsidR="00D62E09" w:rsidRPr="000A5B5D">
              <w:t>3</w:t>
            </w:r>
            <w:r w:rsidRPr="000A5B5D">
              <w:t>,</w:t>
            </w:r>
            <w:r w:rsidR="00D62E09" w:rsidRPr="000A5B5D">
              <w:t>934</w:t>
            </w:r>
            <w:r w:rsidRPr="000A5B5D">
              <w:t>,</w:t>
            </w:r>
            <w:r w:rsidR="00D62E09" w:rsidRPr="000A5B5D">
              <w:t>588.67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D62E09">
            <w:pPr>
              <w:jc w:val="center"/>
            </w:pPr>
            <w:r w:rsidRPr="000A5B5D">
              <w:t>1,</w:t>
            </w:r>
            <w:r w:rsidR="00D62E09" w:rsidRPr="000A5B5D">
              <w:t>362,955,873.56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9,970,083,249.28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D62E09">
            <w:pPr>
              <w:jc w:val="center"/>
            </w:pPr>
            <w:r w:rsidRPr="000A5B5D">
              <w:t>-</w:t>
            </w:r>
            <w:r w:rsidR="00D62E09" w:rsidRPr="000A5B5D">
              <w:t>347,792</w:t>
            </w:r>
            <w:r w:rsidRPr="000A5B5D">
              <w:t>,</w:t>
            </w:r>
            <w:r w:rsidR="00D62E09" w:rsidRPr="000A5B5D">
              <w:t>296.04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-241,840,800.00</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浙江恒逸聚合物有限公司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聚酯切片、</w:t>
            </w:r>
            <w:r w:rsidRPr="000A5B5D">
              <w:rPr>
                <w:szCs w:val="24"/>
              </w:rPr>
              <w:t>POY</w:t>
            </w:r>
            <w:r w:rsidRPr="000A5B5D">
              <w:rPr>
                <w:rFonts w:hint="eastAsia"/>
                <w:szCs w:val="24"/>
              </w:rPr>
              <w:t>丝等</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25,000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1,859,146,489.46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583,534,781.61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2,954,100,460.30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-58,608,976.56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-26,199,747.27</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上海恒逸聚酯纤维有限公司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聚酯切片等</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70,000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1,377,285,026.70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331,169,715.19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3,843,732,239.56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-174,808,902.27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-239,658,146.47</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浙江恒逸高新材料有限公司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聚酯切片、</w:t>
            </w:r>
            <w:r w:rsidRPr="000A5B5D">
              <w:rPr>
                <w:szCs w:val="24"/>
              </w:rPr>
              <w:t>POY</w:t>
            </w:r>
            <w:r w:rsidRPr="000A5B5D">
              <w:rPr>
                <w:rFonts w:hint="eastAsia"/>
                <w:szCs w:val="24"/>
              </w:rPr>
              <w:t>丝等</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250,000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7,838,240,195.27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3,329,162,169.18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5,435,190,629.41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124,590,794.45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136,697,287.93</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浙江巴陵恒逸己内酰胺有限责任公司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szCs w:val="24"/>
              </w:rPr>
              <w:t>CPL</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120,000</w:t>
            </w:r>
            <w:r w:rsidRPr="000A5B5D">
              <w:rPr>
                <w:rFonts w:hint="eastAsia"/>
                <w:szCs w:val="24"/>
              </w:rPr>
              <w:t>万元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4,181,172,000.00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1,462,240,800.00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2,799,451,416.74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42,690,858.39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38,083,500.00</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香港天逸国</w:t>
            </w:r>
            <w:r w:rsidRPr="000A5B5D">
              <w:rPr>
                <w:rFonts w:hint="eastAsia"/>
                <w:szCs w:val="24"/>
              </w:rPr>
              <w:lastRenderedPageBreak/>
              <w:t>际控股有限公司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lastRenderedPageBreak/>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投资、贸</w:t>
            </w:r>
            <w:r w:rsidRPr="000A5B5D">
              <w:rPr>
                <w:rFonts w:hint="eastAsia"/>
                <w:szCs w:val="24"/>
              </w:rPr>
              <w:lastRenderedPageBreak/>
              <w:t>易</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lastRenderedPageBreak/>
              <w:t>9,950</w:t>
            </w:r>
            <w:r w:rsidRPr="000A5B5D">
              <w:rPr>
                <w:rFonts w:hint="eastAsia"/>
                <w:szCs w:val="24"/>
              </w:rPr>
              <w:t>万美</w:t>
            </w:r>
            <w:r w:rsidRPr="000A5B5D">
              <w:rPr>
                <w:rFonts w:hint="eastAsia"/>
                <w:szCs w:val="24"/>
              </w:rPr>
              <w:lastRenderedPageBreak/>
              <w:t>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lastRenderedPageBreak/>
              <w:t>3,531,513,371.18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944,641,682.77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4,640,830,777.46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3,726,437.82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3,726,437.82</w:t>
            </w:r>
          </w:p>
        </w:tc>
      </w:tr>
      <w:tr w:rsidR="00344DD7" w:rsidRPr="000A5B5D" w:rsidTr="00344DD7">
        <w:trPr>
          <w:jc w:val="center"/>
        </w:trPr>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恒逸实业（文莱）有限公司</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rPr>
                <w:szCs w:val="24"/>
              </w:rPr>
            </w:pPr>
            <w:r w:rsidRPr="000A5B5D">
              <w:rPr>
                <w:rFonts w:hint="eastAsia"/>
                <w:szCs w:val="24"/>
              </w:rPr>
              <w:t>投资</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rPr>
                <w:szCs w:val="24"/>
              </w:rPr>
            </w:pPr>
            <w:r w:rsidRPr="000A5B5D">
              <w:rPr>
                <w:szCs w:val="24"/>
              </w:rPr>
              <w:t>13,170.64</w:t>
            </w:r>
            <w:r w:rsidRPr="000A5B5D">
              <w:rPr>
                <w:rFonts w:hint="eastAsia"/>
                <w:szCs w:val="24"/>
              </w:rPr>
              <w:t>万美元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834,710,772.58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781,681,131.50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-21,659,881.64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44DD7" w:rsidRPr="000A5B5D" w:rsidRDefault="00344DD7" w:rsidP="00344DD7">
            <w:pPr>
              <w:jc w:val="center"/>
            </w:pPr>
            <w:r w:rsidRPr="000A5B5D">
              <w:t>-21,663,480.07</w:t>
            </w:r>
          </w:p>
        </w:tc>
      </w:tr>
    </w:tbl>
    <w:p w:rsidR="00DC7C02" w:rsidRPr="000A5B5D" w:rsidRDefault="00DC7C02" w:rsidP="002D1437">
      <w:pPr>
        <w:spacing w:line="360" w:lineRule="auto"/>
        <w:jc w:val="left"/>
        <w:rPr>
          <w:sz w:val="24"/>
          <w:szCs w:val="24"/>
        </w:rPr>
      </w:pPr>
    </w:p>
    <w:p w:rsidR="00DC7C02" w:rsidRPr="000A5B5D" w:rsidRDefault="00DC7C02" w:rsidP="002D1437">
      <w:pPr>
        <w:spacing w:line="360" w:lineRule="auto"/>
        <w:jc w:val="left"/>
        <w:rPr>
          <w:sz w:val="24"/>
          <w:szCs w:val="24"/>
        </w:rPr>
      </w:pPr>
    </w:p>
    <w:p w:rsidR="00BC4D56" w:rsidRPr="000A5B5D" w:rsidRDefault="00BC4D56" w:rsidP="002D1437">
      <w:pPr>
        <w:spacing w:line="360" w:lineRule="auto"/>
        <w:jc w:val="left"/>
        <w:rPr>
          <w:sz w:val="24"/>
          <w:szCs w:val="24"/>
        </w:rPr>
      </w:pPr>
      <w:r w:rsidRPr="000A5B5D">
        <w:rPr>
          <w:rFonts w:hint="eastAsia"/>
          <w:sz w:val="24"/>
          <w:szCs w:val="24"/>
        </w:rPr>
        <w:t>报告期内取得和处置子公司的情况</w:t>
      </w:r>
    </w:p>
    <w:tbl>
      <w:tblPr>
        <w:tblW w:w="5000" w:type="pct"/>
        <w:jc w:val="center"/>
        <w:tblCellMar>
          <w:left w:w="28" w:type="dxa"/>
          <w:right w:w="28" w:type="dxa"/>
        </w:tblCellMar>
        <w:tblLook w:val="0000" w:firstRow="0" w:lastRow="0" w:firstColumn="0" w:lastColumn="0" w:noHBand="0" w:noVBand="0"/>
      </w:tblPr>
      <w:tblGrid>
        <w:gridCol w:w="1854"/>
        <w:gridCol w:w="4564"/>
        <w:gridCol w:w="3210"/>
      </w:tblGrid>
      <w:tr w:rsidR="00BC4D56" w:rsidRPr="000A5B5D" w:rsidTr="002D1437">
        <w:trPr>
          <w:jc w:val="center"/>
        </w:trPr>
        <w:tc>
          <w:tcPr>
            <w:tcW w:w="963"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spacing w:line="360" w:lineRule="auto"/>
              <w:jc w:val="center"/>
              <w:rPr>
                <w:sz w:val="24"/>
                <w:szCs w:val="24"/>
              </w:rPr>
            </w:pPr>
            <w:r w:rsidRPr="000A5B5D">
              <w:rPr>
                <w:rFonts w:hint="eastAsia"/>
                <w:sz w:val="24"/>
                <w:szCs w:val="24"/>
              </w:rPr>
              <w:t>公司名称</w:t>
            </w:r>
          </w:p>
        </w:tc>
        <w:tc>
          <w:tcPr>
            <w:tcW w:w="2370"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spacing w:line="360" w:lineRule="auto"/>
              <w:jc w:val="center"/>
              <w:rPr>
                <w:sz w:val="24"/>
                <w:szCs w:val="24"/>
              </w:rPr>
            </w:pPr>
            <w:r w:rsidRPr="000A5B5D">
              <w:rPr>
                <w:rFonts w:hint="eastAsia"/>
                <w:sz w:val="24"/>
                <w:szCs w:val="24"/>
              </w:rPr>
              <w:t>报告期内取得和处置子公司方式</w:t>
            </w:r>
          </w:p>
        </w:tc>
        <w:tc>
          <w:tcPr>
            <w:tcW w:w="1667" w:type="pc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spacing w:line="360" w:lineRule="auto"/>
              <w:jc w:val="center"/>
              <w:rPr>
                <w:sz w:val="24"/>
                <w:szCs w:val="24"/>
              </w:rPr>
            </w:pPr>
            <w:r w:rsidRPr="000A5B5D">
              <w:rPr>
                <w:rFonts w:hint="eastAsia"/>
                <w:sz w:val="24"/>
                <w:szCs w:val="24"/>
              </w:rPr>
              <w:t>对整体生产经营和业绩的影响</w:t>
            </w:r>
          </w:p>
        </w:tc>
      </w:tr>
      <w:tr w:rsidR="00BC4D56" w:rsidRPr="000A5B5D" w:rsidTr="002D1437">
        <w:trPr>
          <w:jc w:val="center"/>
        </w:trPr>
        <w:tc>
          <w:tcPr>
            <w:tcW w:w="963"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spacing w:line="360" w:lineRule="auto"/>
              <w:jc w:val="center"/>
              <w:rPr>
                <w:sz w:val="24"/>
                <w:szCs w:val="24"/>
              </w:rPr>
            </w:pPr>
            <w:r w:rsidRPr="000A5B5D">
              <w:rPr>
                <w:rFonts w:hint="eastAsia"/>
                <w:sz w:val="24"/>
                <w:szCs w:val="24"/>
              </w:rPr>
              <w:t>恒逸株式会社</w:t>
            </w:r>
          </w:p>
        </w:tc>
        <w:tc>
          <w:tcPr>
            <w:tcW w:w="2370"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spacing w:line="360" w:lineRule="auto"/>
              <w:jc w:val="center"/>
              <w:rPr>
                <w:sz w:val="24"/>
                <w:szCs w:val="24"/>
              </w:rPr>
            </w:pPr>
            <w:r w:rsidRPr="000A5B5D">
              <w:rPr>
                <w:rFonts w:hint="eastAsia"/>
                <w:sz w:val="24"/>
                <w:szCs w:val="24"/>
              </w:rPr>
              <w:t>通过香港天逸控股公司，持股比例</w:t>
            </w:r>
            <w:r w:rsidRPr="000A5B5D">
              <w:rPr>
                <w:sz w:val="24"/>
                <w:szCs w:val="24"/>
              </w:rPr>
              <w:t>51%</w:t>
            </w:r>
          </w:p>
        </w:tc>
        <w:tc>
          <w:tcPr>
            <w:tcW w:w="1667" w:type="pct"/>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spacing w:line="360" w:lineRule="auto"/>
              <w:jc w:val="center"/>
              <w:rPr>
                <w:sz w:val="24"/>
                <w:szCs w:val="24"/>
              </w:rPr>
            </w:pPr>
            <w:r w:rsidRPr="000A5B5D">
              <w:rPr>
                <w:rFonts w:hint="eastAsia"/>
                <w:sz w:val="24"/>
                <w:szCs w:val="24"/>
              </w:rPr>
              <w:t>本报告期对公司业绩影响较小</w:t>
            </w:r>
          </w:p>
        </w:tc>
      </w:tr>
    </w:tbl>
    <w:p w:rsidR="00BC4D56" w:rsidRPr="000A5B5D" w:rsidRDefault="00BC4D56" w:rsidP="002D1437">
      <w:pPr>
        <w:spacing w:line="360" w:lineRule="auto"/>
        <w:jc w:val="left"/>
        <w:rPr>
          <w:sz w:val="24"/>
          <w:szCs w:val="24"/>
        </w:rPr>
      </w:pPr>
      <w:r w:rsidRPr="000A5B5D">
        <w:rPr>
          <w:rFonts w:hint="eastAsia"/>
          <w:sz w:val="24"/>
          <w:szCs w:val="24"/>
        </w:rPr>
        <w:t>主要控股参股公司情况说明</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1</w:t>
      </w:r>
      <w:r w:rsidRPr="000A5B5D">
        <w:rPr>
          <w:rFonts w:ascii="宋体" w:hAnsi="宋体" w:cs="宋体" w:hint="eastAsia"/>
          <w:b/>
          <w:kern w:val="0"/>
          <w:sz w:val="24"/>
          <w:szCs w:val="24"/>
          <w:lang w:val="zh-CN"/>
        </w:rPr>
        <w:t>）浙江恒逸石化有限公司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t>公司直接持有浙江恒逸石化有限公司</w:t>
      </w:r>
      <w:r w:rsidRPr="000A5B5D">
        <w:rPr>
          <w:rFonts w:eastAsia="Times New Roman"/>
          <w:kern w:val="0"/>
          <w:sz w:val="24"/>
          <w:szCs w:val="24"/>
          <w:lang w:val="zh-CN"/>
        </w:rPr>
        <w:t>100%</w:t>
      </w:r>
      <w:r w:rsidRPr="000A5B5D">
        <w:rPr>
          <w:rFonts w:ascii="宋体" w:hAnsi="宋体" w:cs="宋体" w:hint="eastAsia"/>
          <w:kern w:val="0"/>
          <w:sz w:val="24"/>
          <w:szCs w:val="24"/>
          <w:lang w:val="zh-CN"/>
        </w:rPr>
        <w:t>的股份，浙江恒逸石化有限公司注册资本</w:t>
      </w:r>
      <w:r w:rsidRPr="000A5B5D">
        <w:rPr>
          <w:rFonts w:eastAsia="Times New Roman"/>
          <w:kern w:val="0"/>
          <w:sz w:val="24"/>
          <w:szCs w:val="24"/>
          <w:lang w:val="zh-CN"/>
        </w:rPr>
        <w:t>20</w:t>
      </w:r>
      <w:r w:rsidRPr="000A5B5D">
        <w:rPr>
          <w:rFonts w:ascii="宋体" w:hAnsi="宋体" w:cs="宋体" w:hint="eastAsia"/>
          <w:kern w:val="0"/>
          <w:sz w:val="24"/>
          <w:szCs w:val="24"/>
          <w:lang w:val="zh-CN"/>
        </w:rPr>
        <w:t>亿元，公司经营范围为化学纤维、化学原料（不含危险品）的生产、加工和销售；进出口业务（除国家法律、法规禁止和限制的项目）。该公司拥有国际先进加弹机</w:t>
      </w:r>
      <w:r w:rsidRPr="000A5B5D">
        <w:rPr>
          <w:rFonts w:eastAsia="Times New Roman"/>
          <w:kern w:val="0"/>
          <w:sz w:val="24"/>
          <w:szCs w:val="24"/>
          <w:lang w:val="zh-CN"/>
        </w:rPr>
        <w:t>176</w:t>
      </w:r>
      <w:r w:rsidRPr="000A5B5D">
        <w:rPr>
          <w:rFonts w:ascii="宋体" w:hAnsi="宋体" w:cs="宋体" w:hint="eastAsia"/>
          <w:kern w:val="0"/>
          <w:sz w:val="24"/>
          <w:szCs w:val="24"/>
          <w:lang w:val="zh-CN"/>
        </w:rPr>
        <w:t>台，加弹能力</w:t>
      </w:r>
      <w:r w:rsidRPr="000A5B5D">
        <w:rPr>
          <w:rFonts w:eastAsia="Times New Roman"/>
          <w:kern w:val="0"/>
          <w:sz w:val="24"/>
          <w:szCs w:val="24"/>
          <w:lang w:val="zh-CN"/>
        </w:rPr>
        <w:t>30</w:t>
      </w:r>
      <w:r w:rsidRPr="000A5B5D">
        <w:rPr>
          <w:rFonts w:ascii="宋体" w:hAnsi="宋体" w:cs="宋体" w:hint="eastAsia"/>
          <w:kern w:val="0"/>
          <w:sz w:val="24"/>
          <w:szCs w:val="24"/>
          <w:lang w:val="zh-CN"/>
        </w:rPr>
        <w:t>万吨，为国内最大的化纤加弹企业。</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2</w:t>
      </w:r>
      <w:r w:rsidRPr="000A5B5D">
        <w:rPr>
          <w:rFonts w:ascii="宋体" w:hAnsi="宋体" w:cs="宋体" w:hint="eastAsia"/>
          <w:b/>
          <w:kern w:val="0"/>
          <w:sz w:val="24"/>
          <w:szCs w:val="24"/>
          <w:lang w:val="zh-CN"/>
        </w:rPr>
        <w:t>）浙江逸盛石化有限公司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公司通过浙江恒逸石化有限公司共计持有浙江逸盛石化有限公司</w:t>
      </w:r>
      <w:r w:rsidRPr="000A5B5D">
        <w:rPr>
          <w:rFonts w:eastAsia="Times New Roman"/>
          <w:kern w:val="0"/>
          <w:sz w:val="24"/>
          <w:szCs w:val="24"/>
          <w:lang w:val="zh-CN"/>
        </w:rPr>
        <w:t>70%</w:t>
      </w:r>
      <w:r w:rsidRPr="000A5B5D">
        <w:rPr>
          <w:rFonts w:ascii="宋体" w:hAnsi="宋体" w:cs="宋体" w:hint="eastAsia"/>
          <w:kern w:val="0"/>
          <w:sz w:val="24"/>
          <w:szCs w:val="24"/>
          <w:lang w:val="zh-CN"/>
        </w:rPr>
        <w:t>的股份。浙江逸盛石化有限公司注册资本</w:t>
      </w:r>
      <w:r w:rsidRPr="000A5B5D">
        <w:rPr>
          <w:rFonts w:eastAsia="Times New Roman"/>
          <w:kern w:val="0"/>
          <w:sz w:val="24"/>
          <w:szCs w:val="24"/>
          <w:lang w:val="zh-CN"/>
        </w:rPr>
        <w:t>50,042.48</w:t>
      </w:r>
      <w:r w:rsidRPr="000A5B5D">
        <w:rPr>
          <w:rFonts w:ascii="宋体" w:hAnsi="宋体" w:cs="宋体" w:hint="eastAsia"/>
          <w:kern w:val="0"/>
          <w:sz w:val="24"/>
          <w:szCs w:val="24"/>
          <w:lang w:val="zh-CN"/>
        </w:rPr>
        <w:t>万美元，公司经营范围：精对苯二甲酸（</w:t>
      </w:r>
      <w:r w:rsidRPr="000A5B5D">
        <w:rPr>
          <w:rFonts w:eastAsia="Times New Roman"/>
          <w:kern w:val="0"/>
          <w:sz w:val="24"/>
          <w:szCs w:val="24"/>
          <w:lang w:val="zh-CN"/>
        </w:rPr>
        <w:t>PTA</w:t>
      </w:r>
      <w:r w:rsidRPr="000A5B5D">
        <w:rPr>
          <w:rFonts w:ascii="宋体" w:hAnsi="宋体" w:cs="宋体" w:hint="eastAsia"/>
          <w:kern w:val="0"/>
          <w:sz w:val="24"/>
          <w:szCs w:val="24"/>
          <w:lang w:val="zh-CN"/>
        </w:rPr>
        <w:t>）的生产、自产产品销售，该公司目前拥有四条大型</w:t>
      </w:r>
      <w:r w:rsidRPr="000A5B5D">
        <w:rPr>
          <w:rFonts w:eastAsia="Times New Roman"/>
          <w:kern w:val="0"/>
          <w:sz w:val="24"/>
          <w:szCs w:val="24"/>
          <w:lang w:val="zh-CN"/>
        </w:rPr>
        <w:t>PTA</w:t>
      </w:r>
      <w:r w:rsidRPr="000A5B5D">
        <w:rPr>
          <w:rFonts w:ascii="宋体" w:hAnsi="宋体" w:cs="宋体" w:hint="eastAsia"/>
          <w:kern w:val="0"/>
          <w:sz w:val="24"/>
          <w:szCs w:val="24"/>
          <w:lang w:val="zh-CN"/>
        </w:rPr>
        <w:t>生产线，实际产能达到</w:t>
      </w:r>
      <w:r w:rsidRPr="000A5B5D">
        <w:rPr>
          <w:rFonts w:eastAsia="Times New Roman"/>
          <w:kern w:val="0"/>
          <w:sz w:val="24"/>
          <w:szCs w:val="24"/>
          <w:lang w:val="zh-CN"/>
        </w:rPr>
        <w:t>540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3</w:t>
      </w:r>
      <w:r w:rsidRPr="000A5B5D">
        <w:rPr>
          <w:rFonts w:ascii="宋体" w:hAnsi="宋体" w:cs="宋体" w:hint="eastAsia"/>
          <w:b/>
          <w:kern w:val="0"/>
          <w:sz w:val="24"/>
          <w:szCs w:val="24"/>
          <w:lang w:val="zh-CN"/>
        </w:rPr>
        <w:t>）逸盛大化石化有限公司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公司通过浙江恒逸石化有限公司共计持有逸盛大化石化有限公司</w:t>
      </w:r>
      <w:r w:rsidRPr="000A5B5D">
        <w:rPr>
          <w:rFonts w:eastAsia="Times New Roman"/>
          <w:kern w:val="0"/>
          <w:sz w:val="24"/>
          <w:szCs w:val="24"/>
          <w:lang w:val="zh-CN"/>
        </w:rPr>
        <w:t>25.38%</w:t>
      </w:r>
      <w:r w:rsidRPr="000A5B5D">
        <w:rPr>
          <w:rFonts w:ascii="宋体" w:hAnsi="宋体" w:cs="宋体" w:hint="eastAsia"/>
          <w:kern w:val="0"/>
          <w:sz w:val="24"/>
          <w:szCs w:val="24"/>
          <w:lang w:val="zh-CN"/>
        </w:rPr>
        <w:t>的股份。逸盛大化石化有限公司注册资本</w:t>
      </w:r>
      <w:r w:rsidRPr="000A5B5D">
        <w:rPr>
          <w:rFonts w:eastAsia="Times New Roman"/>
          <w:kern w:val="0"/>
          <w:sz w:val="24"/>
          <w:szCs w:val="24"/>
          <w:lang w:val="zh-CN"/>
        </w:rPr>
        <w:t>245,645</w:t>
      </w:r>
      <w:r w:rsidRPr="000A5B5D">
        <w:rPr>
          <w:rFonts w:ascii="宋体" w:hAnsi="宋体" w:cs="宋体" w:hint="eastAsia"/>
          <w:kern w:val="0"/>
          <w:sz w:val="24"/>
          <w:szCs w:val="24"/>
          <w:lang w:val="zh-CN"/>
        </w:rPr>
        <w:t>万元，公司经营范围：精对苯二甲酸（</w:t>
      </w:r>
      <w:r w:rsidRPr="000A5B5D">
        <w:rPr>
          <w:rFonts w:eastAsia="Times New Roman"/>
          <w:kern w:val="0"/>
          <w:sz w:val="24"/>
          <w:szCs w:val="24"/>
          <w:lang w:val="zh-CN"/>
        </w:rPr>
        <w:t>PTA</w:t>
      </w:r>
      <w:r w:rsidRPr="000A5B5D">
        <w:rPr>
          <w:rFonts w:ascii="宋体" w:hAnsi="宋体" w:cs="宋体" w:hint="eastAsia"/>
          <w:kern w:val="0"/>
          <w:sz w:val="24"/>
          <w:szCs w:val="24"/>
          <w:lang w:val="zh-CN"/>
        </w:rPr>
        <w:t>）的生产、自产产品销售。</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4</w:t>
      </w:r>
      <w:r w:rsidRPr="000A5B5D">
        <w:rPr>
          <w:rFonts w:ascii="宋体" w:hAnsi="宋体" w:cs="宋体" w:hint="eastAsia"/>
          <w:b/>
          <w:kern w:val="0"/>
          <w:sz w:val="24"/>
          <w:szCs w:val="24"/>
          <w:lang w:val="zh-CN"/>
        </w:rPr>
        <w:t>）海南逸盛石化有限公司</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kern w:val="0"/>
          <w:sz w:val="24"/>
          <w:szCs w:val="24"/>
          <w:lang w:val="zh-CN"/>
        </w:rPr>
        <w:t>公司通过浙江恒逸石化有限公司共计持有海南逸盛石化有限公司</w:t>
      </w:r>
      <w:r w:rsidRPr="000A5B5D">
        <w:rPr>
          <w:rFonts w:eastAsia="Times New Roman"/>
          <w:kern w:val="0"/>
          <w:sz w:val="24"/>
          <w:szCs w:val="24"/>
          <w:lang w:val="zh-CN"/>
        </w:rPr>
        <w:t>37.5%</w:t>
      </w:r>
      <w:r w:rsidRPr="000A5B5D">
        <w:rPr>
          <w:rFonts w:ascii="宋体" w:hAnsi="宋体" w:cs="宋体" w:hint="eastAsia"/>
          <w:kern w:val="0"/>
          <w:sz w:val="24"/>
          <w:szCs w:val="24"/>
          <w:lang w:val="zh-CN"/>
        </w:rPr>
        <w:t>的股份。海南逸盛石化有限公司注册资本</w:t>
      </w:r>
      <w:r w:rsidRPr="000A5B5D">
        <w:rPr>
          <w:rFonts w:eastAsia="Times New Roman"/>
          <w:kern w:val="0"/>
          <w:sz w:val="24"/>
          <w:szCs w:val="24"/>
          <w:lang w:val="zh-CN"/>
        </w:rPr>
        <w:t>20.8</w:t>
      </w:r>
      <w:r w:rsidRPr="000A5B5D">
        <w:rPr>
          <w:rFonts w:ascii="宋体" w:hAnsi="宋体" w:cs="宋体" w:hint="eastAsia"/>
          <w:kern w:val="0"/>
          <w:sz w:val="24"/>
          <w:szCs w:val="24"/>
          <w:lang w:val="zh-CN"/>
        </w:rPr>
        <w:t>亿元，公司经营范围为精对苯二甲酸的生产、销售，</w:t>
      </w:r>
      <w:r w:rsidRPr="000A5B5D">
        <w:rPr>
          <w:rFonts w:eastAsia="Times New Roman"/>
          <w:kern w:val="0"/>
          <w:sz w:val="24"/>
          <w:szCs w:val="24"/>
          <w:lang w:val="zh-CN"/>
        </w:rPr>
        <w:t>PTA</w:t>
      </w:r>
      <w:r w:rsidRPr="000A5B5D">
        <w:rPr>
          <w:rFonts w:ascii="宋体" w:hAnsi="宋体" w:cs="宋体" w:hint="eastAsia"/>
          <w:kern w:val="0"/>
          <w:sz w:val="24"/>
          <w:szCs w:val="24"/>
          <w:lang w:val="zh-CN"/>
        </w:rPr>
        <w:t>产能为</w:t>
      </w:r>
      <w:r w:rsidRPr="000A5B5D">
        <w:rPr>
          <w:rFonts w:eastAsia="Times New Roman"/>
          <w:kern w:val="0"/>
          <w:sz w:val="24"/>
          <w:szCs w:val="24"/>
          <w:lang w:val="zh-CN"/>
        </w:rPr>
        <w:t>210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5</w:t>
      </w:r>
      <w:r w:rsidRPr="000A5B5D">
        <w:rPr>
          <w:rFonts w:ascii="宋体" w:hAnsi="宋体" w:cs="宋体" w:hint="eastAsia"/>
          <w:b/>
          <w:kern w:val="0"/>
          <w:sz w:val="24"/>
          <w:szCs w:val="24"/>
          <w:lang w:val="zh-CN"/>
        </w:rPr>
        <w:t>）浙江恒逸聚合物有限公司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lastRenderedPageBreak/>
        <w:t>公司通过浙江恒逸石化有限公司持有浙江恒逸聚合物有限公司</w:t>
      </w:r>
      <w:r w:rsidRPr="000A5B5D">
        <w:rPr>
          <w:rFonts w:eastAsia="Times New Roman"/>
          <w:kern w:val="0"/>
          <w:sz w:val="24"/>
          <w:szCs w:val="24"/>
          <w:lang w:val="zh-CN"/>
        </w:rPr>
        <w:t>60%</w:t>
      </w:r>
      <w:r w:rsidRPr="000A5B5D">
        <w:rPr>
          <w:rFonts w:ascii="宋体" w:hAnsi="宋体" w:cs="宋体" w:hint="eastAsia"/>
          <w:kern w:val="0"/>
          <w:sz w:val="24"/>
          <w:szCs w:val="24"/>
          <w:lang w:val="zh-CN"/>
        </w:rPr>
        <w:t>的股份。浙江恒逸聚合物有限公司注册资本</w:t>
      </w:r>
      <w:r w:rsidRPr="000A5B5D">
        <w:rPr>
          <w:rFonts w:eastAsia="Times New Roman"/>
          <w:kern w:val="0"/>
          <w:sz w:val="24"/>
          <w:szCs w:val="24"/>
          <w:lang w:val="zh-CN"/>
        </w:rPr>
        <w:t>25,000</w:t>
      </w:r>
      <w:r w:rsidRPr="000A5B5D">
        <w:rPr>
          <w:rFonts w:ascii="宋体" w:hAnsi="宋体" w:cs="宋体" w:hint="eastAsia"/>
          <w:kern w:val="0"/>
          <w:sz w:val="24"/>
          <w:szCs w:val="24"/>
          <w:lang w:val="zh-CN"/>
        </w:rPr>
        <w:t>万元，公司经营范围为生产加工、销售聚酯切片，</w:t>
      </w:r>
      <w:r w:rsidRPr="000A5B5D">
        <w:rPr>
          <w:rFonts w:eastAsia="Times New Roman"/>
          <w:kern w:val="0"/>
          <w:sz w:val="24"/>
          <w:szCs w:val="24"/>
          <w:lang w:val="zh-CN"/>
        </w:rPr>
        <w:t>POY</w:t>
      </w:r>
      <w:r w:rsidRPr="000A5B5D">
        <w:rPr>
          <w:rFonts w:ascii="宋体" w:hAnsi="宋体" w:cs="宋体" w:hint="eastAsia"/>
          <w:kern w:val="0"/>
          <w:sz w:val="24"/>
          <w:szCs w:val="24"/>
          <w:lang w:val="zh-CN"/>
        </w:rPr>
        <w:t>丝，化纤原料，纺织面料，服装等。公司自</w:t>
      </w:r>
      <w:r w:rsidRPr="000A5B5D">
        <w:rPr>
          <w:rFonts w:eastAsia="Times New Roman"/>
          <w:kern w:val="0"/>
          <w:sz w:val="24"/>
          <w:szCs w:val="24"/>
          <w:lang w:val="zh-CN"/>
        </w:rPr>
        <w:t>2001</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月率先在国内投资国产化熔体直纺生产线以来，目前拥有大容量熔体直纺生产线</w:t>
      </w:r>
      <w:r w:rsidRPr="000A5B5D">
        <w:rPr>
          <w:rFonts w:eastAsia="Times New Roman"/>
          <w:kern w:val="0"/>
          <w:sz w:val="24"/>
          <w:szCs w:val="24"/>
          <w:lang w:val="zh-CN"/>
        </w:rPr>
        <w:t>3</w:t>
      </w:r>
      <w:r w:rsidRPr="000A5B5D">
        <w:rPr>
          <w:rFonts w:ascii="宋体" w:hAnsi="宋体" w:cs="宋体" w:hint="eastAsia"/>
          <w:kern w:val="0"/>
          <w:sz w:val="24"/>
          <w:szCs w:val="24"/>
          <w:lang w:val="zh-CN"/>
        </w:rPr>
        <w:t>条，聚合能力</w:t>
      </w:r>
      <w:r w:rsidRPr="000A5B5D">
        <w:rPr>
          <w:rFonts w:eastAsia="Times New Roman"/>
          <w:kern w:val="0"/>
          <w:sz w:val="24"/>
          <w:szCs w:val="24"/>
          <w:lang w:val="zh-CN"/>
        </w:rPr>
        <w:t>60</w:t>
      </w:r>
      <w:r w:rsidRPr="000A5B5D">
        <w:rPr>
          <w:rFonts w:ascii="宋体" w:hAnsi="宋体" w:cs="宋体" w:hint="eastAsia"/>
          <w:kern w:val="0"/>
          <w:sz w:val="24"/>
          <w:szCs w:val="24"/>
          <w:lang w:val="zh-CN"/>
        </w:rPr>
        <w:t>万吨，年产直纺长丝</w:t>
      </w:r>
      <w:r w:rsidRPr="000A5B5D">
        <w:rPr>
          <w:rFonts w:eastAsia="Times New Roman"/>
          <w:kern w:val="0"/>
          <w:sz w:val="24"/>
          <w:szCs w:val="24"/>
          <w:lang w:val="zh-CN"/>
        </w:rPr>
        <w:t>55</w:t>
      </w:r>
      <w:r w:rsidRPr="000A5B5D">
        <w:rPr>
          <w:rFonts w:ascii="宋体" w:hAnsi="宋体" w:cs="宋体" w:hint="eastAsia"/>
          <w:kern w:val="0"/>
          <w:sz w:val="24"/>
          <w:szCs w:val="24"/>
          <w:lang w:val="zh-CN"/>
        </w:rPr>
        <w:t>万吨，切片</w:t>
      </w:r>
      <w:r w:rsidRPr="000A5B5D">
        <w:rPr>
          <w:rFonts w:eastAsia="Times New Roman"/>
          <w:kern w:val="0"/>
          <w:sz w:val="24"/>
          <w:szCs w:val="24"/>
          <w:lang w:val="zh-CN"/>
        </w:rPr>
        <w:t>5</w:t>
      </w:r>
      <w:r w:rsidRPr="000A5B5D">
        <w:rPr>
          <w:rFonts w:ascii="宋体" w:hAnsi="宋体" w:cs="宋体" w:hint="eastAsia"/>
          <w:kern w:val="0"/>
          <w:sz w:val="24"/>
          <w:szCs w:val="24"/>
          <w:lang w:val="zh-CN"/>
        </w:rPr>
        <w:t>万吨。</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6</w:t>
      </w:r>
      <w:r w:rsidRPr="000A5B5D">
        <w:rPr>
          <w:rFonts w:ascii="宋体" w:hAnsi="宋体" w:cs="宋体" w:hint="eastAsia"/>
          <w:b/>
          <w:kern w:val="0"/>
          <w:sz w:val="24"/>
          <w:szCs w:val="24"/>
          <w:lang w:val="zh-CN"/>
        </w:rPr>
        <w:t>）上海恒逸聚酯纤维有限公司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公司通过浙江恒逸石化有限公司持有上海恒逸聚酯纤维有限公司</w:t>
      </w:r>
      <w:r w:rsidRPr="000A5B5D">
        <w:rPr>
          <w:rFonts w:eastAsia="Times New Roman"/>
          <w:kern w:val="0"/>
          <w:sz w:val="24"/>
          <w:szCs w:val="24"/>
          <w:lang w:val="zh-CN"/>
        </w:rPr>
        <w:t>100%</w:t>
      </w:r>
      <w:r w:rsidRPr="000A5B5D">
        <w:rPr>
          <w:rFonts w:ascii="宋体" w:hAnsi="宋体" w:cs="宋体" w:hint="eastAsia"/>
          <w:kern w:val="0"/>
          <w:sz w:val="24"/>
          <w:szCs w:val="24"/>
          <w:lang w:val="zh-CN"/>
        </w:rPr>
        <w:t>的股权。上海恒逸聚酯纤维有限公司于</w:t>
      </w:r>
      <w:r w:rsidRPr="000A5B5D">
        <w:rPr>
          <w:rFonts w:eastAsia="Times New Roman"/>
          <w:kern w:val="0"/>
          <w:sz w:val="24"/>
          <w:szCs w:val="24"/>
          <w:lang w:val="zh-CN"/>
        </w:rPr>
        <w:t>2007</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月注册成立，注册资本</w:t>
      </w:r>
      <w:r w:rsidRPr="000A5B5D">
        <w:rPr>
          <w:rFonts w:eastAsia="Times New Roman"/>
          <w:kern w:val="0"/>
          <w:sz w:val="24"/>
          <w:szCs w:val="24"/>
          <w:lang w:val="zh-CN"/>
        </w:rPr>
        <w:t>7</w:t>
      </w:r>
      <w:r w:rsidRPr="000A5B5D">
        <w:rPr>
          <w:rFonts w:ascii="宋体" w:hAnsi="宋体" w:cs="宋体" w:hint="eastAsia"/>
          <w:kern w:val="0"/>
          <w:sz w:val="24"/>
          <w:szCs w:val="24"/>
          <w:lang w:val="zh-CN"/>
        </w:rPr>
        <w:t>亿元。该公司聚酯纤维产能为</w:t>
      </w:r>
      <w:r w:rsidRPr="000A5B5D">
        <w:rPr>
          <w:rFonts w:eastAsia="Times New Roman"/>
          <w:kern w:val="0"/>
          <w:sz w:val="24"/>
          <w:szCs w:val="24"/>
          <w:lang w:val="zh-CN"/>
        </w:rPr>
        <w:t>110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7</w:t>
      </w:r>
      <w:r w:rsidRPr="000A5B5D">
        <w:rPr>
          <w:rFonts w:ascii="宋体" w:hAnsi="宋体" w:cs="宋体" w:hint="eastAsia"/>
          <w:b/>
          <w:kern w:val="0"/>
          <w:sz w:val="24"/>
          <w:szCs w:val="24"/>
          <w:lang w:val="zh-CN"/>
        </w:rPr>
        <w:t>）浙江恒逸高新材料有限公司</w:t>
      </w:r>
    </w:p>
    <w:p w:rsidR="00BC4D56" w:rsidRPr="000A5B5D" w:rsidRDefault="00BC4D56" w:rsidP="002D1437">
      <w:pPr>
        <w:autoSpaceDE w:val="0"/>
        <w:autoSpaceDN w:val="0"/>
        <w:adjustRightInd w:val="0"/>
        <w:spacing w:line="360" w:lineRule="auto"/>
        <w:ind w:firstLine="36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公司通过浙江恒逸石化有限公司持有浙江恒逸高新材料有限公司</w:t>
      </w:r>
      <w:r w:rsidRPr="000A5B5D">
        <w:rPr>
          <w:rFonts w:eastAsia="Times New Roman"/>
          <w:kern w:val="0"/>
          <w:sz w:val="24"/>
          <w:szCs w:val="24"/>
          <w:lang w:val="zh-CN"/>
        </w:rPr>
        <w:t>100%</w:t>
      </w:r>
      <w:r w:rsidRPr="000A5B5D">
        <w:rPr>
          <w:rFonts w:ascii="宋体" w:hAnsi="宋体" w:cs="宋体" w:hint="eastAsia"/>
          <w:kern w:val="0"/>
          <w:sz w:val="24"/>
          <w:szCs w:val="24"/>
          <w:lang w:val="zh-CN"/>
        </w:rPr>
        <w:t>的股权。浙江恒逸高新材料有限公司经营范围：生产、加工、销售聚酯切片、</w:t>
      </w:r>
      <w:r w:rsidRPr="000A5B5D">
        <w:rPr>
          <w:rFonts w:eastAsia="Times New Roman"/>
          <w:kern w:val="0"/>
          <w:sz w:val="24"/>
          <w:szCs w:val="24"/>
          <w:lang w:val="zh-CN"/>
        </w:rPr>
        <w:t>POY</w:t>
      </w:r>
      <w:r w:rsidRPr="000A5B5D">
        <w:rPr>
          <w:rFonts w:ascii="宋体" w:hAnsi="宋体" w:cs="宋体" w:hint="eastAsia"/>
          <w:kern w:val="0"/>
          <w:sz w:val="24"/>
          <w:szCs w:val="24"/>
          <w:lang w:val="zh-CN"/>
        </w:rPr>
        <w:t>丝、</w:t>
      </w:r>
      <w:r w:rsidRPr="000A5B5D">
        <w:rPr>
          <w:rFonts w:eastAsia="Times New Roman"/>
          <w:kern w:val="0"/>
          <w:sz w:val="24"/>
          <w:szCs w:val="24"/>
          <w:lang w:val="zh-CN"/>
        </w:rPr>
        <w:t>FDY</w:t>
      </w:r>
      <w:r w:rsidRPr="000A5B5D">
        <w:rPr>
          <w:rFonts w:ascii="宋体" w:hAnsi="宋体" w:cs="宋体" w:hint="eastAsia"/>
          <w:kern w:val="0"/>
          <w:sz w:val="24"/>
          <w:szCs w:val="24"/>
          <w:lang w:val="zh-CN"/>
        </w:rPr>
        <w:t>丝、化纤原料；经营本企业自产产品及技术的出口业务和自用产品及技术的进口业务（国家法律法规禁止或限制的项目除外）；其他无需报经审批的一切合法项目。该公司聚酯纤维产能为</w:t>
      </w:r>
      <w:r w:rsidRPr="000A5B5D">
        <w:rPr>
          <w:rFonts w:eastAsia="Times New Roman"/>
          <w:kern w:val="0"/>
          <w:sz w:val="24"/>
          <w:szCs w:val="24"/>
          <w:lang w:val="zh-CN"/>
        </w:rPr>
        <w:t>80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w:t>
      </w:r>
    </w:p>
    <w:p w:rsidR="00BC4D56" w:rsidRPr="000A5B5D" w:rsidRDefault="00BC4D56" w:rsidP="002D1437">
      <w:pPr>
        <w:autoSpaceDE w:val="0"/>
        <w:autoSpaceDN w:val="0"/>
        <w:adjustRightInd w:val="0"/>
        <w:spacing w:line="360" w:lineRule="auto"/>
        <w:ind w:firstLine="482"/>
        <w:rPr>
          <w:rFonts w:eastAsia="Times New Roman"/>
          <w:b/>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8</w:t>
      </w:r>
      <w:r w:rsidRPr="000A5B5D">
        <w:rPr>
          <w:rFonts w:ascii="宋体" w:hAnsi="宋体" w:cs="宋体" w:hint="eastAsia"/>
          <w:b/>
          <w:kern w:val="0"/>
          <w:sz w:val="24"/>
          <w:szCs w:val="24"/>
          <w:lang w:val="zh-CN"/>
        </w:rPr>
        <w:t>）浙江巴陵恒逸己内酰胺有限责任公司</w:t>
      </w:r>
    </w:p>
    <w:p w:rsidR="00BC4D56" w:rsidRPr="000A5B5D" w:rsidRDefault="00BC4D56" w:rsidP="002D1437">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公司通过浙江恒逸石化有限公司持有浙江巴陵恒逸已内酰胺有限责任公司</w:t>
      </w:r>
      <w:r w:rsidRPr="000A5B5D">
        <w:rPr>
          <w:rFonts w:eastAsia="Times New Roman"/>
          <w:kern w:val="0"/>
          <w:sz w:val="24"/>
          <w:szCs w:val="24"/>
          <w:lang w:val="zh-CN"/>
        </w:rPr>
        <w:t>50%</w:t>
      </w:r>
      <w:r w:rsidRPr="000A5B5D">
        <w:rPr>
          <w:rFonts w:ascii="宋体" w:hAnsi="宋体" w:cs="宋体" w:hint="eastAsia"/>
          <w:kern w:val="0"/>
          <w:sz w:val="24"/>
          <w:szCs w:val="24"/>
          <w:lang w:val="zh-CN"/>
        </w:rPr>
        <w:t>的股权。浙江巴陵恒逸已内酰胺有限责任公司注册资本</w:t>
      </w:r>
      <w:r w:rsidRPr="000A5B5D">
        <w:rPr>
          <w:rFonts w:eastAsia="Times New Roman"/>
          <w:kern w:val="0"/>
          <w:sz w:val="24"/>
          <w:szCs w:val="24"/>
          <w:lang w:val="zh-CN"/>
        </w:rPr>
        <w:t>12</w:t>
      </w:r>
      <w:r w:rsidRPr="000A5B5D">
        <w:rPr>
          <w:rFonts w:ascii="宋体" w:hAnsi="宋体" w:cs="宋体" w:hint="eastAsia"/>
          <w:kern w:val="0"/>
          <w:sz w:val="24"/>
          <w:szCs w:val="24"/>
          <w:lang w:val="zh-CN"/>
        </w:rPr>
        <w:t>亿元，经营范围为筹建生产己内酰胺、环己烷、环己酮、环己醇、硫酸铵、纯碱、硫酸、双氧水及其他苯加氢产生的下游产品、化工原料项目。该公司</w:t>
      </w:r>
      <w:r w:rsidRPr="000A5B5D">
        <w:rPr>
          <w:rFonts w:eastAsia="Times New Roman"/>
          <w:kern w:val="0"/>
          <w:sz w:val="24"/>
          <w:szCs w:val="24"/>
          <w:lang w:val="zh-CN"/>
        </w:rPr>
        <w:t>CPL</w:t>
      </w:r>
      <w:r w:rsidRPr="000A5B5D">
        <w:rPr>
          <w:rFonts w:ascii="宋体" w:hAnsi="宋体" w:cs="宋体" w:hint="eastAsia"/>
          <w:kern w:val="0"/>
          <w:sz w:val="24"/>
          <w:szCs w:val="24"/>
          <w:lang w:val="zh-CN"/>
        </w:rPr>
        <w:t>产能为</w:t>
      </w:r>
      <w:r w:rsidRPr="000A5B5D">
        <w:rPr>
          <w:rFonts w:eastAsia="Times New Roman"/>
          <w:kern w:val="0"/>
          <w:sz w:val="24"/>
          <w:szCs w:val="24"/>
          <w:lang w:val="zh-CN"/>
        </w:rPr>
        <w:t>20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w:t>
      </w:r>
    </w:p>
    <w:p w:rsidR="00BC4D56" w:rsidRPr="000A5B5D" w:rsidRDefault="00BC4D56" w:rsidP="002D1437">
      <w:pPr>
        <w:autoSpaceDE w:val="0"/>
        <w:autoSpaceDN w:val="0"/>
        <w:adjustRightInd w:val="0"/>
        <w:spacing w:before="0" w:after="0" w:line="360" w:lineRule="auto"/>
        <w:ind w:firstLine="482"/>
        <w:rPr>
          <w:rFonts w:eastAsia="Times New Roman"/>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9</w:t>
      </w:r>
      <w:r w:rsidRPr="000A5B5D">
        <w:rPr>
          <w:rFonts w:ascii="宋体" w:hAnsi="宋体" w:cs="宋体" w:hint="eastAsia"/>
          <w:b/>
          <w:kern w:val="0"/>
          <w:sz w:val="24"/>
          <w:szCs w:val="24"/>
          <w:lang w:val="zh-CN"/>
        </w:rPr>
        <w:t>）香港天逸国际控股有限公司</w:t>
      </w:r>
    </w:p>
    <w:p w:rsidR="00BC4D56" w:rsidRPr="000A5B5D" w:rsidRDefault="00BC4D56" w:rsidP="002D1437">
      <w:pPr>
        <w:autoSpaceDE w:val="0"/>
        <w:autoSpaceDN w:val="0"/>
        <w:adjustRightInd w:val="0"/>
        <w:spacing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公司通过浙江恒逸石化有限公司持有香港天逸国际控股有限公司</w:t>
      </w:r>
      <w:r w:rsidRPr="000A5B5D">
        <w:rPr>
          <w:rFonts w:eastAsia="Times New Roman"/>
          <w:kern w:val="0"/>
          <w:sz w:val="24"/>
          <w:szCs w:val="24"/>
          <w:lang w:val="zh-CN"/>
        </w:rPr>
        <w:t>100%</w:t>
      </w:r>
      <w:r w:rsidRPr="000A5B5D">
        <w:rPr>
          <w:rFonts w:ascii="宋体" w:hAnsi="宋体" w:cs="宋体" w:hint="eastAsia"/>
          <w:kern w:val="0"/>
          <w:sz w:val="24"/>
          <w:szCs w:val="24"/>
          <w:lang w:val="zh-CN"/>
        </w:rPr>
        <w:t>的股权。香港天逸国际控股有限公司注册资本</w:t>
      </w:r>
      <w:r w:rsidRPr="000A5B5D">
        <w:rPr>
          <w:rFonts w:eastAsia="Times New Roman"/>
          <w:kern w:val="0"/>
          <w:sz w:val="24"/>
          <w:szCs w:val="24"/>
          <w:lang w:val="zh-CN"/>
        </w:rPr>
        <w:t>9,950</w:t>
      </w:r>
      <w:r w:rsidR="00E1532B" w:rsidRPr="000A5B5D">
        <w:rPr>
          <w:rFonts w:eastAsiaTheme="minorEastAsia" w:hint="eastAsia"/>
          <w:kern w:val="0"/>
          <w:sz w:val="24"/>
          <w:szCs w:val="24"/>
          <w:lang w:val="zh-CN"/>
        </w:rPr>
        <w:t>万</w:t>
      </w:r>
      <w:r w:rsidRPr="000A5B5D">
        <w:rPr>
          <w:rFonts w:ascii="宋体" w:hAnsi="宋体" w:cs="宋体" w:hint="eastAsia"/>
          <w:kern w:val="0"/>
          <w:sz w:val="24"/>
          <w:szCs w:val="24"/>
          <w:lang w:val="zh-CN"/>
        </w:rPr>
        <w:t>美元，经营范围涉及投资、贸易。</w:t>
      </w:r>
    </w:p>
    <w:p w:rsidR="00BC4D56" w:rsidRPr="000A5B5D" w:rsidRDefault="00BC4D56" w:rsidP="002D1437">
      <w:pPr>
        <w:autoSpaceDE w:val="0"/>
        <w:autoSpaceDN w:val="0"/>
        <w:adjustRightInd w:val="0"/>
        <w:spacing w:before="0" w:after="0" w:line="360" w:lineRule="auto"/>
        <w:ind w:firstLine="482"/>
        <w:rPr>
          <w:rFonts w:eastAsia="Times New Roman"/>
          <w:kern w:val="0"/>
          <w:sz w:val="24"/>
          <w:szCs w:val="24"/>
          <w:lang w:val="zh-CN"/>
        </w:rPr>
      </w:pPr>
      <w:r w:rsidRPr="000A5B5D">
        <w:rPr>
          <w:rFonts w:ascii="宋体" w:hAnsi="宋体" w:cs="宋体" w:hint="eastAsia"/>
          <w:b/>
          <w:kern w:val="0"/>
          <w:sz w:val="24"/>
          <w:szCs w:val="24"/>
          <w:lang w:val="zh-CN"/>
        </w:rPr>
        <w:t>（</w:t>
      </w:r>
      <w:r w:rsidRPr="000A5B5D">
        <w:rPr>
          <w:rFonts w:eastAsia="Times New Roman"/>
          <w:b/>
          <w:kern w:val="0"/>
          <w:sz w:val="24"/>
          <w:szCs w:val="24"/>
          <w:lang w:val="zh-CN"/>
        </w:rPr>
        <w:t>10</w:t>
      </w:r>
      <w:r w:rsidRPr="000A5B5D">
        <w:rPr>
          <w:rFonts w:ascii="宋体" w:hAnsi="宋体" w:cs="宋体" w:hint="eastAsia"/>
          <w:b/>
          <w:kern w:val="0"/>
          <w:sz w:val="24"/>
          <w:szCs w:val="24"/>
          <w:lang w:val="zh-CN"/>
        </w:rPr>
        <w:t>）恒逸实业（文莱）有限公司</w:t>
      </w:r>
    </w:p>
    <w:p w:rsidR="00BC4D56" w:rsidRPr="000A5B5D" w:rsidRDefault="00BC4D56" w:rsidP="002D1437">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公司通过香港天逸国际控股有限公司持有恒逸实业（文莱）有限公司</w:t>
      </w:r>
      <w:r w:rsidRPr="000A5B5D">
        <w:rPr>
          <w:rFonts w:eastAsia="Times New Roman"/>
          <w:kern w:val="0"/>
          <w:sz w:val="24"/>
          <w:szCs w:val="24"/>
          <w:lang w:val="zh-CN"/>
        </w:rPr>
        <w:t>70%</w:t>
      </w:r>
      <w:r w:rsidRPr="000A5B5D">
        <w:rPr>
          <w:rFonts w:ascii="宋体" w:hAnsi="宋体" w:cs="宋体" w:hint="eastAsia"/>
          <w:kern w:val="0"/>
          <w:sz w:val="24"/>
          <w:szCs w:val="24"/>
          <w:lang w:val="zh-CN"/>
        </w:rPr>
        <w:t>的股权。恒逸实业（文莱）有限公司注册资本</w:t>
      </w:r>
      <w:r w:rsidR="00B83F67" w:rsidRPr="000A5B5D">
        <w:rPr>
          <w:rFonts w:eastAsia="Times New Roman"/>
          <w:kern w:val="0"/>
          <w:sz w:val="24"/>
          <w:szCs w:val="24"/>
          <w:lang w:val="zh-CN"/>
        </w:rPr>
        <w:t>13,170.64</w:t>
      </w:r>
      <w:r w:rsidR="00B83F67" w:rsidRPr="000A5B5D">
        <w:rPr>
          <w:rFonts w:ascii="宋体" w:hAnsi="宋体" w:cs="宋体" w:hint="eastAsia"/>
          <w:kern w:val="0"/>
          <w:sz w:val="24"/>
          <w:szCs w:val="24"/>
          <w:lang w:val="zh-CN"/>
        </w:rPr>
        <w:t>万美元</w:t>
      </w:r>
      <w:r w:rsidRPr="000A5B5D">
        <w:rPr>
          <w:rFonts w:ascii="宋体" w:hAnsi="宋体" w:cs="宋体" w:hint="eastAsia"/>
          <w:kern w:val="0"/>
          <w:sz w:val="24"/>
          <w:szCs w:val="24"/>
          <w:lang w:val="zh-CN"/>
        </w:rPr>
        <w:t>，经营范围投资。该公司建成后将拥有</w:t>
      </w:r>
      <w:r w:rsidRPr="000A5B5D">
        <w:rPr>
          <w:rFonts w:eastAsia="Times New Roman"/>
          <w:kern w:val="0"/>
          <w:sz w:val="24"/>
          <w:szCs w:val="24"/>
          <w:lang w:val="zh-CN"/>
        </w:rPr>
        <w:t>800</w:t>
      </w:r>
      <w:r w:rsidRPr="000A5B5D">
        <w:rPr>
          <w:rFonts w:ascii="宋体" w:hAnsi="宋体" w:cs="宋体" w:hint="eastAsia"/>
          <w:kern w:val="0"/>
          <w:sz w:val="24"/>
          <w:szCs w:val="24"/>
          <w:lang w:val="zh-CN"/>
        </w:rPr>
        <w:t>万吨</w:t>
      </w:r>
      <w:r w:rsidRPr="000A5B5D">
        <w:rPr>
          <w:rFonts w:eastAsia="Times New Roman"/>
          <w:kern w:val="0"/>
          <w:sz w:val="24"/>
          <w:szCs w:val="24"/>
          <w:lang w:val="zh-CN"/>
        </w:rPr>
        <w:t>/</w:t>
      </w:r>
      <w:r w:rsidRPr="000A5B5D">
        <w:rPr>
          <w:rFonts w:ascii="宋体" w:hAnsi="宋体" w:cs="宋体" w:hint="eastAsia"/>
          <w:kern w:val="0"/>
          <w:sz w:val="24"/>
          <w:szCs w:val="24"/>
          <w:lang w:val="zh-CN"/>
        </w:rPr>
        <w:t>年炼化装置，主要产品的年产能为</w:t>
      </w:r>
      <w:r w:rsidRPr="000A5B5D">
        <w:rPr>
          <w:rFonts w:eastAsia="Times New Roman"/>
          <w:kern w:val="0"/>
          <w:sz w:val="24"/>
          <w:szCs w:val="24"/>
          <w:lang w:val="zh-CN"/>
        </w:rPr>
        <w:t>PX150</w:t>
      </w:r>
      <w:r w:rsidRPr="000A5B5D">
        <w:rPr>
          <w:rFonts w:ascii="宋体" w:hAnsi="宋体" w:cs="宋体" w:hint="eastAsia"/>
          <w:kern w:val="0"/>
          <w:sz w:val="24"/>
          <w:szCs w:val="24"/>
          <w:lang w:val="zh-CN"/>
        </w:rPr>
        <w:t>万吨、苯</w:t>
      </w:r>
      <w:r w:rsidRPr="000A5B5D">
        <w:rPr>
          <w:rFonts w:eastAsia="Times New Roman"/>
          <w:kern w:val="0"/>
          <w:sz w:val="24"/>
          <w:szCs w:val="24"/>
          <w:lang w:val="zh-CN"/>
        </w:rPr>
        <w:t>50</w:t>
      </w:r>
      <w:r w:rsidRPr="000A5B5D">
        <w:rPr>
          <w:rFonts w:ascii="宋体" w:hAnsi="宋体" w:cs="宋体" w:hint="eastAsia"/>
          <w:kern w:val="0"/>
          <w:sz w:val="24"/>
          <w:szCs w:val="24"/>
          <w:lang w:val="zh-CN"/>
        </w:rPr>
        <w:t>万吨及其他油品约</w:t>
      </w:r>
      <w:r w:rsidRPr="000A5B5D">
        <w:rPr>
          <w:rFonts w:eastAsia="Times New Roman"/>
          <w:kern w:val="0"/>
          <w:sz w:val="24"/>
          <w:szCs w:val="24"/>
          <w:lang w:val="zh-CN"/>
        </w:rPr>
        <w:t>400</w:t>
      </w:r>
      <w:r w:rsidRPr="000A5B5D">
        <w:rPr>
          <w:rFonts w:ascii="宋体" w:hAnsi="宋体" w:cs="宋体" w:hint="eastAsia"/>
          <w:kern w:val="0"/>
          <w:sz w:val="24"/>
          <w:szCs w:val="24"/>
          <w:lang w:val="zh-CN"/>
        </w:rPr>
        <w:t>万吨。</w:t>
      </w:r>
    </w:p>
    <w:p w:rsidR="00BC4D56" w:rsidRPr="000A5B5D" w:rsidRDefault="00BC4D56" w:rsidP="002D1437">
      <w:pPr>
        <w:pStyle w:val="Chapter"/>
        <w:spacing w:line="360" w:lineRule="auto"/>
        <w:outlineLvl w:val="1"/>
        <w:rPr>
          <w:bCs w:val="0"/>
        </w:rPr>
      </w:pPr>
      <w:r w:rsidRPr="000A5B5D">
        <w:rPr>
          <w:rFonts w:hint="eastAsia"/>
          <w:bCs w:val="0"/>
        </w:rPr>
        <w:t>八、公司控制的结构化主体情况</w:t>
      </w:r>
    </w:p>
    <w:p w:rsidR="00BC4D56" w:rsidRPr="000A5B5D" w:rsidRDefault="00BC4D56" w:rsidP="002D1437">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2D1437">
      <w:pPr>
        <w:pStyle w:val="Chapter"/>
        <w:spacing w:line="360" w:lineRule="auto"/>
        <w:outlineLvl w:val="1"/>
        <w:rPr>
          <w:bCs w:val="0"/>
        </w:rPr>
      </w:pPr>
      <w:r w:rsidRPr="000A5B5D">
        <w:rPr>
          <w:rFonts w:hint="eastAsia"/>
          <w:bCs w:val="0"/>
        </w:rPr>
        <w:lastRenderedPageBreak/>
        <w:t>九、公司未来发展的展望</w:t>
      </w:r>
    </w:p>
    <w:p w:rsidR="00BC4D56" w:rsidRPr="000A5B5D" w:rsidRDefault="00BC4D56" w:rsidP="002D1437">
      <w:pPr>
        <w:autoSpaceDE w:val="0"/>
        <w:autoSpaceDN w:val="0"/>
        <w:adjustRightInd w:val="0"/>
        <w:spacing w:before="0" w:after="0" w:line="360" w:lineRule="auto"/>
        <w:rPr>
          <w:rFonts w:asciiTheme="minorEastAsia" w:eastAsiaTheme="minorEastAsia" w:hAnsiTheme="minorEastAsia"/>
          <w:b/>
          <w:kern w:val="0"/>
          <w:sz w:val="24"/>
          <w:szCs w:val="24"/>
          <w:lang w:val="zh-CN"/>
        </w:rPr>
      </w:pPr>
      <w:r w:rsidRPr="000A5B5D">
        <w:rPr>
          <w:rFonts w:asciiTheme="minorEastAsia" w:eastAsiaTheme="minorEastAsia" w:hAnsiTheme="minorEastAsia" w:cs="宋体" w:hint="eastAsia"/>
          <w:b/>
          <w:kern w:val="0"/>
          <w:sz w:val="24"/>
          <w:szCs w:val="24"/>
          <w:lang w:val="zh-CN"/>
        </w:rPr>
        <w:t>（一）行业发展趋势展望</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过去几年，公司所处</w:t>
      </w:r>
      <w:r w:rsidRPr="000A5B5D">
        <w:rPr>
          <w:rFonts w:asciiTheme="minorEastAsia" w:eastAsiaTheme="minorEastAsia" w:hAnsiTheme="minorEastAsia"/>
          <w:kern w:val="0"/>
          <w:sz w:val="24"/>
          <w:szCs w:val="24"/>
          <w:lang w:val="zh-CN"/>
        </w:rPr>
        <w:t>PX-PTA-</w:t>
      </w:r>
      <w:r w:rsidRPr="000A5B5D">
        <w:rPr>
          <w:rFonts w:asciiTheme="minorEastAsia" w:eastAsiaTheme="minorEastAsia" w:hAnsiTheme="minorEastAsia" w:cs="宋体" w:hint="eastAsia"/>
          <w:kern w:val="0"/>
          <w:sz w:val="24"/>
          <w:szCs w:val="24"/>
          <w:lang w:val="zh-CN"/>
        </w:rPr>
        <w:t>涤纶产业和苯</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己内酰胺</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锦纶产业蓬勃发展，市场需求快速增长，但由于</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w:t>
      </w:r>
      <w:r w:rsidRPr="000A5B5D">
        <w:rPr>
          <w:rFonts w:asciiTheme="minorEastAsia" w:eastAsiaTheme="minorEastAsia" w:hAnsiTheme="minorEastAsia"/>
          <w:kern w:val="0"/>
          <w:sz w:val="24"/>
          <w:szCs w:val="24"/>
          <w:lang w:val="zh-CN"/>
        </w:rPr>
        <w:t>CPL</w:t>
      </w:r>
      <w:r w:rsidRPr="000A5B5D">
        <w:rPr>
          <w:rFonts w:asciiTheme="minorEastAsia" w:eastAsiaTheme="minorEastAsia" w:hAnsiTheme="minorEastAsia" w:cs="宋体" w:hint="eastAsia"/>
          <w:kern w:val="0"/>
          <w:sz w:val="24"/>
          <w:szCs w:val="24"/>
          <w:lang w:val="zh-CN"/>
        </w:rPr>
        <w:t>等化工品的产能的增长远远快于需求的增长，导致供求关系严重失衡，同时，受原油价格波动、国内外经济形势趋缓等因素的叠加，公司所处产业链中</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和</w:t>
      </w:r>
      <w:r w:rsidRPr="000A5B5D">
        <w:rPr>
          <w:rFonts w:asciiTheme="minorEastAsia" w:eastAsiaTheme="minorEastAsia" w:hAnsiTheme="minorEastAsia"/>
          <w:kern w:val="0"/>
          <w:sz w:val="24"/>
          <w:szCs w:val="24"/>
          <w:lang w:val="zh-CN"/>
        </w:rPr>
        <w:t>CPL</w:t>
      </w:r>
      <w:r w:rsidRPr="000A5B5D">
        <w:rPr>
          <w:rFonts w:asciiTheme="minorEastAsia" w:eastAsiaTheme="minorEastAsia" w:hAnsiTheme="minorEastAsia" w:cs="宋体" w:hint="eastAsia"/>
          <w:kern w:val="0"/>
          <w:sz w:val="24"/>
          <w:szCs w:val="24"/>
          <w:lang w:val="zh-CN"/>
        </w:rPr>
        <w:t>经历了产能增长效益下滑的不景气周期，特别是</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经历了</w:t>
      </w:r>
      <w:r w:rsidRPr="000A5B5D">
        <w:rPr>
          <w:rFonts w:asciiTheme="minorEastAsia" w:eastAsiaTheme="minorEastAsia" w:hAnsiTheme="minorEastAsia"/>
          <w:kern w:val="0"/>
          <w:sz w:val="24"/>
          <w:szCs w:val="24"/>
          <w:lang w:val="zh-CN"/>
        </w:rPr>
        <w:t>3</w:t>
      </w:r>
      <w:r w:rsidRPr="000A5B5D">
        <w:rPr>
          <w:rFonts w:asciiTheme="minorEastAsia" w:eastAsiaTheme="minorEastAsia" w:hAnsiTheme="minorEastAsia" w:cs="宋体" w:hint="eastAsia"/>
          <w:kern w:val="0"/>
          <w:sz w:val="24"/>
          <w:szCs w:val="24"/>
          <w:lang w:val="zh-CN"/>
        </w:rPr>
        <w:t>年的痛苦期。公司作为</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龙头企业，受</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盈利弹性波动的影响，过去几年公司经营效益处于周期的调整之中。</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一般我们用产品价格与主要原材料的价差来监测其盈利能力，从我们监测的</w:t>
      </w:r>
      <w:r w:rsidRPr="000A5B5D">
        <w:rPr>
          <w:rFonts w:asciiTheme="minorEastAsia" w:eastAsiaTheme="minorEastAsia" w:hAnsiTheme="minorEastAsia"/>
          <w:kern w:val="0"/>
          <w:sz w:val="24"/>
          <w:szCs w:val="24"/>
          <w:lang w:val="zh-CN"/>
        </w:rPr>
        <w:t>PX</w:t>
      </w:r>
      <w:r w:rsidRPr="000A5B5D">
        <w:rPr>
          <w:rFonts w:asciiTheme="minorEastAsia" w:eastAsiaTheme="minorEastAsia" w:hAnsiTheme="minorEastAsia" w:cs="宋体" w:hint="eastAsia"/>
          <w:kern w:val="0"/>
          <w:sz w:val="24"/>
          <w:szCs w:val="24"/>
          <w:lang w:val="zh-CN"/>
        </w:rPr>
        <w:t>、</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和涤纶长丝的价差情况看，</w:t>
      </w:r>
      <w:r w:rsidRPr="000A5B5D">
        <w:rPr>
          <w:rFonts w:asciiTheme="minorEastAsia" w:eastAsiaTheme="minorEastAsia" w:hAnsiTheme="minorEastAsia"/>
          <w:kern w:val="0"/>
          <w:sz w:val="24"/>
          <w:szCs w:val="24"/>
          <w:lang w:val="zh-CN"/>
        </w:rPr>
        <w:t>PX</w:t>
      </w:r>
      <w:r w:rsidRPr="000A5B5D">
        <w:rPr>
          <w:rFonts w:asciiTheme="minorEastAsia" w:eastAsiaTheme="minorEastAsia" w:hAnsiTheme="minorEastAsia" w:cs="宋体" w:hint="eastAsia"/>
          <w:kern w:val="0"/>
          <w:sz w:val="24"/>
          <w:szCs w:val="24"/>
          <w:lang w:val="zh-CN"/>
        </w:rPr>
        <w:t>的价差在</w:t>
      </w:r>
      <w:r w:rsidRPr="000A5B5D">
        <w:rPr>
          <w:rFonts w:asciiTheme="minorEastAsia" w:eastAsiaTheme="minorEastAsia" w:hAnsiTheme="minorEastAsia"/>
          <w:kern w:val="0"/>
          <w:sz w:val="24"/>
          <w:szCs w:val="24"/>
          <w:lang w:val="zh-CN"/>
        </w:rPr>
        <w:t>2013</w:t>
      </w:r>
      <w:r w:rsidRPr="000A5B5D">
        <w:rPr>
          <w:rFonts w:asciiTheme="minorEastAsia" w:eastAsiaTheme="minorEastAsia" w:hAnsiTheme="minorEastAsia" w:cs="宋体" w:hint="eastAsia"/>
          <w:kern w:val="0"/>
          <w:sz w:val="24"/>
          <w:szCs w:val="24"/>
          <w:lang w:val="zh-CN"/>
        </w:rPr>
        <w:t>后呈现逐步走低的态势，至</w:t>
      </w: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年达到相对均衡状态；</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的价差从</w:t>
      </w:r>
      <w:r w:rsidRPr="000A5B5D">
        <w:rPr>
          <w:rFonts w:asciiTheme="minorEastAsia" w:eastAsiaTheme="minorEastAsia" w:hAnsiTheme="minorEastAsia"/>
          <w:kern w:val="0"/>
          <w:sz w:val="24"/>
          <w:szCs w:val="24"/>
          <w:lang w:val="zh-CN"/>
        </w:rPr>
        <w:t>2012</w:t>
      </w:r>
      <w:r w:rsidRPr="000A5B5D">
        <w:rPr>
          <w:rFonts w:asciiTheme="minorEastAsia" w:eastAsiaTheme="minorEastAsia" w:hAnsiTheme="minorEastAsia" w:cs="宋体" w:hint="eastAsia"/>
          <w:kern w:val="0"/>
          <w:sz w:val="24"/>
          <w:szCs w:val="24"/>
          <w:lang w:val="zh-CN"/>
        </w:rPr>
        <w:t>年开始一直在低位震荡；聚酯长丝的价差也一直在低位震荡，其中</w:t>
      </w:r>
      <w:r w:rsidRPr="000A5B5D">
        <w:rPr>
          <w:rFonts w:asciiTheme="minorEastAsia" w:eastAsiaTheme="minorEastAsia" w:hAnsiTheme="minorEastAsia"/>
          <w:kern w:val="0"/>
          <w:sz w:val="24"/>
          <w:szCs w:val="24"/>
          <w:lang w:val="zh-CN"/>
        </w:rPr>
        <w:t>2014</w:t>
      </w:r>
      <w:r w:rsidRPr="000A5B5D">
        <w:rPr>
          <w:rFonts w:asciiTheme="minorEastAsia" w:eastAsiaTheme="minorEastAsia" w:hAnsiTheme="minorEastAsia" w:cs="宋体" w:hint="eastAsia"/>
          <w:kern w:val="0"/>
          <w:sz w:val="24"/>
          <w:szCs w:val="24"/>
          <w:lang w:val="zh-CN"/>
        </w:rPr>
        <w:t>年下半年有一波比较大的反弹行情，但未能持续。</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根据本报告第三节对公司所处产业格局的详细论述，在未来的</w:t>
      </w:r>
      <w:r w:rsidRPr="000A5B5D">
        <w:rPr>
          <w:rFonts w:asciiTheme="minorEastAsia" w:eastAsiaTheme="minorEastAsia" w:hAnsiTheme="minorEastAsia"/>
          <w:kern w:val="0"/>
          <w:sz w:val="24"/>
          <w:szCs w:val="24"/>
          <w:lang w:val="zh-CN"/>
        </w:rPr>
        <w:t>2-3</w:t>
      </w:r>
      <w:r w:rsidRPr="000A5B5D">
        <w:rPr>
          <w:rFonts w:asciiTheme="minorEastAsia" w:eastAsiaTheme="minorEastAsia" w:hAnsiTheme="minorEastAsia" w:cs="宋体" w:hint="eastAsia"/>
          <w:kern w:val="0"/>
          <w:sz w:val="24"/>
          <w:szCs w:val="24"/>
          <w:lang w:val="zh-CN"/>
        </w:rPr>
        <w:t>年中，</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的供需将逐步改善，</w:t>
      </w:r>
      <w:r w:rsidRPr="000A5B5D">
        <w:rPr>
          <w:rFonts w:asciiTheme="minorEastAsia" w:eastAsiaTheme="minorEastAsia" w:hAnsiTheme="minorEastAsia"/>
          <w:kern w:val="0"/>
          <w:sz w:val="24"/>
          <w:szCs w:val="24"/>
          <w:lang w:val="zh-CN"/>
        </w:rPr>
        <w:t>PX</w:t>
      </w:r>
      <w:r w:rsidRPr="000A5B5D">
        <w:rPr>
          <w:rFonts w:asciiTheme="minorEastAsia" w:eastAsiaTheme="minorEastAsia" w:hAnsiTheme="minorEastAsia" w:cs="宋体" w:hint="eastAsia"/>
          <w:kern w:val="0"/>
          <w:sz w:val="24"/>
          <w:szCs w:val="24"/>
          <w:lang w:val="zh-CN"/>
        </w:rPr>
        <w:t>供应将由紧平衡走向比较充裕，产业链盈利空间下沉，</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盈利将明显改善，因此，</w:t>
      </w: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年，公司董事会和管理层就产业链中更为看好</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产业链的发展和盈利（本展望不构成投资承诺，敬请投资者注意投资风险）：</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1</w:t>
      </w:r>
      <w:r w:rsidRPr="000A5B5D">
        <w:rPr>
          <w:rFonts w:asciiTheme="minorEastAsia" w:eastAsiaTheme="minorEastAsia" w:hAnsiTheme="minorEastAsia" w:cs="宋体" w:hint="eastAsia"/>
          <w:kern w:val="0"/>
          <w:sz w:val="24"/>
          <w:szCs w:val="24"/>
          <w:lang w:val="zh-CN"/>
        </w:rPr>
        <w:t>、</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供需改善，供给收缩、需求缓慢恢复，导致</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供给偏紧的局面逐步出现；</w:t>
      </w:r>
    </w:p>
    <w:p w:rsidR="00BC4D56" w:rsidRPr="000A5B5D" w:rsidRDefault="00BC4D56" w:rsidP="002D1437">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w:t>
      </w:r>
      <w:r w:rsidRPr="000A5B5D">
        <w:rPr>
          <w:rFonts w:asciiTheme="minorEastAsia" w:eastAsiaTheme="minorEastAsia" w:hAnsiTheme="minorEastAsia" w:cs="宋体" w:hint="eastAsia"/>
          <w:kern w:val="0"/>
          <w:sz w:val="24"/>
          <w:szCs w:val="24"/>
          <w:lang w:val="zh-CN"/>
        </w:rPr>
        <w:t>、今后几年</w:t>
      </w:r>
      <w:r w:rsidRPr="000A5B5D">
        <w:rPr>
          <w:rFonts w:asciiTheme="minorEastAsia" w:eastAsiaTheme="minorEastAsia" w:hAnsiTheme="minorEastAsia"/>
          <w:kern w:val="0"/>
          <w:sz w:val="24"/>
          <w:szCs w:val="24"/>
          <w:lang w:val="zh-CN"/>
        </w:rPr>
        <w:t>PX</w:t>
      </w:r>
      <w:r w:rsidRPr="000A5B5D">
        <w:rPr>
          <w:rFonts w:asciiTheme="minorEastAsia" w:eastAsiaTheme="minorEastAsia" w:hAnsiTheme="minorEastAsia" w:cs="宋体" w:hint="eastAsia"/>
          <w:kern w:val="0"/>
          <w:sz w:val="24"/>
          <w:szCs w:val="24"/>
          <w:lang w:val="zh-CN"/>
        </w:rPr>
        <w:t>产能继续较快增长，这将进一步缓解</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原料供应瓶颈，有利于</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毛利率的提升；</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3</w:t>
      </w:r>
      <w:r w:rsidRPr="000A5B5D">
        <w:rPr>
          <w:rFonts w:asciiTheme="minorEastAsia" w:eastAsiaTheme="minorEastAsia" w:hAnsiTheme="minorEastAsia" w:cs="宋体" w:hint="eastAsia"/>
          <w:kern w:val="0"/>
          <w:sz w:val="24"/>
          <w:szCs w:val="24"/>
          <w:lang w:val="zh-CN"/>
        </w:rPr>
        <w:t>、</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自身行业格局变化，落后产能淘汰、无效产能退出、不良资产处置，产业集中度在增强，企业话语权增强；</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4</w:t>
      </w:r>
      <w:r w:rsidRPr="000A5B5D">
        <w:rPr>
          <w:rFonts w:asciiTheme="minorEastAsia" w:eastAsiaTheme="minorEastAsia" w:hAnsiTheme="minorEastAsia" w:cs="宋体" w:hint="eastAsia"/>
          <w:kern w:val="0"/>
          <w:sz w:val="24"/>
          <w:szCs w:val="24"/>
          <w:lang w:val="zh-CN"/>
        </w:rPr>
        <w:t>、原油价格处于相对低位，有利化工行业的后续发展。</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展望未来，随着中国民营企业进入炼化企业步伐的加快，</w:t>
      </w:r>
      <w:r w:rsidRPr="000A5B5D">
        <w:rPr>
          <w:rFonts w:asciiTheme="minorEastAsia" w:eastAsiaTheme="minorEastAsia" w:hAnsiTheme="minorEastAsia"/>
          <w:kern w:val="0"/>
          <w:sz w:val="24"/>
          <w:szCs w:val="24"/>
          <w:lang w:val="zh-CN"/>
        </w:rPr>
        <w:t>PX-PTA-</w:t>
      </w:r>
      <w:r w:rsidRPr="000A5B5D">
        <w:rPr>
          <w:rFonts w:asciiTheme="minorEastAsia" w:eastAsiaTheme="minorEastAsia" w:hAnsiTheme="minorEastAsia" w:cs="宋体" w:hint="eastAsia"/>
          <w:kern w:val="0"/>
          <w:sz w:val="24"/>
          <w:szCs w:val="24"/>
          <w:lang w:val="zh-CN"/>
        </w:rPr>
        <w:t>涤纶产业和苯</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己内酰胺</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锦纶产业将从过去进口替代型、不均衡发展格局逐步转为全球化经营、上下游均衡发展的格局，只有具有领先优势并能敏锐捕捉大趋势的企业，抓住投资机遇，适时调整产业结构、发展方向和市场定位，不断提高自身的竞争力，从而赢得更加高效、可持续的发展前景。</w:t>
      </w:r>
    </w:p>
    <w:p w:rsidR="00BC4D56" w:rsidRPr="000A5B5D" w:rsidRDefault="00BC4D56" w:rsidP="002D1437">
      <w:pPr>
        <w:autoSpaceDE w:val="0"/>
        <w:autoSpaceDN w:val="0"/>
        <w:adjustRightInd w:val="0"/>
        <w:spacing w:before="0" w:after="0" w:line="360" w:lineRule="auto"/>
        <w:rPr>
          <w:rFonts w:asciiTheme="minorEastAsia" w:eastAsiaTheme="minorEastAsia" w:hAnsiTheme="minorEastAsia"/>
          <w:b/>
          <w:kern w:val="0"/>
          <w:sz w:val="24"/>
          <w:szCs w:val="24"/>
          <w:lang w:val="zh-CN"/>
        </w:rPr>
      </w:pPr>
      <w:r w:rsidRPr="000A5B5D">
        <w:rPr>
          <w:rFonts w:asciiTheme="minorEastAsia" w:eastAsiaTheme="minorEastAsia" w:hAnsiTheme="minorEastAsia" w:cs="宋体" w:hint="eastAsia"/>
          <w:b/>
          <w:kern w:val="0"/>
          <w:sz w:val="24"/>
          <w:szCs w:val="24"/>
          <w:lang w:val="zh-CN"/>
        </w:rPr>
        <w:t>（二）公司发展战略</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年，公司将继续坚持巩固、突出和提升主营业务的核心竞争力，做大、做强石化化纤产业链，探索</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石化</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金融</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双轮发展模式，不断提升企业的综合竞争；持续推动经营方式的创新，深度挖掘行业发展机遇，牢牢巩固和提升现有产业的领先优势，利用现有积累的资</w:t>
      </w:r>
      <w:r w:rsidRPr="000A5B5D">
        <w:rPr>
          <w:rFonts w:asciiTheme="minorEastAsia" w:eastAsiaTheme="minorEastAsia" w:hAnsiTheme="minorEastAsia" w:cs="宋体" w:hint="eastAsia"/>
          <w:kern w:val="0"/>
          <w:sz w:val="24"/>
          <w:szCs w:val="24"/>
          <w:lang w:val="zh-CN"/>
        </w:rPr>
        <w:lastRenderedPageBreak/>
        <w:t>源优势探索发展供应链金融；同时，横向拓展不同产业链发展，增强己内酰胺</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锦纶产业链竞争优势，积极向上游延伸产业链空间，逐步形成上下游炼化一体化产业格局，建设成为国内领先、国际一流的石化企业。</w:t>
      </w:r>
    </w:p>
    <w:p w:rsidR="00BC4D56" w:rsidRPr="000A5B5D" w:rsidRDefault="00BC4D56" w:rsidP="002D1437">
      <w:pPr>
        <w:autoSpaceDE w:val="0"/>
        <w:autoSpaceDN w:val="0"/>
        <w:adjustRightInd w:val="0"/>
        <w:spacing w:before="0" w:after="0" w:line="360" w:lineRule="auto"/>
        <w:rPr>
          <w:rFonts w:asciiTheme="minorEastAsia" w:eastAsiaTheme="minorEastAsia" w:hAnsiTheme="minorEastAsia"/>
          <w:b/>
          <w:kern w:val="0"/>
          <w:sz w:val="24"/>
          <w:szCs w:val="24"/>
          <w:lang w:val="zh-CN"/>
        </w:rPr>
      </w:pPr>
      <w:r w:rsidRPr="000A5B5D">
        <w:rPr>
          <w:rFonts w:asciiTheme="minorEastAsia" w:eastAsiaTheme="minorEastAsia" w:hAnsiTheme="minorEastAsia" w:cs="宋体" w:hint="eastAsia"/>
          <w:b/>
          <w:kern w:val="0"/>
          <w:sz w:val="24"/>
          <w:szCs w:val="24"/>
          <w:lang w:val="zh-CN"/>
        </w:rPr>
        <w:t>（三）</w:t>
      </w:r>
      <w:r w:rsidRPr="000A5B5D">
        <w:rPr>
          <w:rFonts w:asciiTheme="minorEastAsia" w:eastAsiaTheme="minorEastAsia" w:hAnsiTheme="minorEastAsia"/>
          <w:b/>
          <w:kern w:val="0"/>
          <w:sz w:val="24"/>
          <w:szCs w:val="24"/>
          <w:lang w:val="zh-CN"/>
        </w:rPr>
        <w:t>2016</w:t>
      </w:r>
      <w:r w:rsidRPr="000A5B5D">
        <w:rPr>
          <w:rFonts w:asciiTheme="minorEastAsia" w:eastAsiaTheme="minorEastAsia" w:hAnsiTheme="minorEastAsia" w:cs="宋体" w:hint="eastAsia"/>
          <w:b/>
          <w:kern w:val="0"/>
          <w:sz w:val="24"/>
          <w:szCs w:val="24"/>
          <w:lang w:val="zh-CN"/>
        </w:rPr>
        <w:t>年经营思路和目标</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年，公司董事会和管理层将积极利用宏观环境和行业出现的有利变化，积极顺应国家</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一带一路</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供给侧改革等改革政策，充分利用原油价格企稳带来的正向运行效应，引领市场发展趋势，有效开拓国内外市场新格局，同时继续在实践中坚持、探索与完善行之有效的思路和做法，运用改革创新思维，推动公司稳定生产、创新经营和协调发展，具体思路和目标如下：</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1</w:t>
      </w:r>
      <w:r w:rsidRPr="000A5B5D">
        <w:rPr>
          <w:rFonts w:asciiTheme="minorEastAsia" w:eastAsiaTheme="minorEastAsia" w:hAnsiTheme="minorEastAsia" w:cs="宋体" w:hint="eastAsia"/>
          <w:b/>
          <w:kern w:val="0"/>
          <w:sz w:val="24"/>
          <w:szCs w:val="24"/>
          <w:lang w:val="zh-CN"/>
        </w:rPr>
        <w:t>、加快推进文莱项目的建设</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年是文莱</w:t>
      </w:r>
      <w:r w:rsidRPr="000A5B5D">
        <w:rPr>
          <w:rFonts w:asciiTheme="minorEastAsia" w:eastAsiaTheme="minorEastAsia" w:hAnsiTheme="minorEastAsia"/>
          <w:kern w:val="0"/>
          <w:sz w:val="24"/>
          <w:szCs w:val="24"/>
          <w:lang w:val="zh-CN"/>
        </w:rPr>
        <w:t>PMB</w:t>
      </w:r>
      <w:r w:rsidRPr="000A5B5D">
        <w:rPr>
          <w:rFonts w:asciiTheme="minorEastAsia" w:eastAsiaTheme="minorEastAsia" w:hAnsiTheme="minorEastAsia" w:cs="宋体" w:hint="eastAsia"/>
          <w:kern w:val="0"/>
          <w:sz w:val="24"/>
          <w:szCs w:val="24"/>
          <w:lang w:val="zh-CN"/>
        </w:rPr>
        <w:t>石油化工项目推进的关键年，公司继续加快推进项目的实施、建设，重点推进项目的设计、施工、采购、融资以及公用工程配套建设等关键事项。未来，公司将借力</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一带一路</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的政策东风，抓住投资成本大幅下降的有利时机，加快推进项目投资与建设，力争让项目尽早投产见效。</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文莱项目石油化工项目的建设标志着公司跨出国门，走向世界的重要里程碑。项目投产后，公司将有效突破原料瓶颈，实现</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产业链一体化</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战略布局，显著提高整体盈利能力和风险抵御能力。公司将把该项目打造成全球新型炼厂的典范。</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2</w:t>
      </w:r>
      <w:r w:rsidRPr="000A5B5D">
        <w:rPr>
          <w:rFonts w:asciiTheme="minorEastAsia" w:eastAsiaTheme="minorEastAsia" w:hAnsiTheme="minorEastAsia" w:cs="宋体" w:hint="eastAsia"/>
          <w:b/>
          <w:kern w:val="0"/>
          <w:sz w:val="24"/>
          <w:szCs w:val="24"/>
          <w:lang w:val="zh-CN"/>
        </w:rPr>
        <w:t>、抓住供给侧改革的机遇，提升产能运行效率和发展先进产能</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年，公司将抓住国家供给侧改革战略的机遇期，积极推动大规模装置技术的应用，实施国产化装备制造的升级工程，持续推动企业节能减排技术的研发，引领</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行业创新发展。同时，</w:t>
      </w:r>
      <w:r w:rsidRPr="000A5B5D">
        <w:rPr>
          <w:rFonts w:asciiTheme="minorEastAsia" w:eastAsiaTheme="minorEastAsia" w:hAnsiTheme="minorEastAsia"/>
          <w:kern w:val="0"/>
          <w:sz w:val="24"/>
          <w:szCs w:val="24"/>
          <w:lang w:val="zh-CN"/>
        </w:rPr>
        <w:t xml:space="preserve"> </w:t>
      </w:r>
      <w:r w:rsidRPr="000A5B5D">
        <w:rPr>
          <w:rFonts w:asciiTheme="minorEastAsia" w:eastAsiaTheme="minorEastAsia" w:hAnsiTheme="minorEastAsia" w:cs="宋体" w:hint="eastAsia"/>
          <w:kern w:val="0"/>
          <w:sz w:val="24"/>
          <w:szCs w:val="24"/>
          <w:lang w:val="zh-CN"/>
        </w:rPr>
        <w:t>以提升产能运行效率和发展先进产能为中心，并购、整合、优化聚酯纤维业务结构，全面推进化纤产品技术创新，重点研究细分市场，通过提高自动化程度、开发功能性产品、提供个性化服务等方法，并不断提升核心技术水平和管理水平，力争实现以产品创新、技术创新为基础的全新增长模式。</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3</w:t>
      </w:r>
      <w:r w:rsidRPr="000A5B5D">
        <w:rPr>
          <w:rFonts w:asciiTheme="minorEastAsia" w:eastAsiaTheme="minorEastAsia" w:hAnsiTheme="minorEastAsia" w:cs="宋体" w:hint="eastAsia"/>
          <w:b/>
          <w:kern w:val="0"/>
          <w:sz w:val="24"/>
          <w:szCs w:val="24"/>
          <w:lang w:val="zh-CN"/>
        </w:rPr>
        <w:t>、深度挖掘产业链资源优势，提升一体化综合盈利能力</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b/>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年，公司将围绕产品市场特点，对</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w:t>
      </w:r>
      <w:r w:rsidRPr="000A5B5D">
        <w:rPr>
          <w:rFonts w:asciiTheme="minorEastAsia" w:eastAsiaTheme="minorEastAsia" w:hAnsiTheme="minorEastAsia"/>
          <w:kern w:val="0"/>
          <w:sz w:val="24"/>
          <w:szCs w:val="24"/>
          <w:lang w:val="zh-CN"/>
        </w:rPr>
        <w:t>CPL</w:t>
      </w:r>
      <w:r w:rsidRPr="000A5B5D">
        <w:rPr>
          <w:rFonts w:asciiTheme="minorEastAsia" w:eastAsiaTheme="minorEastAsia" w:hAnsiTheme="minorEastAsia" w:cs="宋体" w:hint="eastAsia"/>
          <w:kern w:val="0"/>
          <w:sz w:val="24"/>
          <w:szCs w:val="24"/>
          <w:lang w:val="zh-CN"/>
        </w:rPr>
        <w:t>、瓶片等单一产品采取成本管控、经营创新双结合的策略。一方面公司继续围绕</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提效益、降成本</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运营主线，苦练内功，不断增加节能减排技术应用，并结合内部节本增效手段，进一步降低运行成本，推动投资、生产和物流成本的持续下降，提升成本的领先优势。</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lastRenderedPageBreak/>
        <w:t>另一方面，以产业链优化为契机，公司继续做好经营创新，公司将继续深度挖掘产业链资源优势，形成快速的市场研判和信息反馈联动机制，统筹内部资源调度、产品结构优化与综合库存管控等工作，实现当期产销盈利与库存损益盈利的双增长。</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同时，通过创新定价模式优化营销方式，增加产品定价权。对聚酯纤维等具备差别化条件的产品，采取加大研发投入与优化产品结构向结合的方式，提高单品收益率，在整体价格处于历史地位的条件下，明确产品库存低位经营，综合库存相机而动的经营策略，提升一体化综合盈利能力。</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4</w:t>
      </w:r>
      <w:r w:rsidRPr="000A5B5D">
        <w:rPr>
          <w:rFonts w:asciiTheme="minorEastAsia" w:eastAsiaTheme="minorEastAsia" w:hAnsiTheme="minorEastAsia" w:cs="宋体" w:hint="eastAsia"/>
          <w:b/>
          <w:kern w:val="0"/>
          <w:sz w:val="24"/>
          <w:szCs w:val="24"/>
          <w:lang w:val="zh-CN"/>
        </w:rPr>
        <w:t>、推动工业智能化应用，实现生产自动化与经营数据化</w:t>
      </w:r>
    </w:p>
    <w:p w:rsidR="00BC4D56" w:rsidRPr="000A5B5D" w:rsidRDefault="00BC4D56" w:rsidP="002D1437">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落实工业智能化项目实施，促进公司产业的智能化发展。首先，实施机器换人工程，优化工艺流程，降低用工成本。第二，创新品质管控模式，增加在线数据采集与数据积累，建立数据分析模型，指导现场管理。第三，尝试互联网营销业务，建立互动的网络沟通平台，打造</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大众创业、万众创新</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的产业交流社区。第四，优化内部数据分析决策系统，实现生产、经营、客户等数据多维度对比分析与实时展示，提高经营决策效率。</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5</w:t>
      </w:r>
      <w:r w:rsidRPr="000A5B5D">
        <w:rPr>
          <w:rFonts w:asciiTheme="minorEastAsia" w:eastAsiaTheme="minorEastAsia" w:hAnsiTheme="minorEastAsia" w:cs="宋体" w:hint="eastAsia"/>
          <w:b/>
          <w:kern w:val="0"/>
          <w:sz w:val="24"/>
          <w:szCs w:val="24"/>
          <w:lang w:val="zh-CN"/>
        </w:rPr>
        <w:t>、利用供应链金融提升公司产业链价值</w:t>
      </w:r>
    </w:p>
    <w:p w:rsidR="00BC4D56" w:rsidRPr="000A5B5D" w:rsidRDefault="00BC4D56" w:rsidP="002D1437">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年，公司将借助浙商银行成功登陆</w:t>
      </w:r>
      <w:r w:rsidRPr="000A5B5D">
        <w:rPr>
          <w:rFonts w:asciiTheme="minorEastAsia" w:eastAsiaTheme="minorEastAsia" w:hAnsiTheme="minorEastAsia"/>
          <w:kern w:val="0"/>
          <w:sz w:val="24"/>
          <w:szCs w:val="24"/>
          <w:lang w:val="zh-CN"/>
        </w:rPr>
        <w:t>H</w:t>
      </w:r>
      <w:r w:rsidRPr="000A5B5D">
        <w:rPr>
          <w:rFonts w:asciiTheme="minorEastAsia" w:eastAsiaTheme="minorEastAsia" w:hAnsiTheme="minorEastAsia" w:cs="宋体" w:hint="eastAsia"/>
          <w:kern w:val="0"/>
          <w:sz w:val="24"/>
          <w:szCs w:val="24"/>
          <w:lang w:val="zh-CN"/>
        </w:rPr>
        <w:t>股市场的机遇期，利用在石化化纤产业链积累的资源优势，充分借助互联网技术和平台战略，深度挖掘供应链体系，利用供应链金融提升公司产业链价值。</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6</w:t>
      </w:r>
      <w:r w:rsidRPr="000A5B5D">
        <w:rPr>
          <w:rFonts w:asciiTheme="minorEastAsia" w:eastAsiaTheme="minorEastAsia" w:hAnsiTheme="minorEastAsia" w:cs="宋体" w:hint="eastAsia"/>
          <w:b/>
          <w:kern w:val="0"/>
          <w:sz w:val="24"/>
          <w:szCs w:val="24"/>
          <w:lang w:val="zh-CN"/>
        </w:rPr>
        <w:t>、持续优化资本结构，增强公司持续健康发展实力</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公司股东会</w:t>
      </w: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w:t>
      </w:r>
      <w:r w:rsidRPr="000A5B5D">
        <w:rPr>
          <w:rFonts w:asciiTheme="minorEastAsia" w:eastAsiaTheme="minorEastAsia" w:hAnsiTheme="minorEastAsia"/>
          <w:kern w:val="0"/>
          <w:sz w:val="24"/>
          <w:szCs w:val="24"/>
          <w:lang w:val="zh-CN"/>
        </w:rPr>
        <w:t>12</w:t>
      </w:r>
      <w:r w:rsidRPr="000A5B5D">
        <w:rPr>
          <w:rFonts w:asciiTheme="minorEastAsia" w:eastAsiaTheme="minorEastAsia" w:hAnsiTheme="minorEastAsia" w:cs="宋体" w:hint="eastAsia"/>
          <w:kern w:val="0"/>
          <w:sz w:val="24"/>
          <w:szCs w:val="24"/>
          <w:lang w:val="zh-CN"/>
        </w:rPr>
        <w:t>月</w:t>
      </w:r>
      <w:r w:rsidRPr="000A5B5D">
        <w:rPr>
          <w:rFonts w:asciiTheme="minorEastAsia" w:eastAsiaTheme="minorEastAsia" w:hAnsiTheme="minorEastAsia"/>
          <w:kern w:val="0"/>
          <w:sz w:val="24"/>
          <w:szCs w:val="24"/>
          <w:lang w:val="zh-CN"/>
        </w:rPr>
        <w:t>4</w:t>
      </w:r>
      <w:r w:rsidRPr="000A5B5D">
        <w:rPr>
          <w:rFonts w:asciiTheme="minorEastAsia" w:eastAsiaTheme="minorEastAsia" w:hAnsiTheme="minorEastAsia" w:cs="宋体" w:hint="eastAsia"/>
          <w:kern w:val="0"/>
          <w:sz w:val="24"/>
          <w:szCs w:val="24"/>
          <w:lang w:val="zh-CN"/>
        </w:rPr>
        <w:t>日审议通过了《关于</w:t>
      </w:r>
      <w:r w:rsidRPr="000A5B5D">
        <w:rPr>
          <w:rFonts w:asciiTheme="minorEastAsia" w:eastAsiaTheme="minorEastAsia" w:hAnsiTheme="minorEastAsia"/>
          <w:kern w:val="0"/>
          <w:sz w:val="24"/>
          <w:szCs w:val="24"/>
          <w:lang w:val="zh-CN"/>
        </w:rPr>
        <w:t>&lt;</w:t>
      </w:r>
      <w:r w:rsidRPr="000A5B5D">
        <w:rPr>
          <w:rFonts w:asciiTheme="minorEastAsia" w:eastAsiaTheme="minorEastAsia" w:hAnsiTheme="minorEastAsia" w:cs="宋体" w:hint="eastAsia"/>
          <w:kern w:val="0"/>
          <w:sz w:val="24"/>
          <w:szCs w:val="24"/>
          <w:lang w:val="zh-CN"/>
        </w:rPr>
        <w:t>恒逸石化股份有限公司</w:t>
      </w:r>
      <w:r w:rsidRPr="000A5B5D">
        <w:rPr>
          <w:rFonts w:asciiTheme="minorEastAsia" w:eastAsiaTheme="minorEastAsia" w:hAnsiTheme="minorEastAsia"/>
          <w:kern w:val="0"/>
          <w:sz w:val="24"/>
          <w:szCs w:val="24"/>
          <w:lang w:val="zh-CN"/>
        </w:rPr>
        <w:t xml:space="preserve">2015 </w:t>
      </w:r>
      <w:r w:rsidRPr="000A5B5D">
        <w:rPr>
          <w:rFonts w:asciiTheme="minorEastAsia" w:eastAsiaTheme="minorEastAsia" w:hAnsiTheme="minorEastAsia" w:cs="宋体" w:hint="eastAsia"/>
          <w:kern w:val="0"/>
          <w:sz w:val="24"/>
          <w:szCs w:val="24"/>
          <w:lang w:val="zh-CN"/>
        </w:rPr>
        <w:t>年度非公开发行</w:t>
      </w:r>
      <w:r w:rsidRPr="000A5B5D">
        <w:rPr>
          <w:rFonts w:asciiTheme="minorEastAsia" w:eastAsiaTheme="minorEastAsia" w:hAnsiTheme="minorEastAsia"/>
          <w:kern w:val="0"/>
          <w:sz w:val="24"/>
          <w:szCs w:val="24"/>
          <w:lang w:val="zh-CN"/>
        </w:rPr>
        <w:t>A</w:t>
      </w:r>
      <w:r w:rsidRPr="000A5B5D">
        <w:rPr>
          <w:rFonts w:asciiTheme="minorEastAsia" w:eastAsiaTheme="minorEastAsia" w:hAnsiTheme="minorEastAsia" w:cs="宋体" w:hint="eastAsia"/>
          <w:kern w:val="0"/>
          <w:sz w:val="24"/>
          <w:szCs w:val="24"/>
          <w:lang w:val="zh-CN"/>
        </w:rPr>
        <w:t>股股票预案（修订稿）</w:t>
      </w:r>
      <w:r w:rsidRPr="000A5B5D">
        <w:rPr>
          <w:rFonts w:asciiTheme="minorEastAsia" w:eastAsiaTheme="minorEastAsia" w:hAnsiTheme="minorEastAsia"/>
          <w:kern w:val="0"/>
          <w:sz w:val="24"/>
          <w:szCs w:val="24"/>
          <w:lang w:val="zh-CN"/>
        </w:rPr>
        <w:t>&gt;</w:t>
      </w:r>
      <w:r w:rsidRPr="000A5B5D">
        <w:rPr>
          <w:rFonts w:asciiTheme="minorEastAsia" w:eastAsiaTheme="minorEastAsia" w:hAnsiTheme="minorEastAsia" w:cs="宋体" w:hint="eastAsia"/>
          <w:kern w:val="0"/>
          <w:sz w:val="24"/>
          <w:szCs w:val="24"/>
          <w:lang w:val="zh-CN"/>
        </w:rPr>
        <w:t>的议案》等议案，拟不低于</w:t>
      </w:r>
      <w:r w:rsidRPr="000A5B5D">
        <w:rPr>
          <w:rFonts w:asciiTheme="minorEastAsia" w:eastAsiaTheme="minorEastAsia" w:hAnsiTheme="minorEastAsia"/>
          <w:kern w:val="0"/>
          <w:sz w:val="24"/>
          <w:szCs w:val="24"/>
          <w:lang w:val="zh-CN"/>
        </w:rPr>
        <w:t>9.65</w:t>
      </w:r>
      <w:r w:rsidRPr="000A5B5D">
        <w:rPr>
          <w:rFonts w:asciiTheme="minorEastAsia" w:eastAsiaTheme="minorEastAsia" w:hAnsiTheme="minorEastAsia" w:cs="宋体" w:hint="eastAsia"/>
          <w:kern w:val="0"/>
          <w:sz w:val="24"/>
          <w:szCs w:val="24"/>
          <w:lang w:val="zh-CN"/>
        </w:rPr>
        <w:t>元</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股，发行不超过</w:t>
      </w:r>
      <w:r w:rsidRPr="000A5B5D">
        <w:rPr>
          <w:rFonts w:asciiTheme="minorEastAsia" w:eastAsiaTheme="minorEastAsia" w:hAnsiTheme="minorEastAsia"/>
          <w:kern w:val="0"/>
          <w:sz w:val="24"/>
          <w:szCs w:val="24"/>
          <w:lang w:val="zh-CN"/>
        </w:rPr>
        <w:t>393,782,383</w:t>
      </w:r>
      <w:r w:rsidRPr="000A5B5D">
        <w:rPr>
          <w:rFonts w:asciiTheme="minorEastAsia" w:eastAsiaTheme="minorEastAsia" w:hAnsiTheme="minorEastAsia" w:cs="宋体" w:hint="eastAsia"/>
          <w:kern w:val="0"/>
          <w:sz w:val="24"/>
          <w:szCs w:val="24"/>
          <w:lang w:val="zh-CN"/>
        </w:rPr>
        <w:t>股，募集资金总额</w:t>
      </w:r>
      <w:r w:rsidRPr="000A5B5D">
        <w:rPr>
          <w:rFonts w:asciiTheme="minorEastAsia" w:eastAsiaTheme="minorEastAsia" w:hAnsiTheme="minorEastAsia"/>
          <w:kern w:val="0"/>
          <w:sz w:val="24"/>
          <w:szCs w:val="24"/>
          <w:lang w:val="zh-CN"/>
        </w:rPr>
        <w:t>38</w:t>
      </w:r>
      <w:r w:rsidRPr="000A5B5D">
        <w:rPr>
          <w:rFonts w:asciiTheme="minorEastAsia" w:eastAsiaTheme="minorEastAsia" w:hAnsiTheme="minorEastAsia" w:cs="宋体" w:hint="eastAsia"/>
          <w:kern w:val="0"/>
          <w:sz w:val="24"/>
          <w:szCs w:val="24"/>
          <w:lang w:val="zh-CN"/>
        </w:rPr>
        <w:t>亿元，全部用于投资文莱</w:t>
      </w:r>
      <w:r w:rsidRPr="000A5B5D">
        <w:rPr>
          <w:rFonts w:asciiTheme="minorEastAsia" w:eastAsiaTheme="minorEastAsia" w:hAnsiTheme="minorEastAsia"/>
          <w:kern w:val="0"/>
          <w:sz w:val="24"/>
          <w:szCs w:val="24"/>
          <w:lang w:val="zh-CN"/>
        </w:rPr>
        <w:t>PMB</w:t>
      </w:r>
      <w:r w:rsidRPr="000A5B5D">
        <w:rPr>
          <w:rFonts w:asciiTheme="minorEastAsia" w:eastAsiaTheme="minorEastAsia" w:hAnsiTheme="minorEastAsia" w:cs="宋体" w:hint="eastAsia"/>
          <w:kern w:val="0"/>
          <w:sz w:val="24"/>
          <w:szCs w:val="24"/>
          <w:lang w:val="zh-CN"/>
        </w:rPr>
        <w:t>石油化工项目；</w:t>
      </w:r>
      <w:r w:rsidRPr="000A5B5D">
        <w:rPr>
          <w:rFonts w:asciiTheme="minorEastAsia" w:eastAsiaTheme="minorEastAsia" w:hAnsiTheme="minorEastAsia"/>
          <w:kern w:val="0"/>
          <w:sz w:val="24"/>
          <w:szCs w:val="24"/>
          <w:lang w:val="zh-CN"/>
        </w:rPr>
        <w:t>4</w:t>
      </w:r>
      <w:r w:rsidRPr="000A5B5D">
        <w:rPr>
          <w:rFonts w:asciiTheme="minorEastAsia" w:eastAsiaTheme="minorEastAsia" w:hAnsiTheme="minorEastAsia" w:cs="宋体" w:hint="eastAsia"/>
          <w:kern w:val="0"/>
          <w:sz w:val="24"/>
          <w:szCs w:val="24"/>
          <w:lang w:val="zh-CN"/>
        </w:rPr>
        <w:t>月</w:t>
      </w:r>
      <w:r w:rsidRPr="000A5B5D">
        <w:rPr>
          <w:rFonts w:asciiTheme="minorEastAsia" w:eastAsiaTheme="minorEastAsia" w:hAnsiTheme="minorEastAsia"/>
          <w:kern w:val="0"/>
          <w:sz w:val="24"/>
          <w:szCs w:val="24"/>
          <w:lang w:val="zh-CN"/>
        </w:rPr>
        <w:t>15</w:t>
      </w:r>
      <w:r w:rsidRPr="000A5B5D">
        <w:rPr>
          <w:rFonts w:asciiTheme="minorEastAsia" w:eastAsiaTheme="minorEastAsia" w:hAnsiTheme="minorEastAsia" w:cs="宋体" w:hint="eastAsia"/>
          <w:kern w:val="0"/>
          <w:sz w:val="24"/>
          <w:szCs w:val="24"/>
          <w:lang w:val="zh-CN"/>
        </w:rPr>
        <w:t>日本次非公开发行事项已通过中国证监会发审委审核通过。</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年，公司将全力推进</w:t>
      </w:r>
      <w:r w:rsidRPr="000A5B5D">
        <w:rPr>
          <w:rFonts w:asciiTheme="minorEastAsia" w:eastAsiaTheme="minorEastAsia" w:hAnsiTheme="minorEastAsia"/>
          <w:kern w:val="0"/>
          <w:sz w:val="24"/>
          <w:szCs w:val="24"/>
          <w:lang w:val="zh-CN"/>
        </w:rPr>
        <w:t>38</w:t>
      </w:r>
      <w:r w:rsidRPr="000A5B5D">
        <w:rPr>
          <w:rFonts w:asciiTheme="minorEastAsia" w:eastAsiaTheme="minorEastAsia" w:hAnsiTheme="minorEastAsia" w:cs="宋体" w:hint="eastAsia"/>
          <w:kern w:val="0"/>
          <w:sz w:val="24"/>
          <w:szCs w:val="24"/>
          <w:lang w:val="zh-CN"/>
        </w:rPr>
        <w:t>亿元非公开发行的顺利完成，发行完成后，资本实力将显著增强，资本结构得到进一步优化，增强公司持续健康发展实力；同时，保障文莱炼化项目加快投资建设，早日实现文莱炼化项目投产见效。</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7</w:t>
      </w:r>
      <w:r w:rsidRPr="000A5B5D">
        <w:rPr>
          <w:rFonts w:asciiTheme="minorEastAsia" w:eastAsiaTheme="minorEastAsia" w:hAnsiTheme="minorEastAsia" w:cs="宋体" w:hint="eastAsia"/>
          <w:b/>
          <w:kern w:val="0"/>
          <w:sz w:val="24"/>
          <w:szCs w:val="24"/>
          <w:lang w:val="zh-CN"/>
        </w:rPr>
        <w:t>、实施组织变革创新，激发员工工作的创造性</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度，公司准备实施组织变革创新，持续推进管理职能优化，持续提升公司董事会、内控体系等治理结构的有效性。一是进一步解放思想，以市场化融合为导向，持续推进组织变革创新，明确各生产主体及盈利中心工作职责与目标，通过创新的绩效管理制度，调动全</w:t>
      </w:r>
      <w:r w:rsidRPr="000A5B5D">
        <w:rPr>
          <w:rFonts w:asciiTheme="minorEastAsia" w:eastAsiaTheme="minorEastAsia" w:hAnsiTheme="minorEastAsia" w:cs="宋体" w:hint="eastAsia"/>
          <w:kern w:val="0"/>
          <w:sz w:val="24"/>
          <w:szCs w:val="24"/>
          <w:lang w:val="zh-CN"/>
        </w:rPr>
        <w:lastRenderedPageBreak/>
        <w:t>体恒逸员工工作积极性及创新动力。第二，突破现有人才管理框架，加大优秀人才引进力度；第三，进一步完善人才激励机制，持续推出人才激励措施，激发员工工作的创造性。</w:t>
      </w:r>
    </w:p>
    <w:p w:rsidR="00BC4D56" w:rsidRPr="000A5B5D" w:rsidRDefault="00BC4D56" w:rsidP="002D1437">
      <w:pPr>
        <w:autoSpaceDE w:val="0"/>
        <w:autoSpaceDN w:val="0"/>
        <w:adjustRightInd w:val="0"/>
        <w:spacing w:before="0" w:after="0" w:line="360" w:lineRule="auto"/>
        <w:rPr>
          <w:rFonts w:asciiTheme="minorEastAsia" w:eastAsiaTheme="minorEastAsia" w:hAnsiTheme="minorEastAsia"/>
          <w:b/>
          <w:kern w:val="0"/>
          <w:sz w:val="24"/>
          <w:szCs w:val="24"/>
          <w:lang w:val="zh-CN"/>
        </w:rPr>
      </w:pPr>
      <w:r w:rsidRPr="000A5B5D">
        <w:rPr>
          <w:rFonts w:asciiTheme="minorEastAsia" w:eastAsiaTheme="minorEastAsia" w:hAnsiTheme="minorEastAsia" w:cs="宋体" w:hint="eastAsia"/>
          <w:b/>
          <w:kern w:val="0"/>
          <w:sz w:val="24"/>
          <w:szCs w:val="24"/>
          <w:lang w:val="zh-CN"/>
        </w:rPr>
        <w:t>（四）面临的风险与对策</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1</w:t>
      </w:r>
      <w:r w:rsidRPr="000A5B5D">
        <w:rPr>
          <w:rFonts w:asciiTheme="minorEastAsia" w:eastAsiaTheme="minorEastAsia" w:hAnsiTheme="minorEastAsia" w:cs="宋体" w:hint="eastAsia"/>
          <w:b/>
          <w:kern w:val="0"/>
          <w:sz w:val="24"/>
          <w:szCs w:val="24"/>
          <w:lang w:val="zh-CN"/>
        </w:rPr>
        <w:t>、宏观经济风险</w:t>
      </w:r>
    </w:p>
    <w:p w:rsidR="00BC4D56" w:rsidRPr="000A5B5D" w:rsidRDefault="00BC4D56" w:rsidP="002D1437">
      <w:pPr>
        <w:autoSpaceDE w:val="0"/>
        <w:autoSpaceDN w:val="0"/>
        <w:adjustRightInd w:val="0"/>
        <w:spacing w:before="0" w:after="0" w:line="360" w:lineRule="auto"/>
        <w:ind w:firstLine="480"/>
        <w:jc w:val="left"/>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公司所从事业务为石化化纤产品的生产和销售，石化化纤行业与世界经济及我国经济的发展状况息息相关，也是一个与国计民生息息相关的产业，涵盖了人们生活的衣食住行，其产品价格和销售受宏观经济波动和政策变化等因素的影响。随着经济全球化、金融市场波动的加速，国家宏观调控和世界经济的周期性波动对行业发展会产生影响，如果未来经济增长放慢或出现衰退，将直接对公司业务、经营业绩及财务状况产生影响。</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面对全球经济复苏缓慢的局面，公司将继续加快上游产业链延伸，构建更加完善的全产业链经营格局；同时，坚持以市场需求为导向，优化产品结构，统筹优化全球化销售网络布局，逐步实现全产业链、全球化的均衡发展格局，提升公司整体抗风险能力。</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2</w:t>
      </w:r>
      <w:r w:rsidRPr="000A5B5D">
        <w:rPr>
          <w:rFonts w:asciiTheme="minorEastAsia" w:eastAsiaTheme="minorEastAsia" w:hAnsiTheme="minorEastAsia" w:cs="宋体" w:hint="eastAsia"/>
          <w:b/>
          <w:kern w:val="0"/>
          <w:sz w:val="24"/>
          <w:szCs w:val="24"/>
          <w:lang w:val="zh-CN"/>
        </w:rPr>
        <w:t>、安全生产风险</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公司</w:t>
      </w:r>
      <w:r w:rsidRPr="000A5B5D">
        <w:rPr>
          <w:rFonts w:asciiTheme="minorEastAsia" w:eastAsiaTheme="minorEastAsia" w:hAnsiTheme="minorEastAsia"/>
          <w:kern w:val="0"/>
          <w:sz w:val="24"/>
          <w:szCs w:val="24"/>
          <w:lang w:val="zh-CN"/>
        </w:rPr>
        <w:t>PTA/CPL/PET</w:t>
      </w:r>
      <w:r w:rsidRPr="000A5B5D">
        <w:rPr>
          <w:rFonts w:asciiTheme="minorEastAsia" w:eastAsiaTheme="minorEastAsia" w:hAnsiTheme="minorEastAsia" w:cs="宋体" w:hint="eastAsia"/>
          <w:kern w:val="0"/>
          <w:sz w:val="24"/>
          <w:szCs w:val="24"/>
          <w:lang w:val="zh-CN"/>
        </w:rPr>
        <w:t>装置是典型的大型化工装置，反应条件苛刻，高温高压高腐蚀，易燃易爆易堵塞等不稳定因素而导致的安全生产风险。公司一直对安全生产常抓不懈，自生产主体运营以来未发生重大影响生产正常运转的安全生产事件，但是随着公司化工规模的扩大和产业链的延伸，如何防患安全事故的发生，将是未来经营管理工作的一大重任。</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公司为降低化工行业安全生产风险，从制度体系、科技支撑和安全培训等方面采取措施，进一步落实安全生产责任制，做好安全生产预防管理，实施</w:t>
      </w:r>
      <w:r w:rsidRPr="000A5B5D">
        <w:rPr>
          <w:rFonts w:asciiTheme="minorEastAsia" w:eastAsiaTheme="minorEastAsia" w:hAnsiTheme="minorEastAsia"/>
          <w:kern w:val="0"/>
          <w:sz w:val="24"/>
          <w:szCs w:val="24"/>
          <w:lang w:val="zh-CN"/>
        </w:rPr>
        <w:t>24</w:t>
      </w:r>
      <w:r w:rsidRPr="000A5B5D">
        <w:rPr>
          <w:rFonts w:asciiTheme="minorEastAsia" w:eastAsiaTheme="minorEastAsia" w:hAnsiTheme="minorEastAsia" w:cs="宋体" w:hint="eastAsia"/>
          <w:kern w:val="0"/>
          <w:sz w:val="24"/>
          <w:szCs w:val="24"/>
          <w:lang w:val="zh-CN"/>
        </w:rPr>
        <w:t>小时不间断监控，及时清除安全隐患，排除重大事故发生的一切可能性。</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3</w:t>
      </w:r>
      <w:r w:rsidRPr="000A5B5D">
        <w:rPr>
          <w:rFonts w:asciiTheme="minorEastAsia" w:eastAsiaTheme="minorEastAsia" w:hAnsiTheme="minorEastAsia" w:cs="宋体" w:hint="eastAsia"/>
          <w:b/>
          <w:kern w:val="0"/>
          <w:sz w:val="24"/>
          <w:szCs w:val="24"/>
          <w:lang w:val="zh-CN"/>
        </w:rPr>
        <w:t>、利率、汇率风险</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当前阶段，受全球金融体系不均衡发展、投机氛围持续活跃的影响，利率、汇率、市场等指标波动较大，这些指标的较大波动对公司的发展和正常运营产业一定影响。随着公司投资规模和收入规模的持续增长，公司过去几年持续资金结构安排，加强外债资金的利用，因此，未来美元加息和人民币汇率的贬值可能对公司产业影响。</w:t>
      </w:r>
    </w:p>
    <w:p w:rsidR="00BC4D56" w:rsidRPr="000A5B5D" w:rsidRDefault="00BC4D56" w:rsidP="002D1437">
      <w:pPr>
        <w:autoSpaceDE w:val="0"/>
        <w:autoSpaceDN w:val="0"/>
        <w:adjustRightInd w:val="0"/>
        <w:spacing w:line="360" w:lineRule="auto"/>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t>今后，公司继续优先通过经营及融资结构调整资金结构，逐步实现多币种资金安排。同时，建立起一套较完善的外汇风险管理机制，持续运用好经营、融资策略及外汇衍生品工具，这些举措将会降低汇率波动和利率波动风险。</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4</w:t>
      </w:r>
      <w:r w:rsidRPr="000A5B5D">
        <w:rPr>
          <w:rFonts w:asciiTheme="minorEastAsia" w:eastAsiaTheme="minorEastAsia" w:hAnsiTheme="minorEastAsia" w:cs="宋体" w:hint="eastAsia"/>
          <w:b/>
          <w:kern w:val="0"/>
          <w:sz w:val="24"/>
          <w:szCs w:val="24"/>
          <w:lang w:val="zh-CN"/>
        </w:rPr>
        <w:t>、资本市场风险</w:t>
      </w:r>
    </w:p>
    <w:p w:rsidR="00BC4D56" w:rsidRPr="000A5B5D" w:rsidRDefault="00BC4D56" w:rsidP="002D1437">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asciiTheme="minorEastAsia" w:eastAsiaTheme="minorEastAsia" w:hAnsiTheme="minorEastAsia" w:cs="宋体" w:hint="eastAsia"/>
          <w:kern w:val="0"/>
          <w:sz w:val="24"/>
          <w:szCs w:val="24"/>
          <w:lang w:val="zh-CN"/>
        </w:rPr>
        <w:lastRenderedPageBreak/>
        <w:t>公司作为</w:t>
      </w:r>
      <w:r w:rsidRPr="000A5B5D">
        <w:rPr>
          <w:rFonts w:asciiTheme="minorEastAsia" w:eastAsiaTheme="minorEastAsia" w:hAnsiTheme="minorEastAsia"/>
          <w:kern w:val="0"/>
          <w:sz w:val="24"/>
          <w:szCs w:val="24"/>
          <w:lang w:val="zh-CN"/>
        </w:rPr>
        <w:t>A</w:t>
      </w:r>
      <w:r w:rsidRPr="000A5B5D">
        <w:rPr>
          <w:rFonts w:asciiTheme="minorEastAsia" w:eastAsiaTheme="minorEastAsia" w:hAnsiTheme="minorEastAsia" w:cs="宋体" w:hint="eastAsia"/>
          <w:kern w:val="0"/>
          <w:sz w:val="24"/>
          <w:szCs w:val="24"/>
          <w:lang w:val="zh-CN"/>
        </w:rPr>
        <w:t>股上市公司以及参股浙商银行，充分利用资本市场和保护投资者权益将是今后一段时间的重点工作，因此资本市场风险会影响到公司非公开发行的成功实施，也会影响到投资者对公司的评价，进而影响股东价值。</w:t>
      </w: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年，公司将加强资本市场研究，以提升股东价值为目标持续推进市值管理，加强股东间的深度互动和合作，进而推进投资者对公司发展的支持。</w:t>
      </w:r>
    </w:p>
    <w:p w:rsidR="00BC4D56" w:rsidRPr="000A5B5D" w:rsidRDefault="00BC4D56" w:rsidP="002D1437">
      <w:pPr>
        <w:autoSpaceDE w:val="0"/>
        <w:autoSpaceDN w:val="0"/>
        <w:adjustRightInd w:val="0"/>
        <w:spacing w:before="0" w:after="0" w:line="360" w:lineRule="auto"/>
        <w:ind w:firstLine="482"/>
        <w:rPr>
          <w:rFonts w:asciiTheme="minorEastAsia" w:eastAsiaTheme="minorEastAsia" w:hAnsiTheme="minorEastAsia"/>
          <w:b/>
          <w:kern w:val="0"/>
          <w:sz w:val="24"/>
          <w:szCs w:val="24"/>
          <w:lang w:val="zh-CN"/>
        </w:rPr>
      </w:pPr>
      <w:r w:rsidRPr="000A5B5D">
        <w:rPr>
          <w:rFonts w:asciiTheme="minorEastAsia" w:eastAsiaTheme="minorEastAsia" w:hAnsiTheme="minorEastAsia"/>
          <w:b/>
          <w:kern w:val="0"/>
          <w:sz w:val="24"/>
          <w:szCs w:val="24"/>
          <w:lang w:val="zh-CN"/>
        </w:rPr>
        <w:t>5</w:t>
      </w:r>
      <w:r w:rsidRPr="000A5B5D">
        <w:rPr>
          <w:rFonts w:asciiTheme="minorEastAsia" w:eastAsiaTheme="minorEastAsia" w:hAnsiTheme="minorEastAsia" w:cs="宋体" w:hint="eastAsia"/>
          <w:b/>
          <w:kern w:val="0"/>
          <w:sz w:val="24"/>
          <w:szCs w:val="24"/>
          <w:lang w:val="zh-CN"/>
        </w:rPr>
        <w:t>、原油价格大幅波动的风险</w:t>
      </w:r>
    </w:p>
    <w:p w:rsidR="00BC4D56" w:rsidRPr="000A5B5D" w:rsidRDefault="00BC4D56" w:rsidP="002D1437">
      <w:pPr>
        <w:autoSpaceDE w:val="0"/>
        <w:autoSpaceDN w:val="0"/>
        <w:adjustRightInd w:val="0"/>
        <w:spacing w:before="0" w:after="0" w:line="360" w:lineRule="auto"/>
        <w:ind w:firstLine="480"/>
        <w:rPr>
          <w:rFonts w:eastAsia="Times New Roman"/>
          <w:b/>
          <w:kern w:val="0"/>
          <w:sz w:val="24"/>
          <w:szCs w:val="24"/>
          <w:lang w:val="zh-CN"/>
        </w:rPr>
      </w:pPr>
      <w:r w:rsidRPr="000A5B5D">
        <w:rPr>
          <w:rFonts w:asciiTheme="minorEastAsia" w:eastAsiaTheme="minorEastAsia" w:hAnsiTheme="minorEastAsia" w:cs="宋体" w:hint="eastAsia"/>
          <w:kern w:val="0"/>
          <w:sz w:val="24"/>
          <w:szCs w:val="24"/>
          <w:lang w:val="zh-CN"/>
        </w:rPr>
        <w:t>公司所处产业链条为原油</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石脑油</w:t>
      </w:r>
      <w:r w:rsidRPr="000A5B5D">
        <w:rPr>
          <w:rFonts w:asciiTheme="minorEastAsia" w:eastAsiaTheme="minorEastAsia" w:hAnsiTheme="minorEastAsia"/>
          <w:kern w:val="0"/>
          <w:sz w:val="24"/>
          <w:szCs w:val="24"/>
          <w:lang w:val="zh-CN"/>
        </w:rPr>
        <w:t>-PX-PTA-</w:t>
      </w:r>
      <w:r w:rsidRPr="000A5B5D">
        <w:rPr>
          <w:rFonts w:asciiTheme="minorEastAsia" w:eastAsiaTheme="minorEastAsia" w:hAnsiTheme="minorEastAsia" w:cs="宋体" w:hint="eastAsia"/>
          <w:kern w:val="0"/>
          <w:sz w:val="24"/>
          <w:szCs w:val="24"/>
          <w:lang w:val="zh-CN"/>
        </w:rPr>
        <w:t>涤沦长丝</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短纤</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纺织品，整个产业链条中，产品的成本构成超过</w:t>
      </w:r>
      <w:r w:rsidRPr="000A5B5D">
        <w:rPr>
          <w:rFonts w:asciiTheme="minorEastAsia" w:eastAsiaTheme="minorEastAsia" w:hAnsiTheme="minorEastAsia"/>
          <w:kern w:val="0"/>
          <w:sz w:val="24"/>
          <w:szCs w:val="24"/>
          <w:lang w:val="zh-CN"/>
        </w:rPr>
        <w:t>80%</w:t>
      </w:r>
      <w:r w:rsidRPr="000A5B5D">
        <w:rPr>
          <w:rFonts w:asciiTheme="minorEastAsia" w:eastAsiaTheme="minorEastAsia" w:hAnsiTheme="minorEastAsia" w:cs="宋体" w:hint="eastAsia"/>
          <w:kern w:val="0"/>
          <w:sz w:val="24"/>
          <w:szCs w:val="24"/>
          <w:lang w:val="zh-CN"/>
        </w:rPr>
        <w:t>由上游原料决定，因此原油价格的波动都会影响产业链条产品价格的波动，进而加剧了原料成本和经营成本的不确定性，以及伴随而来的销售风险的增加和企业效益的波动。</w:t>
      </w: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年，原油价格依然受市场供求、地缘政治等因素影响，原油价格可能出现大幅波动，但公司预期</w:t>
      </w: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年原油价格温和向上的概率较大。</w:t>
      </w:r>
      <w:r w:rsidRPr="000A5B5D">
        <w:rPr>
          <w:rFonts w:asciiTheme="minorEastAsia" w:eastAsiaTheme="minorEastAsia" w:hAnsiTheme="minorEastAsia"/>
          <w:kern w:val="0"/>
          <w:sz w:val="24"/>
          <w:szCs w:val="24"/>
          <w:lang w:val="zh-CN"/>
        </w:rPr>
        <w:t>2016</w:t>
      </w:r>
      <w:r w:rsidRPr="000A5B5D">
        <w:rPr>
          <w:rFonts w:asciiTheme="minorEastAsia" w:eastAsiaTheme="minorEastAsia" w:hAnsiTheme="minorEastAsia" w:cs="宋体" w:hint="eastAsia"/>
          <w:kern w:val="0"/>
          <w:sz w:val="24"/>
          <w:szCs w:val="24"/>
          <w:lang w:val="zh-CN"/>
        </w:rPr>
        <w:t>年，公司继续优化库存策略，降低因油价波动而导致产业链产品价格波动对企业经营的不利影响。一旦油价企稳反弹后，</w:t>
      </w:r>
      <w:r w:rsidRPr="000A5B5D">
        <w:rPr>
          <w:rFonts w:asciiTheme="minorEastAsia" w:eastAsiaTheme="minorEastAsia" w:hAnsiTheme="minorEastAsia"/>
          <w:kern w:val="0"/>
          <w:sz w:val="24"/>
          <w:szCs w:val="24"/>
          <w:lang w:val="zh-CN"/>
        </w:rPr>
        <w:t>PTA</w:t>
      </w:r>
      <w:r w:rsidRPr="000A5B5D">
        <w:rPr>
          <w:rFonts w:asciiTheme="minorEastAsia" w:eastAsiaTheme="minorEastAsia" w:hAnsiTheme="minorEastAsia" w:cs="宋体" w:hint="eastAsia"/>
          <w:kern w:val="0"/>
          <w:sz w:val="24"/>
          <w:szCs w:val="24"/>
          <w:lang w:val="zh-CN"/>
        </w:rPr>
        <w:t>产业链凭借集中度带来的定价权优势及产业链补库存预期叠加效应，公司将凭借多年累积的竞争优势享受产业链企稳回升的效益。</w:t>
      </w:r>
    </w:p>
    <w:p w:rsidR="00BC4D56" w:rsidRPr="000A5B5D" w:rsidRDefault="00BC4D56" w:rsidP="002D1437">
      <w:pPr>
        <w:pStyle w:val="Chapter"/>
        <w:spacing w:line="360" w:lineRule="auto"/>
        <w:outlineLvl w:val="1"/>
        <w:rPr>
          <w:bCs w:val="0"/>
        </w:rPr>
      </w:pPr>
      <w:r w:rsidRPr="000A5B5D">
        <w:rPr>
          <w:rFonts w:hint="eastAsia"/>
          <w:bCs w:val="0"/>
        </w:rPr>
        <w:t>十、接待调研、沟通、采访等活动情况</w:t>
      </w:r>
    </w:p>
    <w:p w:rsidR="00BC4D56" w:rsidRPr="000A5B5D" w:rsidRDefault="00BC4D56" w:rsidP="002D1437">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、报告期内接待调研、沟通、采访等活动登记表</w:t>
      </w:r>
    </w:p>
    <w:tbl>
      <w:tblPr>
        <w:tblW w:w="0" w:type="auto"/>
        <w:jc w:val="center"/>
        <w:tblLayout w:type="fixed"/>
        <w:tblCellMar>
          <w:left w:w="28" w:type="dxa"/>
          <w:right w:w="28" w:type="dxa"/>
        </w:tblCellMar>
        <w:tblLook w:val="0000" w:firstRow="0" w:lastRow="0" w:firstColumn="0" w:lastColumn="0" w:noHBand="0" w:noVBand="0"/>
      </w:tblPr>
      <w:tblGrid>
        <w:gridCol w:w="1560"/>
        <w:gridCol w:w="850"/>
        <w:gridCol w:w="709"/>
        <w:gridCol w:w="597"/>
        <w:gridCol w:w="5853"/>
      </w:tblGrid>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接待时间</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接待方式</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接待对象类型</w:t>
            </w:r>
          </w:p>
        </w:tc>
        <w:tc>
          <w:tcPr>
            <w:tcW w:w="645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调研的基本情况索引</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07</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PTA</w:t>
            </w:r>
            <w:r w:rsidRPr="000A5B5D">
              <w:rPr>
                <w:rFonts w:hint="eastAsia"/>
                <w:szCs w:val="24"/>
              </w:rPr>
              <w:t>发展趋势的看法，</w:t>
            </w:r>
            <w:r w:rsidRPr="000A5B5D">
              <w:rPr>
                <w:szCs w:val="24"/>
              </w:rPr>
              <w:t>2</w:t>
            </w:r>
            <w:r w:rsidRPr="000A5B5D">
              <w:rPr>
                <w:rFonts w:hint="eastAsia"/>
                <w:szCs w:val="24"/>
              </w:rPr>
              <w:t>、国际原油价格下跌对公司的影响，</w:t>
            </w:r>
            <w:r w:rsidRPr="000A5B5D">
              <w:rPr>
                <w:szCs w:val="24"/>
              </w:rPr>
              <w:t>3</w:t>
            </w:r>
            <w:r w:rsidRPr="000A5B5D">
              <w:rPr>
                <w:rFonts w:hint="eastAsia"/>
                <w:szCs w:val="24"/>
              </w:rPr>
              <w:t>、</w:t>
            </w:r>
            <w:r w:rsidRPr="000A5B5D">
              <w:rPr>
                <w:szCs w:val="24"/>
              </w:rPr>
              <w:t>PX</w:t>
            </w:r>
            <w:r w:rsidRPr="000A5B5D">
              <w:rPr>
                <w:rFonts w:hint="eastAsia"/>
                <w:szCs w:val="24"/>
              </w:rPr>
              <w:t>的市场价格构成，</w:t>
            </w:r>
            <w:r w:rsidRPr="000A5B5D">
              <w:rPr>
                <w:szCs w:val="24"/>
              </w:rPr>
              <w:t>4</w:t>
            </w:r>
            <w:r w:rsidRPr="000A5B5D">
              <w:rPr>
                <w:rFonts w:hint="eastAsia"/>
                <w:szCs w:val="24"/>
              </w:rPr>
              <w:t>、公司</w:t>
            </w:r>
            <w:r w:rsidRPr="000A5B5D">
              <w:rPr>
                <w:szCs w:val="24"/>
              </w:rPr>
              <w:t>PTA</w:t>
            </w:r>
            <w:r w:rsidRPr="000A5B5D">
              <w:rPr>
                <w:rFonts w:hint="eastAsia"/>
                <w:szCs w:val="24"/>
              </w:rPr>
              <w:t>工厂的开工情况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12</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、国际原油价格下跌对公司的影响，</w:t>
            </w:r>
            <w:r w:rsidRPr="000A5B5D">
              <w:rPr>
                <w:szCs w:val="24"/>
              </w:rPr>
              <w:t>3</w:t>
            </w:r>
            <w:r w:rsidRPr="000A5B5D">
              <w:rPr>
                <w:rFonts w:hint="eastAsia"/>
                <w:szCs w:val="24"/>
              </w:rPr>
              <w:t>、公司文莱项目进展情况，优势如何，</w:t>
            </w:r>
            <w:r w:rsidRPr="000A5B5D">
              <w:rPr>
                <w:szCs w:val="24"/>
              </w:rPr>
              <w:t>4</w:t>
            </w:r>
            <w:r w:rsidRPr="000A5B5D">
              <w:rPr>
                <w:rFonts w:hint="eastAsia"/>
                <w:szCs w:val="24"/>
              </w:rPr>
              <w:t>、公司库存管理情况及跌价损失计提，</w:t>
            </w:r>
            <w:r w:rsidRPr="000A5B5D">
              <w:rPr>
                <w:szCs w:val="24"/>
              </w:rPr>
              <w:t>5</w:t>
            </w:r>
            <w:r w:rsidRPr="000A5B5D">
              <w:rPr>
                <w:rFonts w:hint="eastAsia"/>
                <w:szCs w:val="24"/>
              </w:rPr>
              <w:t>、关于</w:t>
            </w:r>
            <w:r w:rsidRPr="000A5B5D">
              <w:rPr>
                <w:szCs w:val="24"/>
              </w:rPr>
              <w:t>PX</w:t>
            </w:r>
            <w:r w:rsidRPr="000A5B5D">
              <w:rPr>
                <w:rFonts w:hint="eastAsia"/>
                <w:szCs w:val="24"/>
              </w:rPr>
              <w:t>行业的一些观点，</w:t>
            </w:r>
            <w:r w:rsidRPr="000A5B5D">
              <w:rPr>
                <w:szCs w:val="24"/>
              </w:rPr>
              <w:t>6</w:t>
            </w:r>
            <w:r w:rsidRPr="000A5B5D">
              <w:rPr>
                <w:rFonts w:hint="eastAsia"/>
                <w:szCs w:val="24"/>
              </w:rPr>
              <w:t>、关于</w:t>
            </w:r>
            <w:r w:rsidRPr="000A5B5D">
              <w:rPr>
                <w:szCs w:val="24"/>
              </w:rPr>
              <w:t>PTA</w:t>
            </w:r>
            <w:r w:rsidRPr="000A5B5D">
              <w:rPr>
                <w:rFonts w:hint="eastAsia"/>
                <w:szCs w:val="24"/>
              </w:rPr>
              <w:t>经营特点，</w:t>
            </w:r>
            <w:r w:rsidRPr="000A5B5D">
              <w:rPr>
                <w:szCs w:val="24"/>
              </w:rPr>
              <w:t>7</w:t>
            </w:r>
            <w:r w:rsidRPr="000A5B5D">
              <w:rPr>
                <w:rFonts w:hint="eastAsia"/>
                <w:szCs w:val="24"/>
              </w:rPr>
              <w:t>、关于聚酯开工率，</w:t>
            </w:r>
            <w:r w:rsidRPr="000A5B5D">
              <w:rPr>
                <w:szCs w:val="24"/>
              </w:rPr>
              <w:t>8</w:t>
            </w:r>
            <w:r w:rsidRPr="000A5B5D">
              <w:rPr>
                <w:rFonts w:hint="eastAsia"/>
                <w:szCs w:val="24"/>
              </w:rPr>
              <w:t>、关于财务的解释，</w:t>
            </w:r>
            <w:r w:rsidRPr="000A5B5D">
              <w:rPr>
                <w:szCs w:val="24"/>
              </w:rPr>
              <w:t>9</w:t>
            </w:r>
            <w:r w:rsidRPr="000A5B5D">
              <w:rPr>
                <w:rFonts w:hint="eastAsia"/>
                <w:szCs w:val="24"/>
              </w:rPr>
              <w:t>、面对当前形势，如何考虑在资本市场的融资</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、国际原油价格下跌对公司的影响，</w:t>
            </w:r>
            <w:r w:rsidRPr="000A5B5D">
              <w:rPr>
                <w:szCs w:val="24"/>
              </w:rPr>
              <w:t>3</w:t>
            </w:r>
            <w:r w:rsidRPr="000A5B5D">
              <w:rPr>
                <w:rFonts w:hint="eastAsia"/>
                <w:szCs w:val="24"/>
              </w:rPr>
              <w:t>、公司文莱项目进展情况，</w:t>
            </w:r>
            <w:r w:rsidRPr="000A5B5D">
              <w:rPr>
                <w:szCs w:val="24"/>
              </w:rPr>
              <w:t>4</w:t>
            </w:r>
            <w:r w:rsidRPr="000A5B5D">
              <w:rPr>
                <w:rFonts w:hint="eastAsia"/>
                <w:szCs w:val="24"/>
              </w:rPr>
              <w:t>、公司库存管理情况，</w:t>
            </w:r>
            <w:r w:rsidRPr="000A5B5D">
              <w:rPr>
                <w:szCs w:val="24"/>
              </w:rPr>
              <w:t>5</w:t>
            </w:r>
            <w:r w:rsidRPr="000A5B5D">
              <w:rPr>
                <w:rFonts w:hint="eastAsia"/>
                <w:szCs w:val="24"/>
              </w:rPr>
              <w:t>、关于</w:t>
            </w:r>
            <w:r w:rsidRPr="000A5B5D">
              <w:rPr>
                <w:szCs w:val="24"/>
              </w:rPr>
              <w:t>PX</w:t>
            </w:r>
            <w:r w:rsidRPr="000A5B5D">
              <w:rPr>
                <w:rFonts w:hint="eastAsia"/>
                <w:szCs w:val="24"/>
              </w:rPr>
              <w:t>行业的一些观点，</w:t>
            </w:r>
            <w:r w:rsidRPr="000A5B5D">
              <w:rPr>
                <w:szCs w:val="24"/>
              </w:rPr>
              <w:t>6</w:t>
            </w:r>
            <w:r w:rsidRPr="000A5B5D">
              <w:rPr>
                <w:rFonts w:hint="eastAsia"/>
                <w:szCs w:val="24"/>
              </w:rPr>
              <w:t>、关于</w:t>
            </w:r>
            <w:r w:rsidRPr="000A5B5D">
              <w:rPr>
                <w:szCs w:val="24"/>
              </w:rPr>
              <w:t>PTA</w:t>
            </w:r>
            <w:r w:rsidRPr="000A5B5D">
              <w:rPr>
                <w:rFonts w:hint="eastAsia"/>
                <w:szCs w:val="24"/>
              </w:rPr>
              <w:t>经营特点，</w:t>
            </w:r>
            <w:r w:rsidRPr="000A5B5D">
              <w:rPr>
                <w:szCs w:val="24"/>
              </w:rPr>
              <w:t>7</w:t>
            </w:r>
            <w:r w:rsidRPr="000A5B5D">
              <w:rPr>
                <w:rFonts w:hint="eastAsia"/>
                <w:szCs w:val="24"/>
              </w:rPr>
              <w:t>、关于财务费用的增加，</w:t>
            </w:r>
            <w:r w:rsidRPr="000A5B5D">
              <w:rPr>
                <w:szCs w:val="24"/>
              </w:rPr>
              <w:t>8</w:t>
            </w:r>
            <w:r w:rsidRPr="000A5B5D">
              <w:rPr>
                <w:rFonts w:hint="eastAsia"/>
                <w:szCs w:val="24"/>
              </w:rPr>
              <w:t>、关于定向增发的进度</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、公司文莱项目进展情况，</w:t>
            </w:r>
            <w:r w:rsidRPr="000A5B5D">
              <w:rPr>
                <w:szCs w:val="24"/>
              </w:rPr>
              <w:t>3</w:t>
            </w:r>
            <w:r w:rsidRPr="000A5B5D">
              <w:rPr>
                <w:rFonts w:hint="eastAsia"/>
                <w:szCs w:val="24"/>
              </w:rPr>
              <w:t>、公司海外销售的产品及毛利情况，</w:t>
            </w:r>
            <w:r w:rsidRPr="000A5B5D">
              <w:rPr>
                <w:szCs w:val="24"/>
              </w:rPr>
              <w:t>4</w:t>
            </w:r>
            <w:r w:rsidRPr="000A5B5D">
              <w:rPr>
                <w:rFonts w:hint="eastAsia"/>
                <w:szCs w:val="24"/>
              </w:rPr>
              <w:t>、公司己内酰胺项目有无扩产的计划，</w:t>
            </w:r>
            <w:r w:rsidRPr="000A5B5D">
              <w:rPr>
                <w:szCs w:val="24"/>
              </w:rPr>
              <w:t>5</w:t>
            </w:r>
            <w:r w:rsidRPr="000A5B5D">
              <w:rPr>
                <w:rFonts w:hint="eastAsia"/>
                <w:szCs w:val="24"/>
              </w:rPr>
              <w:t>、如何看待国家对炼化领域的政策放开对公司</w:t>
            </w:r>
            <w:r w:rsidRPr="000A5B5D">
              <w:rPr>
                <w:szCs w:val="24"/>
              </w:rPr>
              <w:t>PMB</w:t>
            </w:r>
            <w:r w:rsidRPr="000A5B5D">
              <w:rPr>
                <w:rFonts w:hint="eastAsia"/>
                <w:szCs w:val="24"/>
              </w:rPr>
              <w:t>石油化工项目的影响</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、关于</w:t>
            </w:r>
            <w:r w:rsidRPr="000A5B5D">
              <w:rPr>
                <w:szCs w:val="24"/>
              </w:rPr>
              <w:t>PX</w:t>
            </w:r>
            <w:r w:rsidRPr="000A5B5D">
              <w:rPr>
                <w:rFonts w:hint="eastAsia"/>
                <w:szCs w:val="24"/>
              </w:rPr>
              <w:t>行业的一些观点，</w:t>
            </w:r>
            <w:r w:rsidRPr="000A5B5D">
              <w:rPr>
                <w:szCs w:val="24"/>
              </w:rPr>
              <w:t>3</w:t>
            </w:r>
            <w:r w:rsidRPr="000A5B5D">
              <w:rPr>
                <w:rFonts w:hint="eastAsia"/>
                <w:szCs w:val="24"/>
              </w:rPr>
              <w:t>、关于公司负债结构的解释，</w:t>
            </w:r>
            <w:r w:rsidRPr="000A5B5D">
              <w:rPr>
                <w:szCs w:val="24"/>
              </w:rPr>
              <w:t>4</w:t>
            </w:r>
            <w:r w:rsidRPr="000A5B5D">
              <w:rPr>
                <w:rFonts w:hint="eastAsia"/>
                <w:szCs w:val="24"/>
              </w:rPr>
              <w:t>、关于公司业绩的情况，</w:t>
            </w:r>
            <w:r w:rsidRPr="000A5B5D">
              <w:rPr>
                <w:szCs w:val="24"/>
              </w:rPr>
              <w:t>5</w:t>
            </w:r>
            <w:r w:rsidRPr="000A5B5D">
              <w:rPr>
                <w:rFonts w:hint="eastAsia"/>
                <w:szCs w:val="24"/>
              </w:rPr>
              <w:t>、鼎晖系的减持情况，</w:t>
            </w:r>
            <w:r w:rsidRPr="000A5B5D">
              <w:rPr>
                <w:szCs w:val="24"/>
              </w:rPr>
              <w:t>6</w:t>
            </w:r>
            <w:r w:rsidRPr="000A5B5D">
              <w:rPr>
                <w:rFonts w:hint="eastAsia"/>
                <w:szCs w:val="24"/>
              </w:rPr>
              <w:t>、国家关于</w:t>
            </w:r>
            <w:r w:rsidRPr="000A5B5D">
              <w:rPr>
                <w:rFonts w:hint="eastAsia"/>
                <w:szCs w:val="24"/>
              </w:rPr>
              <w:lastRenderedPageBreak/>
              <w:t>成品油消费税的政策对公司的影响，</w:t>
            </w:r>
            <w:r w:rsidRPr="000A5B5D">
              <w:rPr>
                <w:szCs w:val="24"/>
              </w:rPr>
              <w:t>7</w:t>
            </w:r>
            <w:r w:rsidRPr="000A5B5D">
              <w:rPr>
                <w:rFonts w:hint="eastAsia"/>
                <w:szCs w:val="24"/>
              </w:rPr>
              <w:t>、公司在锦纶方面的规划</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lastRenderedPageBreak/>
              <w:t>2015</w:t>
            </w:r>
            <w:r w:rsidRPr="000A5B5D">
              <w:rPr>
                <w:rFonts w:hint="eastAsia"/>
                <w:szCs w:val="24"/>
              </w:rPr>
              <w:t>年</w:t>
            </w:r>
            <w:r w:rsidRPr="000A5B5D">
              <w:rPr>
                <w:szCs w:val="24"/>
              </w:rPr>
              <w:t>02</w:t>
            </w:r>
            <w:r w:rsidRPr="000A5B5D">
              <w:rPr>
                <w:rFonts w:hint="eastAsia"/>
                <w:szCs w:val="24"/>
              </w:rPr>
              <w:t>月</w:t>
            </w:r>
            <w:r w:rsidRPr="000A5B5D">
              <w:rPr>
                <w:szCs w:val="24"/>
              </w:rPr>
              <w:t>04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、关于</w:t>
            </w:r>
            <w:r w:rsidRPr="000A5B5D">
              <w:rPr>
                <w:szCs w:val="24"/>
              </w:rPr>
              <w:t>PX</w:t>
            </w:r>
            <w:r w:rsidRPr="000A5B5D">
              <w:rPr>
                <w:rFonts w:hint="eastAsia"/>
                <w:szCs w:val="24"/>
              </w:rPr>
              <w:t>行业的一些观点，</w:t>
            </w:r>
            <w:r w:rsidRPr="000A5B5D">
              <w:rPr>
                <w:szCs w:val="24"/>
              </w:rPr>
              <w:t>3</w:t>
            </w:r>
            <w:r w:rsidRPr="000A5B5D">
              <w:rPr>
                <w:rFonts w:hint="eastAsia"/>
                <w:szCs w:val="24"/>
              </w:rPr>
              <w:t>、公司在</w:t>
            </w:r>
            <w:r w:rsidRPr="000A5B5D">
              <w:rPr>
                <w:szCs w:val="24"/>
              </w:rPr>
              <w:t>PTA</w:t>
            </w:r>
            <w:r w:rsidRPr="000A5B5D">
              <w:rPr>
                <w:rFonts w:hint="eastAsia"/>
                <w:szCs w:val="24"/>
              </w:rPr>
              <w:t>方面是否有扩产的计划，</w:t>
            </w:r>
            <w:r w:rsidRPr="000A5B5D">
              <w:rPr>
                <w:szCs w:val="24"/>
              </w:rPr>
              <w:t>4</w:t>
            </w:r>
            <w:r w:rsidRPr="000A5B5D">
              <w:rPr>
                <w:rFonts w:hint="eastAsia"/>
                <w:szCs w:val="24"/>
              </w:rPr>
              <w:t>、公司聚酯工厂的开工率，</w:t>
            </w:r>
            <w:r w:rsidRPr="000A5B5D">
              <w:rPr>
                <w:szCs w:val="24"/>
              </w:rPr>
              <w:t>5</w:t>
            </w:r>
            <w:r w:rsidRPr="000A5B5D">
              <w:rPr>
                <w:rFonts w:hint="eastAsia"/>
                <w:szCs w:val="24"/>
              </w:rPr>
              <w:t>、公司文莱项目进展情况，</w:t>
            </w:r>
            <w:r w:rsidRPr="000A5B5D">
              <w:rPr>
                <w:szCs w:val="24"/>
              </w:rPr>
              <w:t>6</w:t>
            </w:r>
            <w:r w:rsidRPr="000A5B5D">
              <w:rPr>
                <w:rFonts w:hint="eastAsia"/>
                <w:szCs w:val="24"/>
              </w:rPr>
              <w:t>、公司文莱项目的资金安排情况，</w:t>
            </w:r>
            <w:r w:rsidRPr="000A5B5D">
              <w:rPr>
                <w:szCs w:val="24"/>
              </w:rPr>
              <w:t>7</w:t>
            </w:r>
            <w:r w:rsidRPr="000A5B5D">
              <w:rPr>
                <w:rFonts w:hint="eastAsia"/>
                <w:szCs w:val="24"/>
              </w:rPr>
              <w:t>、己内酰胺公司的开工率、产销率情况，</w:t>
            </w:r>
            <w:r w:rsidRPr="000A5B5D">
              <w:rPr>
                <w:szCs w:val="24"/>
              </w:rPr>
              <w:t>8</w:t>
            </w:r>
            <w:r w:rsidRPr="000A5B5D">
              <w:rPr>
                <w:rFonts w:hint="eastAsia"/>
                <w:szCs w:val="24"/>
              </w:rPr>
              <w:t>、公司在己内酰胺产业方面的规划，</w:t>
            </w:r>
            <w:r w:rsidRPr="000A5B5D">
              <w:rPr>
                <w:szCs w:val="24"/>
              </w:rPr>
              <w:t>9</w:t>
            </w:r>
            <w:r w:rsidRPr="000A5B5D">
              <w:rPr>
                <w:rFonts w:hint="eastAsia"/>
                <w:szCs w:val="24"/>
              </w:rPr>
              <w:t>、公司</w:t>
            </w:r>
            <w:r w:rsidRPr="000A5B5D">
              <w:rPr>
                <w:szCs w:val="24"/>
              </w:rPr>
              <w:t>PX</w:t>
            </w:r>
            <w:r w:rsidRPr="000A5B5D">
              <w:rPr>
                <w:rFonts w:hint="eastAsia"/>
                <w:szCs w:val="24"/>
              </w:rPr>
              <w:t>采购情况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02</w:t>
            </w:r>
            <w:r w:rsidRPr="000A5B5D">
              <w:rPr>
                <w:rFonts w:hint="eastAsia"/>
                <w:szCs w:val="24"/>
              </w:rPr>
              <w:t>月</w:t>
            </w:r>
            <w:r w:rsidRPr="000A5B5D">
              <w:rPr>
                <w:szCs w:val="24"/>
              </w:rPr>
              <w:t>05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、对</w:t>
            </w:r>
            <w:r w:rsidRPr="000A5B5D">
              <w:rPr>
                <w:szCs w:val="24"/>
              </w:rPr>
              <w:t>PTA</w:t>
            </w:r>
            <w:r w:rsidRPr="000A5B5D">
              <w:rPr>
                <w:rFonts w:hint="eastAsia"/>
                <w:szCs w:val="24"/>
              </w:rPr>
              <w:t>行业发展趋势的一些看法，</w:t>
            </w:r>
            <w:r w:rsidRPr="000A5B5D">
              <w:rPr>
                <w:szCs w:val="24"/>
              </w:rPr>
              <w:t>2</w:t>
            </w:r>
            <w:r w:rsidRPr="000A5B5D">
              <w:rPr>
                <w:rFonts w:hint="eastAsia"/>
                <w:szCs w:val="24"/>
              </w:rPr>
              <w:t>、关于</w:t>
            </w:r>
            <w:r w:rsidRPr="000A5B5D">
              <w:rPr>
                <w:szCs w:val="24"/>
              </w:rPr>
              <w:t>PX</w:t>
            </w:r>
            <w:r w:rsidRPr="000A5B5D">
              <w:rPr>
                <w:rFonts w:hint="eastAsia"/>
                <w:szCs w:val="24"/>
              </w:rPr>
              <w:t>行业的一些观点，</w:t>
            </w:r>
            <w:r w:rsidRPr="000A5B5D">
              <w:rPr>
                <w:szCs w:val="24"/>
              </w:rPr>
              <w:t>3</w:t>
            </w:r>
            <w:r w:rsidRPr="000A5B5D">
              <w:rPr>
                <w:rFonts w:hint="eastAsia"/>
                <w:szCs w:val="24"/>
              </w:rPr>
              <w:t>、公司</w:t>
            </w:r>
            <w:r w:rsidRPr="000A5B5D">
              <w:rPr>
                <w:szCs w:val="24"/>
              </w:rPr>
              <w:t>PTA</w:t>
            </w:r>
            <w:r w:rsidRPr="000A5B5D">
              <w:rPr>
                <w:rFonts w:hint="eastAsia"/>
                <w:szCs w:val="24"/>
              </w:rPr>
              <w:t>、聚酯工厂的开工率，</w:t>
            </w:r>
            <w:r w:rsidRPr="000A5B5D">
              <w:rPr>
                <w:szCs w:val="24"/>
              </w:rPr>
              <w:t>4</w:t>
            </w:r>
            <w:r w:rsidRPr="000A5B5D">
              <w:rPr>
                <w:rFonts w:hint="eastAsia"/>
                <w:szCs w:val="24"/>
              </w:rPr>
              <w:t>、公司在己内酰胺产业方面的规划</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02</w:t>
            </w:r>
            <w:r w:rsidRPr="000A5B5D">
              <w:rPr>
                <w:rFonts w:hint="eastAsia"/>
                <w:szCs w:val="24"/>
              </w:rPr>
              <w:t>月</w:t>
            </w:r>
            <w:r w:rsidRPr="000A5B5D">
              <w:rPr>
                <w:szCs w:val="24"/>
              </w:rPr>
              <w:t>11</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书面问询</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其他</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、去年，恒逸石化子公司浙江逸盛石化开始实施</w:t>
            </w:r>
            <w:r w:rsidRPr="000A5B5D">
              <w:rPr>
                <w:szCs w:val="24"/>
              </w:rPr>
              <w:t>PTA</w:t>
            </w:r>
            <w:r w:rsidRPr="000A5B5D">
              <w:rPr>
                <w:rFonts w:hint="eastAsia"/>
                <w:szCs w:val="24"/>
              </w:rPr>
              <w:t>节能技改扩产项，投资额为</w:t>
            </w:r>
            <w:r w:rsidRPr="000A5B5D">
              <w:rPr>
                <w:szCs w:val="24"/>
              </w:rPr>
              <w:t>30</w:t>
            </w:r>
            <w:r w:rsidRPr="000A5B5D">
              <w:rPr>
                <w:rFonts w:hint="eastAsia"/>
                <w:szCs w:val="24"/>
              </w:rPr>
              <w:t>亿元。该项目目前进展如何，</w:t>
            </w:r>
            <w:r w:rsidRPr="000A5B5D">
              <w:rPr>
                <w:szCs w:val="24"/>
              </w:rPr>
              <w:t>2015</w:t>
            </w:r>
            <w:r w:rsidRPr="000A5B5D">
              <w:rPr>
                <w:rFonts w:hint="eastAsia"/>
                <w:szCs w:val="24"/>
              </w:rPr>
              <w:t>年将对公司产生了哪些方面的影响？</w:t>
            </w:r>
            <w:r w:rsidRPr="000A5B5D">
              <w:rPr>
                <w:szCs w:val="24"/>
              </w:rPr>
              <w:t>2</w:t>
            </w:r>
            <w:r w:rsidRPr="000A5B5D">
              <w:rPr>
                <w:rFonts w:hint="eastAsia"/>
                <w:szCs w:val="24"/>
              </w:rPr>
              <w:t>、公司旗下子公司恒逸文莱实业、香港天逸与达迈控股达成了合资协议，迈达控股拟以</w:t>
            </w:r>
            <w:r w:rsidRPr="000A5B5D">
              <w:rPr>
                <w:szCs w:val="24"/>
              </w:rPr>
              <w:t>3000</w:t>
            </w:r>
            <w:r w:rsidRPr="000A5B5D">
              <w:rPr>
                <w:rFonts w:hint="eastAsia"/>
                <w:szCs w:val="24"/>
              </w:rPr>
              <w:t>万文莱元认购恒逸文莱实业新增</w:t>
            </w:r>
            <w:r w:rsidRPr="000A5B5D">
              <w:rPr>
                <w:szCs w:val="24"/>
              </w:rPr>
              <w:t>3000</w:t>
            </w:r>
            <w:r w:rsidRPr="000A5B5D">
              <w:rPr>
                <w:rFonts w:hint="eastAsia"/>
                <w:szCs w:val="24"/>
              </w:rPr>
              <w:t>万股股份。此次合作对公司</w:t>
            </w:r>
            <w:r w:rsidRPr="000A5B5D">
              <w:rPr>
                <w:szCs w:val="24"/>
              </w:rPr>
              <w:t>2015</w:t>
            </w:r>
            <w:r w:rsidRPr="000A5B5D">
              <w:rPr>
                <w:rFonts w:hint="eastAsia"/>
                <w:szCs w:val="24"/>
              </w:rPr>
              <w:t>年的业务和业绩情况有哪些方面的提升？此外，公司投资建设的</w:t>
            </w:r>
            <w:r w:rsidRPr="000A5B5D">
              <w:rPr>
                <w:szCs w:val="24"/>
              </w:rPr>
              <w:t>PMB</w:t>
            </w:r>
            <w:r w:rsidRPr="000A5B5D">
              <w:rPr>
                <w:rFonts w:hint="eastAsia"/>
                <w:szCs w:val="24"/>
              </w:rPr>
              <w:t>石油化工项目目前进展如何？</w:t>
            </w:r>
            <w:r w:rsidRPr="000A5B5D">
              <w:rPr>
                <w:szCs w:val="24"/>
              </w:rPr>
              <w:t>3</w:t>
            </w:r>
            <w:r w:rsidRPr="000A5B5D">
              <w:rPr>
                <w:rFonts w:hint="eastAsia"/>
                <w:szCs w:val="24"/>
              </w:rPr>
              <w:t>、据了解，目前</w:t>
            </w:r>
            <w:r w:rsidRPr="000A5B5D">
              <w:rPr>
                <w:szCs w:val="24"/>
              </w:rPr>
              <w:t>PTA</w:t>
            </w:r>
            <w:r w:rsidRPr="000A5B5D">
              <w:rPr>
                <w:rFonts w:hint="eastAsia"/>
                <w:szCs w:val="24"/>
              </w:rPr>
              <w:t>行业迎来景气周期，对于公司</w:t>
            </w:r>
            <w:r w:rsidRPr="000A5B5D">
              <w:rPr>
                <w:szCs w:val="24"/>
              </w:rPr>
              <w:t>2015</w:t>
            </w:r>
            <w:r w:rsidRPr="000A5B5D">
              <w:rPr>
                <w:rFonts w:hint="eastAsia"/>
                <w:szCs w:val="24"/>
              </w:rPr>
              <w:t>年营业收入和净利润增长会带来哪些方面的改善，与去年相比，预测</w:t>
            </w:r>
            <w:r w:rsidRPr="000A5B5D">
              <w:rPr>
                <w:szCs w:val="24"/>
              </w:rPr>
              <w:t>2015</w:t>
            </w:r>
            <w:r w:rsidRPr="000A5B5D">
              <w:rPr>
                <w:rFonts w:hint="eastAsia"/>
                <w:szCs w:val="24"/>
              </w:rPr>
              <w:t>年收入增长率情况将如何？</w:t>
            </w:r>
            <w:r w:rsidRPr="000A5B5D">
              <w:rPr>
                <w:szCs w:val="24"/>
              </w:rPr>
              <w:t>4</w:t>
            </w:r>
            <w:r w:rsidRPr="000A5B5D">
              <w:rPr>
                <w:rFonts w:hint="eastAsia"/>
                <w:szCs w:val="24"/>
              </w:rPr>
              <w:t>、恒逸石化未来</w:t>
            </w:r>
            <w:r w:rsidRPr="000A5B5D">
              <w:rPr>
                <w:szCs w:val="24"/>
              </w:rPr>
              <w:t>1-3</w:t>
            </w:r>
            <w:r w:rsidRPr="000A5B5D">
              <w:rPr>
                <w:rFonts w:hint="eastAsia"/>
                <w:szCs w:val="24"/>
              </w:rPr>
              <w:t>年的核心竞争力会在哪些方面？行业地位将是如何？对竞争对手方面有什么考量？</w:t>
            </w:r>
            <w:r w:rsidRPr="000A5B5D">
              <w:rPr>
                <w:szCs w:val="24"/>
              </w:rPr>
              <w:t>5</w:t>
            </w:r>
            <w:r w:rsidRPr="000A5B5D">
              <w:rPr>
                <w:rFonts w:hint="eastAsia"/>
                <w:szCs w:val="24"/>
              </w:rPr>
              <w:t>、贵司预计公司预期未来</w:t>
            </w:r>
            <w:r w:rsidRPr="000A5B5D">
              <w:rPr>
                <w:szCs w:val="24"/>
              </w:rPr>
              <w:t>1-3</w:t>
            </w:r>
            <w:r w:rsidRPr="000A5B5D">
              <w:rPr>
                <w:rFonts w:hint="eastAsia"/>
                <w:szCs w:val="24"/>
              </w:rPr>
              <w:t>年的盈利增长点主要在哪些方面？盈利增长速度预期会是何水平？</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02</w:t>
            </w:r>
            <w:r w:rsidRPr="000A5B5D">
              <w:rPr>
                <w:rFonts w:hint="eastAsia"/>
                <w:szCs w:val="24"/>
              </w:rPr>
              <w:t>月</w:t>
            </w:r>
            <w:r w:rsidRPr="000A5B5D">
              <w:rPr>
                <w:szCs w:val="24"/>
              </w:rPr>
              <w:t>12</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PTA</w:t>
            </w:r>
            <w:r w:rsidRPr="000A5B5D">
              <w:rPr>
                <w:rFonts w:hint="eastAsia"/>
                <w:szCs w:val="24"/>
              </w:rPr>
              <w:t>目前的行业发展情况，</w:t>
            </w:r>
            <w:r w:rsidRPr="000A5B5D">
              <w:rPr>
                <w:szCs w:val="24"/>
              </w:rPr>
              <w:t>2</w:t>
            </w:r>
            <w:r w:rsidRPr="000A5B5D">
              <w:rPr>
                <w:rFonts w:hint="eastAsia"/>
                <w:szCs w:val="24"/>
              </w:rPr>
              <w:t>、关于</w:t>
            </w:r>
            <w:r w:rsidRPr="000A5B5D">
              <w:rPr>
                <w:szCs w:val="24"/>
              </w:rPr>
              <w:t>PX</w:t>
            </w:r>
            <w:r w:rsidRPr="000A5B5D">
              <w:rPr>
                <w:rFonts w:hint="eastAsia"/>
                <w:szCs w:val="24"/>
              </w:rPr>
              <w:t>行业的一些观点，</w:t>
            </w:r>
            <w:r w:rsidRPr="000A5B5D">
              <w:rPr>
                <w:szCs w:val="24"/>
              </w:rPr>
              <w:t>3</w:t>
            </w:r>
            <w:r w:rsidRPr="000A5B5D">
              <w:rPr>
                <w:rFonts w:hint="eastAsia"/>
                <w:szCs w:val="24"/>
              </w:rPr>
              <w:t>、</w:t>
            </w:r>
            <w:r w:rsidRPr="000A5B5D">
              <w:rPr>
                <w:szCs w:val="24"/>
              </w:rPr>
              <w:t>PMB</w:t>
            </w:r>
            <w:r w:rsidRPr="000A5B5D">
              <w:rPr>
                <w:rFonts w:hint="eastAsia"/>
                <w:szCs w:val="24"/>
              </w:rPr>
              <w:t>石油化工项目目前进展情况，</w:t>
            </w:r>
            <w:r w:rsidRPr="000A5B5D">
              <w:rPr>
                <w:szCs w:val="24"/>
              </w:rPr>
              <w:t>4</w:t>
            </w:r>
            <w:r w:rsidRPr="000A5B5D">
              <w:rPr>
                <w:rFonts w:hint="eastAsia"/>
                <w:szCs w:val="24"/>
              </w:rPr>
              <w:t>、关于</w:t>
            </w:r>
            <w:r w:rsidRPr="000A5B5D">
              <w:rPr>
                <w:szCs w:val="24"/>
              </w:rPr>
              <w:t>PTA</w:t>
            </w:r>
            <w:r w:rsidRPr="000A5B5D">
              <w:rPr>
                <w:rFonts w:hint="eastAsia"/>
                <w:szCs w:val="24"/>
              </w:rPr>
              <w:t>经营特点，</w:t>
            </w:r>
            <w:r w:rsidRPr="000A5B5D">
              <w:rPr>
                <w:szCs w:val="24"/>
              </w:rPr>
              <w:t>5</w:t>
            </w:r>
            <w:r w:rsidRPr="000A5B5D">
              <w:rPr>
                <w:rFonts w:hint="eastAsia"/>
                <w:szCs w:val="24"/>
              </w:rPr>
              <w:t>、关于聚酯纤维近期公司经营情况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02</w:t>
            </w:r>
            <w:r w:rsidRPr="000A5B5D">
              <w:rPr>
                <w:rFonts w:hint="eastAsia"/>
                <w:szCs w:val="24"/>
              </w:rPr>
              <w:t>月</w:t>
            </w:r>
            <w:r w:rsidRPr="000A5B5D">
              <w:rPr>
                <w:szCs w:val="24"/>
              </w:rPr>
              <w:t>13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、公司聚酯产品的具体产能情况，</w:t>
            </w:r>
            <w:r w:rsidRPr="000A5B5D">
              <w:rPr>
                <w:szCs w:val="24"/>
              </w:rPr>
              <w:t>2</w:t>
            </w:r>
            <w:r w:rsidRPr="000A5B5D">
              <w:rPr>
                <w:rFonts w:hint="eastAsia"/>
                <w:szCs w:val="24"/>
              </w:rPr>
              <w:t>、公司</w:t>
            </w:r>
            <w:r w:rsidRPr="000A5B5D">
              <w:rPr>
                <w:szCs w:val="24"/>
              </w:rPr>
              <w:t>PX</w:t>
            </w:r>
            <w:r w:rsidRPr="000A5B5D">
              <w:rPr>
                <w:rFonts w:hint="eastAsia"/>
                <w:szCs w:val="24"/>
              </w:rPr>
              <w:t>采购情况，</w:t>
            </w:r>
            <w:r w:rsidRPr="000A5B5D">
              <w:rPr>
                <w:szCs w:val="24"/>
              </w:rPr>
              <w:t>3</w:t>
            </w:r>
            <w:r w:rsidRPr="000A5B5D">
              <w:rPr>
                <w:rFonts w:hint="eastAsia"/>
                <w:szCs w:val="24"/>
              </w:rPr>
              <w:t>、公司在</w:t>
            </w:r>
            <w:r w:rsidRPr="000A5B5D">
              <w:rPr>
                <w:szCs w:val="24"/>
              </w:rPr>
              <w:t>PTA</w:t>
            </w:r>
            <w:r w:rsidRPr="000A5B5D">
              <w:rPr>
                <w:rFonts w:hint="eastAsia"/>
                <w:szCs w:val="24"/>
              </w:rPr>
              <w:t>投资方面与荣盛石化合资的考虑，</w:t>
            </w:r>
            <w:r w:rsidRPr="000A5B5D">
              <w:rPr>
                <w:szCs w:val="24"/>
              </w:rPr>
              <w:t>4</w:t>
            </w:r>
            <w:r w:rsidRPr="000A5B5D">
              <w:rPr>
                <w:rFonts w:hint="eastAsia"/>
                <w:szCs w:val="24"/>
              </w:rPr>
              <w:t>、公司</w:t>
            </w:r>
            <w:r w:rsidRPr="000A5B5D">
              <w:rPr>
                <w:szCs w:val="24"/>
              </w:rPr>
              <w:t>PTA</w:t>
            </w:r>
            <w:r w:rsidRPr="000A5B5D">
              <w:rPr>
                <w:rFonts w:hint="eastAsia"/>
                <w:szCs w:val="24"/>
              </w:rPr>
              <w:t>工厂的开工率情况，</w:t>
            </w:r>
            <w:r w:rsidRPr="000A5B5D">
              <w:rPr>
                <w:szCs w:val="24"/>
              </w:rPr>
              <w:t>5</w:t>
            </w:r>
            <w:r w:rsidRPr="000A5B5D">
              <w:rPr>
                <w:rFonts w:hint="eastAsia"/>
                <w:szCs w:val="24"/>
              </w:rPr>
              <w:t>、春节期间公司的开工情况，</w:t>
            </w:r>
            <w:r w:rsidRPr="000A5B5D">
              <w:rPr>
                <w:szCs w:val="24"/>
              </w:rPr>
              <w:t>6</w:t>
            </w:r>
            <w:r w:rsidRPr="000A5B5D">
              <w:rPr>
                <w:rFonts w:hint="eastAsia"/>
                <w:szCs w:val="24"/>
              </w:rPr>
              <w:t>、聚酯工厂近期经营情况，</w:t>
            </w:r>
            <w:r w:rsidRPr="000A5B5D">
              <w:rPr>
                <w:szCs w:val="24"/>
              </w:rPr>
              <w:t>7</w:t>
            </w:r>
            <w:r w:rsidRPr="000A5B5D">
              <w:rPr>
                <w:rFonts w:hint="eastAsia"/>
                <w:szCs w:val="24"/>
              </w:rPr>
              <w:t>、公司</w:t>
            </w:r>
            <w:r w:rsidRPr="000A5B5D">
              <w:rPr>
                <w:szCs w:val="24"/>
              </w:rPr>
              <w:t>2014</w:t>
            </w:r>
            <w:r w:rsidRPr="000A5B5D">
              <w:rPr>
                <w:rFonts w:hint="eastAsia"/>
                <w:szCs w:val="24"/>
              </w:rPr>
              <w:t>业绩亏损的原因，</w:t>
            </w:r>
            <w:r w:rsidRPr="000A5B5D">
              <w:rPr>
                <w:szCs w:val="24"/>
              </w:rPr>
              <w:t>8</w:t>
            </w:r>
            <w:r w:rsidRPr="000A5B5D">
              <w:rPr>
                <w:rFonts w:hint="eastAsia"/>
                <w:szCs w:val="24"/>
              </w:rPr>
              <w:t>、</w:t>
            </w:r>
            <w:r w:rsidRPr="000A5B5D">
              <w:rPr>
                <w:szCs w:val="24"/>
              </w:rPr>
              <w:t>PTA</w:t>
            </w:r>
            <w:r w:rsidRPr="000A5B5D">
              <w:rPr>
                <w:rFonts w:hint="eastAsia"/>
                <w:szCs w:val="24"/>
              </w:rPr>
              <w:t>目前的行业发展情况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30</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电话沟通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w:t>
            </w:r>
            <w:r w:rsidRPr="000A5B5D">
              <w:rPr>
                <w:szCs w:val="24"/>
              </w:rPr>
              <w:t>2014</w:t>
            </w:r>
            <w:r w:rsidRPr="000A5B5D">
              <w:rPr>
                <w:rFonts w:hint="eastAsia"/>
                <w:szCs w:val="24"/>
              </w:rPr>
              <w:t>年主要财务数据，</w:t>
            </w:r>
            <w:r w:rsidRPr="000A5B5D">
              <w:rPr>
                <w:szCs w:val="24"/>
              </w:rPr>
              <w:t>2</w:t>
            </w:r>
            <w:r w:rsidRPr="000A5B5D">
              <w:rPr>
                <w:rFonts w:hint="eastAsia"/>
                <w:szCs w:val="24"/>
              </w:rPr>
              <w:t>、公司</w:t>
            </w:r>
            <w:r w:rsidRPr="000A5B5D">
              <w:rPr>
                <w:szCs w:val="24"/>
              </w:rPr>
              <w:t>2014</w:t>
            </w:r>
            <w:r w:rsidRPr="000A5B5D">
              <w:rPr>
                <w:rFonts w:hint="eastAsia"/>
                <w:szCs w:val="24"/>
              </w:rPr>
              <w:t>年经营数据和</w:t>
            </w:r>
            <w:r w:rsidRPr="000A5B5D">
              <w:rPr>
                <w:szCs w:val="24"/>
              </w:rPr>
              <w:t>2015</w:t>
            </w:r>
            <w:r w:rsidRPr="000A5B5D">
              <w:rPr>
                <w:rFonts w:hint="eastAsia"/>
                <w:szCs w:val="24"/>
              </w:rPr>
              <w:t>年展望，</w:t>
            </w:r>
            <w:r w:rsidRPr="000A5B5D">
              <w:rPr>
                <w:szCs w:val="24"/>
              </w:rPr>
              <w:t>3</w:t>
            </w:r>
            <w:r w:rsidRPr="000A5B5D">
              <w:rPr>
                <w:rFonts w:hint="eastAsia"/>
                <w:szCs w:val="24"/>
              </w:rPr>
              <w:t>、参股公司海南逸盛石化的亏损情况，</w:t>
            </w:r>
            <w:r w:rsidRPr="000A5B5D">
              <w:rPr>
                <w:szCs w:val="24"/>
              </w:rPr>
              <w:t>4</w:t>
            </w:r>
            <w:r w:rsidRPr="000A5B5D">
              <w:rPr>
                <w:rFonts w:hint="eastAsia"/>
                <w:szCs w:val="24"/>
              </w:rPr>
              <w:t>、公司产品和原料进出口情况，</w:t>
            </w:r>
            <w:r w:rsidRPr="000A5B5D">
              <w:rPr>
                <w:szCs w:val="24"/>
              </w:rPr>
              <w:t>5</w:t>
            </w:r>
            <w:r w:rsidRPr="000A5B5D">
              <w:rPr>
                <w:rFonts w:hint="eastAsia"/>
                <w:szCs w:val="24"/>
              </w:rPr>
              <w:t>、</w:t>
            </w:r>
            <w:r w:rsidRPr="000A5B5D">
              <w:rPr>
                <w:szCs w:val="24"/>
              </w:rPr>
              <w:t>PX</w:t>
            </w:r>
            <w:r w:rsidRPr="000A5B5D">
              <w:rPr>
                <w:rFonts w:hint="eastAsia"/>
                <w:szCs w:val="24"/>
              </w:rPr>
              <w:t>供求展望，</w:t>
            </w:r>
            <w:r w:rsidRPr="000A5B5D">
              <w:rPr>
                <w:szCs w:val="24"/>
              </w:rPr>
              <w:t>6</w:t>
            </w:r>
            <w:r w:rsidRPr="000A5B5D">
              <w:rPr>
                <w:rFonts w:hint="eastAsia"/>
                <w:szCs w:val="24"/>
              </w:rPr>
              <w:t>、财务费用增加和交易性金融资产情况，</w:t>
            </w:r>
            <w:r w:rsidRPr="000A5B5D">
              <w:rPr>
                <w:szCs w:val="24"/>
              </w:rPr>
              <w:t>7</w:t>
            </w:r>
            <w:r w:rsidRPr="000A5B5D">
              <w:rPr>
                <w:rFonts w:hint="eastAsia"/>
                <w:szCs w:val="24"/>
              </w:rPr>
              <w:t>、</w:t>
            </w:r>
            <w:r w:rsidRPr="000A5B5D">
              <w:rPr>
                <w:szCs w:val="24"/>
              </w:rPr>
              <w:t>PTA</w:t>
            </w:r>
            <w:r w:rsidRPr="000A5B5D">
              <w:rPr>
                <w:rFonts w:hint="eastAsia"/>
                <w:szCs w:val="24"/>
              </w:rPr>
              <w:t>期货策略，</w:t>
            </w:r>
            <w:r w:rsidRPr="000A5B5D">
              <w:rPr>
                <w:szCs w:val="24"/>
              </w:rPr>
              <w:t>8</w:t>
            </w:r>
            <w:r w:rsidRPr="000A5B5D">
              <w:rPr>
                <w:rFonts w:hint="eastAsia"/>
                <w:szCs w:val="24"/>
              </w:rPr>
              <w:t>、对大股东定增项目情况，</w:t>
            </w:r>
            <w:r w:rsidRPr="000A5B5D">
              <w:rPr>
                <w:szCs w:val="24"/>
              </w:rPr>
              <w:t>9</w:t>
            </w:r>
            <w:r w:rsidRPr="000A5B5D">
              <w:rPr>
                <w:rFonts w:hint="eastAsia"/>
                <w:szCs w:val="24"/>
              </w:rPr>
              <w:t>、文莱项目进展，</w:t>
            </w:r>
            <w:r w:rsidRPr="000A5B5D">
              <w:rPr>
                <w:szCs w:val="24"/>
              </w:rPr>
              <w:t>10</w:t>
            </w:r>
            <w:r w:rsidRPr="000A5B5D">
              <w:rPr>
                <w:rFonts w:hint="eastAsia"/>
                <w:szCs w:val="24"/>
              </w:rPr>
              <w:t>、互联网如何与公司主业结合情况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03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、文莱项目的建设情况，</w:t>
            </w:r>
            <w:r w:rsidRPr="000A5B5D">
              <w:rPr>
                <w:szCs w:val="24"/>
              </w:rPr>
              <w:t>2</w:t>
            </w:r>
            <w:r w:rsidRPr="000A5B5D">
              <w:rPr>
                <w:rFonts w:hint="eastAsia"/>
                <w:szCs w:val="24"/>
              </w:rPr>
              <w:t>、文莱项目的产品情况，</w:t>
            </w:r>
            <w:r w:rsidRPr="000A5B5D">
              <w:rPr>
                <w:szCs w:val="24"/>
              </w:rPr>
              <w:t>3</w:t>
            </w:r>
            <w:r w:rsidRPr="000A5B5D">
              <w:rPr>
                <w:rFonts w:hint="eastAsia"/>
                <w:szCs w:val="24"/>
              </w:rPr>
              <w:t>、文莱项目</w:t>
            </w:r>
            <w:r w:rsidRPr="000A5B5D">
              <w:rPr>
                <w:szCs w:val="24"/>
              </w:rPr>
              <w:t>150</w:t>
            </w:r>
            <w:r w:rsidRPr="000A5B5D">
              <w:rPr>
                <w:rFonts w:hint="eastAsia"/>
                <w:szCs w:val="24"/>
              </w:rPr>
              <w:t>万吨</w:t>
            </w:r>
            <w:r w:rsidRPr="000A5B5D">
              <w:rPr>
                <w:szCs w:val="24"/>
              </w:rPr>
              <w:t>PX</w:t>
            </w:r>
            <w:r w:rsidRPr="000A5B5D">
              <w:rPr>
                <w:rFonts w:hint="eastAsia"/>
                <w:szCs w:val="24"/>
              </w:rPr>
              <w:t>的销售，</w:t>
            </w:r>
            <w:r w:rsidRPr="000A5B5D">
              <w:rPr>
                <w:szCs w:val="24"/>
              </w:rPr>
              <w:t>4</w:t>
            </w:r>
            <w:r w:rsidRPr="000A5B5D">
              <w:rPr>
                <w:rFonts w:hint="eastAsia"/>
                <w:szCs w:val="24"/>
              </w:rPr>
              <w:t>、文莱项目生产的油品销售范围，</w:t>
            </w:r>
            <w:r w:rsidRPr="000A5B5D">
              <w:rPr>
                <w:szCs w:val="24"/>
              </w:rPr>
              <w:t>5</w:t>
            </w:r>
            <w:r w:rsidRPr="000A5B5D">
              <w:rPr>
                <w:rFonts w:hint="eastAsia"/>
                <w:szCs w:val="24"/>
              </w:rPr>
              <w:t>、文莱项目的投资情况，</w:t>
            </w:r>
            <w:r w:rsidRPr="000A5B5D">
              <w:rPr>
                <w:szCs w:val="24"/>
              </w:rPr>
              <w:t>6</w:t>
            </w:r>
            <w:r w:rsidRPr="000A5B5D">
              <w:rPr>
                <w:rFonts w:hint="eastAsia"/>
                <w:szCs w:val="24"/>
              </w:rPr>
              <w:t>、公司参股的浙商银行是否在上市，</w:t>
            </w:r>
            <w:r w:rsidRPr="000A5B5D">
              <w:rPr>
                <w:szCs w:val="24"/>
              </w:rPr>
              <w:t>7</w:t>
            </w:r>
            <w:r w:rsidRPr="000A5B5D">
              <w:rPr>
                <w:rFonts w:hint="eastAsia"/>
                <w:szCs w:val="24"/>
              </w:rPr>
              <w:t>、参股公司海南逸盛石化的亏损情况，</w:t>
            </w:r>
            <w:r w:rsidRPr="000A5B5D">
              <w:rPr>
                <w:szCs w:val="24"/>
              </w:rPr>
              <w:t>8</w:t>
            </w:r>
            <w:r w:rsidRPr="000A5B5D">
              <w:rPr>
                <w:rFonts w:hint="eastAsia"/>
                <w:szCs w:val="24"/>
              </w:rPr>
              <w:t>、公司原料进口情况</w:t>
            </w:r>
            <w:r w:rsidRPr="000A5B5D">
              <w:rPr>
                <w:szCs w:val="24"/>
              </w:rPr>
              <w:t>9</w:t>
            </w:r>
            <w:r w:rsidRPr="000A5B5D">
              <w:rPr>
                <w:rFonts w:hint="eastAsia"/>
                <w:szCs w:val="24"/>
              </w:rPr>
              <w:t>、公司海外市场的拓展情况，</w:t>
            </w:r>
            <w:r w:rsidRPr="000A5B5D">
              <w:rPr>
                <w:szCs w:val="24"/>
              </w:rPr>
              <w:t>10</w:t>
            </w:r>
            <w:r w:rsidRPr="000A5B5D">
              <w:rPr>
                <w:rFonts w:hint="eastAsia"/>
                <w:szCs w:val="24"/>
              </w:rPr>
              <w:t>、公司有无员工持股计划等方面的考虑，</w:t>
            </w:r>
            <w:r w:rsidRPr="000A5B5D">
              <w:rPr>
                <w:szCs w:val="24"/>
              </w:rPr>
              <w:t>11</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如何与公司主业结合情况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07</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PTA</w:t>
            </w:r>
            <w:r w:rsidRPr="000A5B5D">
              <w:rPr>
                <w:rFonts w:hint="eastAsia"/>
                <w:szCs w:val="24"/>
              </w:rPr>
              <w:t>行业情况，</w:t>
            </w:r>
            <w:r w:rsidRPr="000A5B5D">
              <w:rPr>
                <w:szCs w:val="24"/>
              </w:rPr>
              <w:t>2</w:t>
            </w:r>
            <w:r w:rsidRPr="000A5B5D">
              <w:rPr>
                <w:rFonts w:hint="eastAsia"/>
                <w:szCs w:val="24"/>
              </w:rPr>
              <w:t>、公司文莱项目的进展规划，</w:t>
            </w:r>
            <w:r w:rsidRPr="000A5B5D">
              <w:rPr>
                <w:szCs w:val="24"/>
              </w:rPr>
              <w:t>3</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4</w:t>
            </w:r>
            <w:r w:rsidRPr="000A5B5D">
              <w:rPr>
                <w:rFonts w:hint="eastAsia"/>
                <w:szCs w:val="24"/>
              </w:rPr>
              <w:t>、公司己内酰胺的盈利情况，</w:t>
            </w:r>
            <w:r w:rsidRPr="000A5B5D">
              <w:rPr>
                <w:szCs w:val="24"/>
              </w:rPr>
              <w:t>5</w:t>
            </w:r>
            <w:r w:rsidRPr="000A5B5D">
              <w:rPr>
                <w:rFonts w:hint="eastAsia"/>
                <w:szCs w:val="24"/>
              </w:rPr>
              <w:t>、公司聚酯纤维产品的差别化率</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08</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PX-PTA-</w:t>
            </w:r>
            <w:r w:rsidRPr="000A5B5D">
              <w:rPr>
                <w:rFonts w:hint="eastAsia"/>
                <w:szCs w:val="24"/>
              </w:rPr>
              <w:t>聚酯纤维行业情况，</w:t>
            </w:r>
            <w:r w:rsidRPr="000A5B5D">
              <w:rPr>
                <w:szCs w:val="24"/>
              </w:rPr>
              <w:t>2</w:t>
            </w:r>
            <w:r w:rsidRPr="000A5B5D">
              <w:rPr>
                <w:rFonts w:hint="eastAsia"/>
                <w:szCs w:val="24"/>
              </w:rPr>
              <w:t>、</w:t>
            </w:r>
            <w:r w:rsidRPr="000A5B5D">
              <w:rPr>
                <w:szCs w:val="24"/>
              </w:rPr>
              <w:t>CPL-</w:t>
            </w:r>
            <w:r w:rsidRPr="000A5B5D">
              <w:rPr>
                <w:rFonts w:hint="eastAsia"/>
                <w:szCs w:val="24"/>
              </w:rPr>
              <w:t>锦纶产业链情况，</w:t>
            </w:r>
            <w:r w:rsidRPr="000A5B5D">
              <w:rPr>
                <w:szCs w:val="24"/>
              </w:rPr>
              <w:t>3</w:t>
            </w:r>
            <w:r w:rsidRPr="000A5B5D">
              <w:rPr>
                <w:rFonts w:hint="eastAsia"/>
                <w:szCs w:val="24"/>
              </w:rPr>
              <w:t>、原油价格波动对行业影响，</w:t>
            </w:r>
            <w:r w:rsidRPr="000A5B5D">
              <w:rPr>
                <w:szCs w:val="24"/>
              </w:rPr>
              <w:t>4</w:t>
            </w:r>
            <w:r w:rsidRPr="000A5B5D">
              <w:rPr>
                <w:rFonts w:hint="eastAsia"/>
                <w:szCs w:val="24"/>
              </w:rPr>
              <w:t>、公司聚酯产品盈利较好的原因，</w:t>
            </w:r>
            <w:r w:rsidRPr="000A5B5D">
              <w:rPr>
                <w:szCs w:val="24"/>
              </w:rPr>
              <w:t>5</w:t>
            </w:r>
            <w:r w:rsidRPr="000A5B5D">
              <w:rPr>
                <w:rFonts w:hint="eastAsia"/>
                <w:szCs w:val="24"/>
              </w:rPr>
              <w:t>、公司文莱项目的相关情况，</w:t>
            </w:r>
            <w:r w:rsidRPr="000A5B5D">
              <w:rPr>
                <w:szCs w:val="24"/>
              </w:rPr>
              <w:t>6</w:t>
            </w:r>
            <w:r w:rsidRPr="000A5B5D">
              <w:rPr>
                <w:rFonts w:hint="eastAsia"/>
                <w:szCs w:val="24"/>
              </w:rPr>
              <w:t>、公司参股的浙商银行情况，</w:t>
            </w:r>
            <w:r w:rsidRPr="000A5B5D">
              <w:rPr>
                <w:szCs w:val="24"/>
              </w:rPr>
              <w:t>7</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08</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PX-PTA-</w:t>
            </w:r>
            <w:r w:rsidRPr="000A5B5D">
              <w:rPr>
                <w:rFonts w:hint="eastAsia"/>
                <w:szCs w:val="24"/>
              </w:rPr>
              <w:t>聚酯纤维行业情况，</w:t>
            </w:r>
            <w:r w:rsidRPr="000A5B5D">
              <w:rPr>
                <w:szCs w:val="24"/>
              </w:rPr>
              <w:t>2</w:t>
            </w:r>
            <w:r w:rsidRPr="000A5B5D">
              <w:rPr>
                <w:rFonts w:hint="eastAsia"/>
                <w:szCs w:val="24"/>
              </w:rPr>
              <w:t>、</w:t>
            </w:r>
            <w:r w:rsidRPr="000A5B5D">
              <w:rPr>
                <w:szCs w:val="24"/>
              </w:rPr>
              <w:t>CPL-</w:t>
            </w:r>
            <w:r w:rsidRPr="000A5B5D">
              <w:rPr>
                <w:rFonts w:hint="eastAsia"/>
                <w:szCs w:val="24"/>
              </w:rPr>
              <w:t>锦纶产业链情况，</w:t>
            </w:r>
            <w:r w:rsidRPr="000A5B5D">
              <w:rPr>
                <w:szCs w:val="24"/>
              </w:rPr>
              <w:t>3</w:t>
            </w:r>
            <w:r w:rsidRPr="000A5B5D">
              <w:rPr>
                <w:rFonts w:hint="eastAsia"/>
                <w:szCs w:val="24"/>
              </w:rPr>
              <w:t>、原油价格波动对行业影响，</w:t>
            </w:r>
            <w:r w:rsidRPr="000A5B5D">
              <w:rPr>
                <w:szCs w:val="24"/>
              </w:rPr>
              <w:t>4</w:t>
            </w:r>
            <w:r w:rsidRPr="000A5B5D">
              <w:rPr>
                <w:rFonts w:hint="eastAsia"/>
                <w:szCs w:val="24"/>
              </w:rPr>
              <w:t>、公司聚酯产品盈利较好的原因，</w:t>
            </w:r>
            <w:r w:rsidRPr="000A5B5D">
              <w:rPr>
                <w:szCs w:val="24"/>
              </w:rPr>
              <w:t>5</w:t>
            </w:r>
            <w:r w:rsidRPr="000A5B5D">
              <w:rPr>
                <w:rFonts w:hint="eastAsia"/>
                <w:szCs w:val="24"/>
              </w:rPr>
              <w:t>、公司文莱项目的相关情况，</w:t>
            </w:r>
            <w:r w:rsidRPr="000A5B5D">
              <w:rPr>
                <w:szCs w:val="24"/>
              </w:rPr>
              <w:t>6</w:t>
            </w:r>
            <w:r w:rsidRPr="000A5B5D">
              <w:rPr>
                <w:rFonts w:hint="eastAsia"/>
                <w:szCs w:val="24"/>
              </w:rPr>
              <w:t>、</w:t>
            </w:r>
            <w:r w:rsidRPr="000A5B5D">
              <w:rPr>
                <w:szCs w:val="24"/>
              </w:rPr>
              <w:t>1</w:t>
            </w:r>
            <w:r w:rsidRPr="000A5B5D">
              <w:rPr>
                <w:rFonts w:hint="eastAsia"/>
                <w:szCs w:val="24"/>
              </w:rPr>
              <w:t>季度</w:t>
            </w:r>
            <w:r w:rsidRPr="000A5B5D">
              <w:rPr>
                <w:szCs w:val="24"/>
              </w:rPr>
              <w:t>PTA</w:t>
            </w:r>
            <w:r w:rsidRPr="000A5B5D">
              <w:rPr>
                <w:rFonts w:hint="eastAsia"/>
                <w:szCs w:val="24"/>
              </w:rPr>
              <w:t>和聚酯纤维的经营情况，</w:t>
            </w:r>
            <w:r w:rsidRPr="000A5B5D">
              <w:rPr>
                <w:szCs w:val="24"/>
              </w:rPr>
              <w:t>7</w:t>
            </w:r>
            <w:r w:rsidRPr="000A5B5D">
              <w:rPr>
                <w:rFonts w:hint="eastAsia"/>
                <w:szCs w:val="24"/>
              </w:rPr>
              <w:t>、公司参股的浙商银行情况，</w:t>
            </w:r>
            <w:r w:rsidRPr="000A5B5D">
              <w:rPr>
                <w:szCs w:val="24"/>
              </w:rPr>
              <w:t>8</w:t>
            </w:r>
            <w:r w:rsidRPr="000A5B5D">
              <w:rPr>
                <w:rFonts w:hint="eastAsia"/>
                <w:szCs w:val="24"/>
              </w:rPr>
              <w:t>、公司原料采购情况，</w:t>
            </w:r>
            <w:r w:rsidRPr="000A5B5D">
              <w:rPr>
                <w:szCs w:val="24"/>
              </w:rPr>
              <w:t>9</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lastRenderedPageBreak/>
              <w:t>2015</w:t>
            </w:r>
            <w:r w:rsidRPr="000A5B5D">
              <w:rPr>
                <w:rFonts w:hint="eastAsia"/>
                <w:szCs w:val="24"/>
              </w:rPr>
              <w:t>年</w:t>
            </w:r>
            <w:r w:rsidRPr="000A5B5D">
              <w:rPr>
                <w:szCs w:val="24"/>
              </w:rPr>
              <w:t>04</w:t>
            </w:r>
            <w:r w:rsidRPr="000A5B5D">
              <w:rPr>
                <w:rFonts w:hint="eastAsia"/>
                <w:szCs w:val="24"/>
              </w:rPr>
              <w:t>月</w:t>
            </w:r>
            <w:r w:rsidRPr="000A5B5D">
              <w:rPr>
                <w:szCs w:val="24"/>
              </w:rPr>
              <w:t>09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、文莱项目的建设情况，</w:t>
            </w:r>
            <w:r w:rsidRPr="000A5B5D">
              <w:rPr>
                <w:szCs w:val="24"/>
              </w:rPr>
              <w:t>2</w:t>
            </w:r>
            <w:r w:rsidRPr="000A5B5D">
              <w:rPr>
                <w:rFonts w:hint="eastAsia"/>
                <w:szCs w:val="24"/>
              </w:rPr>
              <w:t>、互联网思维的考虑，</w:t>
            </w:r>
            <w:r w:rsidRPr="000A5B5D">
              <w:rPr>
                <w:szCs w:val="24"/>
              </w:rPr>
              <w:t>3</w:t>
            </w:r>
            <w:r w:rsidRPr="000A5B5D">
              <w:rPr>
                <w:rFonts w:hint="eastAsia"/>
                <w:szCs w:val="24"/>
              </w:rPr>
              <w:t>、公司参股的浙商银行情况，</w:t>
            </w:r>
            <w:r w:rsidRPr="000A5B5D">
              <w:rPr>
                <w:szCs w:val="24"/>
              </w:rPr>
              <w:t>4</w:t>
            </w:r>
            <w:r w:rsidRPr="000A5B5D">
              <w:rPr>
                <w:rFonts w:hint="eastAsia"/>
                <w:szCs w:val="24"/>
              </w:rPr>
              <w:t>、公司对股权激励的考虑，</w:t>
            </w:r>
            <w:r w:rsidRPr="000A5B5D">
              <w:rPr>
                <w:szCs w:val="24"/>
              </w:rPr>
              <w:t>5</w:t>
            </w:r>
            <w:r w:rsidRPr="000A5B5D">
              <w:rPr>
                <w:rFonts w:hint="eastAsia"/>
                <w:szCs w:val="24"/>
              </w:rPr>
              <w:t>、</w:t>
            </w:r>
            <w:r w:rsidRPr="000A5B5D">
              <w:rPr>
                <w:szCs w:val="24"/>
              </w:rPr>
              <w:t>PX-PTA-</w:t>
            </w:r>
            <w:r w:rsidRPr="000A5B5D">
              <w:rPr>
                <w:rFonts w:hint="eastAsia"/>
                <w:szCs w:val="24"/>
              </w:rPr>
              <w:t>聚酯纤维行业情况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、公司基本情况及产能情况介绍，</w:t>
            </w:r>
            <w:r w:rsidRPr="000A5B5D">
              <w:rPr>
                <w:szCs w:val="24"/>
              </w:rPr>
              <w:t>2</w:t>
            </w:r>
            <w:r w:rsidRPr="000A5B5D">
              <w:rPr>
                <w:rFonts w:hint="eastAsia"/>
                <w:szCs w:val="24"/>
              </w:rPr>
              <w:t>、</w:t>
            </w:r>
            <w:r w:rsidRPr="000A5B5D">
              <w:rPr>
                <w:szCs w:val="24"/>
              </w:rPr>
              <w:t>PX-PTA-</w:t>
            </w:r>
            <w:r w:rsidRPr="000A5B5D">
              <w:rPr>
                <w:rFonts w:hint="eastAsia"/>
                <w:szCs w:val="24"/>
              </w:rPr>
              <w:t>聚酯纤维行业展望，</w:t>
            </w:r>
            <w:r w:rsidRPr="000A5B5D">
              <w:rPr>
                <w:szCs w:val="24"/>
              </w:rPr>
              <w:t>3</w:t>
            </w:r>
            <w:r w:rsidRPr="000A5B5D">
              <w:rPr>
                <w:rFonts w:hint="eastAsia"/>
                <w:szCs w:val="24"/>
              </w:rPr>
              <w:t>、</w:t>
            </w:r>
            <w:r w:rsidRPr="000A5B5D">
              <w:rPr>
                <w:szCs w:val="24"/>
              </w:rPr>
              <w:t>CPL-</w:t>
            </w:r>
            <w:r w:rsidRPr="000A5B5D">
              <w:rPr>
                <w:rFonts w:hint="eastAsia"/>
                <w:szCs w:val="24"/>
              </w:rPr>
              <w:t>锦纶产业链展望，</w:t>
            </w:r>
            <w:r w:rsidRPr="000A5B5D">
              <w:rPr>
                <w:szCs w:val="24"/>
              </w:rPr>
              <w:t>4</w:t>
            </w:r>
            <w:r w:rsidRPr="000A5B5D">
              <w:rPr>
                <w:rFonts w:hint="eastAsia"/>
                <w:szCs w:val="24"/>
              </w:rPr>
              <w:t>、原油价格波动对行业影响，是否影响库存策略，</w:t>
            </w:r>
            <w:r w:rsidRPr="000A5B5D">
              <w:rPr>
                <w:szCs w:val="24"/>
              </w:rPr>
              <w:t>5</w:t>
            </w:r>
            <w:r w:rsidRPr="000A5B5D">
              <w:rPr>
                <w:rFonts w:hint="eastAsia"/>
                <w:szCs w:val="24"/>
              </w:rPr>
              <w:t>、公司文莱项目的竞争优势，</w:t>
            </w:r>
            <w:r w:rsidRPr="000A5B5D">
              <w:rPr>
                <w:szCs w:val="24"/>
              </w:rPr>
              <w:t>6</w:t>
            </w:r>
            <w:r w:rsidRPr="000A5B5D">
              <w:rPr>
                <w:rFonts w:hint="eastAsia"/>
                <w:szCs w:val="24"/>
              </w:rPr>
              <w:t>、如何看待</w:t>
            </w:r>
            <w:r w:rsidRPr="000A5B5D">
              <w:rPr>
                <w:szCs w:val="24"/>
              </w:rPr>
              <w:t>2014</w:t>
            </w:r>
            <w:r w:rsidRPr="000A5B5D">
              <w:rPr>
                <w:rFonts w:hint="eastAsia"/>
                <w:szCs w:val="24"/>
              </w:rPr>
              <w:t>年三家</w:t>
            </w:r>
            <w:r w:rsidRPr="000A5B5D">
              <w:rPr>
                <w:szCs w:val="24"/>
              </w:rPr>
              <w:t>PTA</w:t>
            </w:r>
            <w:r w:rsidRPr="000A5B5D">
              <w:rPr>
                <w:rFonts w:hint="eastAsia"/>
                <w:szCs w:val="24"/>
              </w:rPr>
              <w:t>工厂中浙江逸盛的盈利，</w:t>
            </w:r>
            <w:r w:rsidRPr="000A5B5D">
              <w:rPr>
                <w:szCs w:val="24"/>
              </w:rPr>
              <w:t>7</w:t>
            </w:r>
            <w:r w:rsidRPr="000A5B5D">
              <w:rPr>
                <w:rFonts w:hint="eastAsia"/>
                <w:szCs w:val="24"/>
              </w:rPr>
              <w:t>、公司参股的浙商银行情况，</w:t>
            </w:r>
            <w:r w:rsidRPr="000A5B5D">
              <w:rPr>
                <w:szCs w:val="24"/>
              </w:rPr>
              <w:t>8</w:t>
            </w:r>
            <w:r w:rsidRPr="000A5B5D">
              <w:rPr>
                <w:rFonts w:hint="eastAsia"/>
                <w:szCs w:val="24"/>
              </w:rPr>
              <w:t>、公司原料采购情况，</w:t>
            </w:r>
            <w:r w:rsidRPr="000A5B5D">
              <w:rPr>
                <w:szCs w:val="24"/>
              </w:rPr>
              <w:t>9</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、公司基本情况及产能情况介绍，</w:t>
            </w:r>
            <w:r w:rsidRPr="000A5B5D">
              <w:rPr>
                <w:szCs w:val="24"/>
              </w:rPr>
              <w:t>2</w:t>
            </w:r>
            <w:r w:rsidRPr="000A5B5D">
              <w:rPr>
                <w:rFonts w:hint="eastAsia"/>
                <w:szCs w:val="24"/>
              </w:rPr>
              <w:t>、</w:t>
            </w:r>
            <w:r w:rsidRPr="000A5B5D">
              <w:rPr>
                <w:szCs w:val="24"/>
              </w:rPr>
              <w:t>PX-PTA-</w:t>
            </w:r>
            <w:r w:rsidRPr="000A5B5D">
              <w:rPr>
                <w:rFonts w:hint="eastAsia"/>
                <w:szCs w:val="24"/>
              </w:rPr>
              <w:t>聚酯纤维行业展望，</w:t>
            </w:r>
            <w:r w:rsidRPr="000A5B5D">
              <w:rPr>
                <w:szCs w:val="24"/>
              </w:rPr>
              <w:t>3</w:t>
            </w:r>
            <w:r w:rsidRPr="000A5B5D">
              <w:rPr>
                <w:rFonts w:hint="eastAsia"/>
                <w:szCs w:val="24"/>
              </w:rPr>
              <w:t>、公司文莱项目的竞争优势，</w:t>
            </w:r>
            <w:r w:rsidRPr="000A5B5D">
              <w:rPr>
                <w:szCs w:val="24"/>
              </w:rPr>
              <w:t>4</w:t>
            </w:r>
            <w:r w:rsidRPr="000A5B5D">
              <w:rPr>
                <w:rFonts w:hint="eastAsia"/>
                <w:szCs w:val="24"/>
              </w:rPr>
              <w:t>、如何看待</w:t>
            </w:r>
            <w:r w:rsidRPr="000A5B5D">
              <w:rPr>
                <w:szCs w:val="24"/>
              </w:rPr>
              <w:t>2014</w:t>
            </w:r>
            <w:r w:rsidRPr="000A5B5D">
              <w:rPr>
                <w:rFonts w:hint="eastAsia"/>
                <w:szCs w:val="24"/>
              </w:rPr>
              <w:t>年三家</w:t>
            </w:r>
            <w:r w:rsidRPr="000A5B5D">
              <w:rPr>
                <w:szCs w:val="24"/>
              </w:rPr>
              <w:t>PTA</w:t>
            </w:r>
            <w:r w:rsidRPr="000A5B5D">
              <w:rPr>
                <w:rFonts w:hint="eastAsia"/>
                <w:szCs w:val="24"/>
              </w:rPr>
              <w:t>工厂中浙江逸盛的盈利，</w:t>
            </w:r>
            <w:r w:rsidRPr="000A5B5D">
              <w:rPr>
                <w:szCs w:val="24"/>
              </w:rPr>
              <w:t>5</w:t>
            </w:r>
            <w:r w:rsidRPr="000A5B5D">
              <w:rPr>
                <w:rFonts w:hint="eastAsia"/>
                <w:szCs w:val="24"/>
              </w:rPr>
              <w:t>、公司参股的浙商银行情况，</w:t>
            </w:r>
            <w:r w:rsidRPr="000A5B5D">
              <w:rPr>
                <w:szCs w:val="24"/>
              </w:rPr>
              <w:t>6</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28</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、公司基本情况，</w:t>
            </w:r>
            <w:r w:rsidRPr="000A5B5D">
              <w:rPr>
                <w:szCs w:val="24"/>
              </w:rPr>
              <w:t>2</w:t>
            </w:r>
            <w:r w:rsidRPr="000A5B5D">
              <w:rPr>
                <w:rFonts w:hint="eastAsia"/>
                <w:szCs w:val="24"/>
              </w:rPr>
              <w:t>、浙商银行基本情况，</w:t>
            </w:r>
            <w:r w:rsidRPr="000A5B5D">
              <w:rPr>
                <w:szCs w:val="24"/>
              </w:rPr>
              <w:t>3</w:t>
            </w:r>
            <w:r w:rsidRPr="000A5B5D">
              <w:rPr>
                <w:rFonts w:hint="eastAsia"/>
                <w:szCs w:val="24"/>
              </w:rPr>
              <w:t>、</w:t>
            </w:r>
            <w:r w:rsidRPr="000A5B5D">
              <w:rPr>
                <w:szCs w:val="24"/>
              </w:rPr>
              <w:t>PX-PTA-</w:t>
            </w:r>
            <w:r w:rsidRPr="000A5B5D">
              <w:rPr>
                <w:rFonts w:hint="eastAsia"/>
                <w:szCs w:val="24"/>
              </w:rPr>
              <w:t>聚酯纤维行业展望，</w:t>
            </w:r>
            <w:r w:rsidRPr="000A5B5D">
              <w:rPr>
                <w:szCs w:val="24"/>
              </w:rPr>
              <w:t>4</w:t>
            </w:r>
            <w:r w:rsidRPr="000A5B5D">
              <w:rPr>
                <w:rFonts w:hint="eastAsia"/>
                <w:szCs w:val="24"/>
              </w:rPr>
              <w:t>、文莱项目的进展情况及竞争优势，</w:t>
            </w:r>
            <w:r w:rsidRPr="000A5B5D">
              <w:rPr>
                <w:szCs w:val="24"/>
              </w:rPr>
              <w:t>5</w:t>
            </w:r>
            <w:r w:rsidRPr="000A5B5D">
              <w:rPr>
                <w:rFonts w:hint="eastAsia"/>
                <w:szCs w:val="24"/>
              </w:rPr>
              <w:t>、近期公司经营情况，</w:t>
            </w:r>
            <w:r w:rsidRPr="000A5B5D">
              <w:rPr>
                <w:szCs w:val="24"/>
              </w:rPr>
              <w:t>6</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7</w:t>
            </w:r>
            <w:r w:rsidRPr="000A5B5D">
              <w:rPr>
                <w:rFonts w:hint="eastAsia"/>
                <w:szCs w:val="24"/>
              </w:rPr>
              <w:t>、公司对集团定增的进展情况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、公司基本情况，</w:t>
            </w:r>
            <w:r w:rsidRPr="000A5B5D">
              <w:rPr>
                <w:szCs w:val="24"/>
              </w:rPr>
              <w:t>2</w:t>
            </w:r>
            <w:r w:rsidRPr="000A5B5D">
              <w:rPr>
                <w:rFonts w:hint="eastAsia"/>
                <w:szCs w:val="24"/>
              </w:rPr>
              <w:t>、如何看待</w:t>
            </w:r>
            <w:r w:rsidRPr="000A5B5D">
              <w:rPr>
                <w:szCs w:val="24"/>
              </w:rPr>
              <w:t>2014</w:t>
            </w:r>
            <w:r w:rsidRPr="000A5B5D">
              <w:rPr>
                <w:rFonts w:hint="eastAsia"/>
                <w:szCs w:val="24"/>
              </w:rPr>
              <w:t>年三家</w:t>
            </w:r>
            <w:r w:rsidRPr="000A5B5D">
              <w:rPr>
                <w:szCs w:val="24"/>
              </w:rPr>
              <w:t>PTA</w:t>
            </w:r>
            <w:r w:rsidRPr="000A5B5D">
              <w:rPr>
                <w:rFonts w:hint="eastAsia"/>
                <w:szCs w:val="24"/>
              </w:rPr>
              <w:t>工厂中浙江逸盛的盈利，</w:t>
            </w:r>
            <w:r w:rsidRPr="000A5B5D">
              <w:rPr>
                <w:szCs w:val="24"/>
              </w:rPr>
              <w:t>3</w:t>
            </w:r>
            <w:r w:rsidRPr="000A5B5D">
              <w:rPr>
                <w:rFonts w:hint="eastAsia"/>
                <w:szCs w:val="24"/>
              </w:rPr>
              <w:t>、公司聚酯产品盈利较好的原因，</w:t>
            </w:r>
            <w:r w:rsidRPr="000A5B5D">
              <w:rPr>
                <w:szCs w:val="24"/>
              </w:rPr>
              <w:t>4</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5</w:t>
            </w:r>
            <w:r w:rsidRPr="000A5B5D">
              <w:rPr>
                <w:rFonts w:hint="eastAsia"/>
                <w:szCs w:val="24"/>
              </w:rPr>
              <w:t>、公司对股权激励的考虑，</w:t>
            </w:r>
            <w:r w:rsidRPr="000A5B5D">
              <w:rPr>
                <w:szCs w:val="24"/>
              </w:rPr>
              <w:t>6</w:t>
            </w:r>
            <w:r w:rsidRPr="000A5B5D">
              <w:rPr>
                <w:rFonts w:hint="eastAsia"/>
                <w:szCs w:val="24"/>
              </w:rPr>
              <w:t>、文莱项目的进展情况及竞争优势，</w:t>
            </w:r>
            <w:r w:rsidRPr="000A5B5D">
              <w:rPr>
                <w:szCs w:val="24"/>
              </w:rPr>
              <w:t>7</w:t>
            </w:r>
            <w:r w:rsidRPr="000A5B5D">
              <w:rPr>
                <w:rFonts w:hint="eastAsia"/>
                <w:szCs w:val="24"/>
              </w:rPr>
              <w:t>、公司在己内酰胺产业方面的规划，</w:t>
            </w:r>
            <w:r w:rsidRPr="000A5B5D">
              <w:rPr>
                <w:szCs w:val="24"/>
              </w:rPr>
              <w:t>8</w:t>
            </w:r>
            <w:r w:rsidRPr="000A5B5D">
              <w:rPr>
                <w:rFonts w:hint="eastAsia"/>
                <w:szCs w:val="24"/>
              </w:rPr>
              <w:t>、公司在股权融资方面的考虑</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PX-PTA-</w:t>
            </w:r>
            <w:r w:rsidRPr="000A5B5D">
              <w:rPr>
                <w:rFonts w:hint="eastAsia"/>
                <w:szCs w:val="24"/>
              </w:rPr>
              <w:t>聚酯纤维行业情况，</w:t>
            </w:r>
            <w:r w:rsidRPr="000A5B5D">
              <w:rPr>
                <w:szCs w:val="24"/>
              </w:rPr>
              <w:t>2</w:t>
            </w:r>
            <w:r w:rsidRPr="000A5B5D">
              <w:rPr>
                <w:rFonts w:hint="eastAsia"/>
                <w:szCs w:val="24"/>
              </w:rPr>
              <w:t>、如何看待</w:t>
            </w:r>
            <w:r w:rsidRPr="000A5B5D">
              <w:rPr>
                <w:szCs w:val="24"/>
              </w:rPr>
              <w:t>2014</w:t>
            </w:r>
            <w:r w:rsidRPr="000A5B5D">
              <w:rPr>
                <w:rFonts w:hint="eastAsia"/>
                <w:szCs w:val="24"/>
              </w:rPr>
              <w:t>年度三家</w:t>
            </w:r>
            <w:r w:rsidRPr="000A5B5D">
              <w:rPr>
                <w:szCs w:val="24"/>
              </w:rPr>
              <w:t>PTA</w:t>
            </w:r>
            <w:r w:rsidRPr="000A5B5D">
              <w:rPr>
                <w:rFonts w:hint="eastAsia"/>
                <w:szCs w:val="24"/>
              </w:rPr>
              <w:t>工厂中浙江逸盛的盈利，</w:t>
            </w:r>
            <w:r w:rsidRPr="000A5B5D">
              <w:rPr>
                <w:szCs w:val="24"/>
              </w:rPr>
              <w:t>3</w:t>
            </w:r>
            <w:r w:rsidRPr="000A5B5D">
              <w:rPr>
                <w:rFonts w:hint="eastAsia"/>
                <w:szCs w:val="24"/>
              </w:rPr>
              <w:t>、近期公司经营情况，</w:t>
            </w:r>
            <w:r w:rsidRPr="000A5B5D">
              <w:rPr>
                <w:szCs w:val="24"/>
              </w:rPr>
              <w:t>4</w:t>
            </w:r>
            <w:r w:rsidRPr="000A5B5D">
              <w:rPr>
                <w:rFonts w:hint="eastAsia"/>
                <w:szCs w:val="24"/>
              </w:rPr>
              <w:t>、文莱项目的进展情况及竞争优势，</w:t>
            </w:r>
            <w:r w:rsidRPr="000A5B5D">
              <w:rPr>
                <w:szCs w:val="24"/>
              </w:rPr>
              <w:t>5</w:t>
            </w:r>
            <w:r w:rsidRPr="000A5B5D">
              <w:rPr>
                <w:rFonts w:hint="eastAsia"/>
                <w:szCs w:val="24"/>
              </w:rPr>
              <w:t>、公司定增项目的进展</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02</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、文莱项目的进展情况及竞争优势，</w:t>
            </w:r>
            <w:r w:rsidRPr="000A5B5D">
              <w:rPr>
                <w:szCs w:val="24"/>
              </w:rPr>
              <w:t>2</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3</w:t>
            </w:r>
            <w:r w:rsidRPr="000A5B5D">
              <w:rPr>
                <w:rFonts w:hint="eastAsia"/>
                <w:szCs w:val="24"/>
              </w:rPr>
              <w:t>、公司对股权激励的考虑，</w:t>
            </w:r>
            <w:r w:rsidRPr="000A5B5D">
              <w:rPr>
                <w:szCs w:val="24"/>
              </w:rPr>
              <w:t>4</w:t>
            </w:r>
            <w:r w:rsidRPr="000A5B5D">
              <w:rPr>
                <w:rFonts w:hint="eastAsia"/>
                <w:szCs w:val="24"/>
              </w:rPr>
              <w:t>、公司参股的浙商银行情况，</w:t>
            </w:r>
            <w:r w:rsidRPr="000A5B5D">
              <w:rPr>
                <w:szCs w:val="24"/>
              </w:rPr>
              <w:t>5</w:t>
            </w:r>
            <w:r w:rsidRPr="000A5B5D">
              <w:rPr>
                <w:rFonts w:hint="eastAsia"/>
                <w:szCs w:val="24"/>
              </w:rPr>
              <w:t>、对集团</w:t>
            </w:r>
            <w:r w:rsidRPr="000A5B5D">
              <w:rPr>
                <w:szCs w:val="24"/>
              </w:rPr>
              <w:t>10</w:t>
            </w:r>
            <w:r w:rsidRPr="000A5B5D">
              <w:rPr>
                <w:rFonts w:hint="eastAsia"/>
                <w:szCs w:val="24"/>
              </w:rPr>
              <w:t>亿元定增的进展情况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09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、公司文莱项目的进展情况及竞争优势，</w:t>
            </w:r>
            <w:r w:rsidRPr="000A5B5D">
              <w:rPr>
                <w:szCs w:val="24"/>
              </w:rPr>
              <w:t>2</w:t>
            </w:r>
            <w:r w:rsidRPr="000A5B5D">
              <w:rPr>
                <w:rFonts w:hint="eastAsia"/>
                <w:szCs w:val="24"/>
              </w:rPr>
              <w:t>、文莱项目的投资情况，</w:t>
            </w:r>
            <w:r w:rsidRPr="000A5B5D">
              <w:rPr>
                <w:szCs w:val="24"/>
              </w:rPr>
              <w:t>3</w:t>
            </w:r>
            <w:r w:rsidRPr="000A5B5D">
              <w:rPr>
                <w:rFonts w:hint="eastAsia"/>
                <w:szCs w:val="24"/>
              </w:rPr>
              <w:t>、公司定增项目的进展，</w:t>
            </w:r>
            <w:r w:rsidRPr="000A5B5D">
              <w:rPr>
                <w:szCs w:val="24"/>
              </w:rPr>
              <w:t>4</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5</w:t>
            </w:r>
            <w:r w:rsidRPr="000A5B5D">
              <w:rPr>
                <w:rFonts w:hint="eastAsia"/>
                <w:szCs w:val="24"/>
              </w:rPr>
              <w:t>、公司对股权激励的考虑，</w:t>
            </w:r>
            <w:r w:rsidRPr="000A5B5D">
              <w:rPr>
                <w:szCs w:val="24"/>
              </w:rPr>
              <w:t>6</w:t>
            </w:r>
            <w:r w:rsidRPr="000A5B5D">
              <w:rPr>
                <w:rFonts w:hint="eastAsia"/>
                <w:szCs w:val="24"/>
              </w:rPr>
              <w:t>、公司参股的浙商银行情况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24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2</w:t>
            </w:r>
            <w:r w:rsidRPr="000A5B5D">
              <w:rPr>
                <w:rFonts w:hint="eastAsia"/>
                <w:szCs w:val="24"/>
              </w:rPr>
              <w:t>、</w:t>
            </w:r>
            <w:r w:rsidRPr="000A5B5D">
              <w:rPr>
                <w:szCs w:val="24"/>
              </w:rPr>
              <w:t>2015</w:t>
            </w:r>
            <w:r w:rsidRPr="000A5B5D">
              <w:rPr>
                <w:rFonts w:hint="eastAsia"/>
                <w:szCs w:val="24"/>
              </w:rPr>
              <w:t>年上半年公司业绩情况，</w:t>
            </w:r>
            <w:r w:rsidRPr="000A5B5D">
              <w:rPr>
                <w:szCs w:val="24"/>
              </w:rPr>
              <w:t>3</w:t>
            </w:r>
            <w:r w:rsidRPr="000A5B5D">
              <w:rPr>
                <w:rFonts w:hint="eastAsia"/>
                <w:szCs w:val="24"/>
              </w:rPr>
              <w:t>、近期公司经营情况，</w:t>
            </w:r>
            <w:r w:rsidRPr="000A5B5D">
              <w:rPr>
                <w:szCs w:val="24"/>
              </w:rPr>
              <w:t>4</w:t>
            </w:r>
            <w:r w:rsidRPr="000A5B5D">
              <w:rPr>
                <w:rFonts w:hint="eastAsia"/>
                <w:szCs w:val="24"/>
              </w:rPr>
              <w:t>、对集团</w:t>
            </w:r>
            <w:r w:rsidRPr="000A5B5D">
              <w:rPr>
                <w:szCs w:val="24"/>
              </w:rPr>
              <w:t>10</w:t>
            </w:r>
            <w:r w:rsidRPr="000A5B5D">
              <w:rPr>
                <w:rFonts w:hint="eastAsia"/>
                <w:szCs w:val="24"/>
              </w:rPr>
              <w:t>亿元定增的进展情况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30</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与公司主业结合情况，</w:t>
            </w:r>
            <w:r w:rsidRPr="000A5B5D">
              <w:rPr>
                <w:szCs w:val="24"/>
              </w:rPr>
              <w:t>2</w:t>
            </w:r>
            <w:r w:rsidRPr="000A5B5D">
              <w:rPr>
                <w:rFonts w:hint="eastAsia"/>
                <w:szCs w:val="24"/>
              </w:rPr>
              <w:t>、文莱项目的进展情况及竞争优势，</w:t>
            </w:r>
            <w:r w:rsidRPr="000A5B5D">
              <w:rPr>
                <w:szCs w:val="24"/>
              </w:rPr>
              <w:t>3</w:t>
            </w:r>
            <w:r w:rsidRPr="000A5B5D">
              <w:rPr>
                <w:rFonts w:hint="eastAsia"/>
                <w:szCs w:val="24"/>
              </w:rPr>
              <w:t>、</w:t>
            </w:r>
            <w:r w:rsidRPr="000A5B5D">
              <w:rPr>
                <w:szCs w:val="24"/>
              </w:rPr>
              <w:t>2015</w:t>
            </w:r>
            <w:r w:rsidRPr="000A5B5D">
              <w:rPr>
                <w:rFonts w:hint="eastAsia"/>
                <w:szCs w:val="24"/>
              </w:rPr>
              <w:t>年上半年公司业绩情况，</w:t>
            </w:r>
            <w:r w:rsidRPr="000A5B5D">
              <w:rPr>
                <w:szCs w:val="24"/>
              </w:rPr>
              <w:t>4</w:t>
            </w:r>
            <w:r w:rsidRPr="000A5B5D">
              <w:rPr>
                <w:rFonts w:hint="eastAsia"/>
                <w:szCs w:val="24"/>
              </w:rPr>
              <w:t>、近期公司经营情况，</w:t>
            </w:r>
            <w:r w:rsidRPr="000A5B5D">
              <w:rPr>
                <w:szCs w:val="24"/>
              </w:rPr>
              <w:t>5</w:t>
            </w:r>
            <w:r w:rsidRPr="000A5B5D">
              <w:rPr>
                <w:rFonts w:hint="eastAsia"/>
                <w:szCs w:val="24"/>
              </w:rPr>
              <w:t>、对集团</w:t>
            </w:r>
            <w:r w:rsidRPr="000A5B5D">
              <w:rPr>
                <w:szCs w:val="24"/>
              </w:rPr>
              <w:t>10</w:t>
            </w:r>
            <w:r w:rsidRPr="000A5B5D">
              <w:rPr>
                <w:rFonts w:hint="eastAsia"/>
                <w:szCs w:val="24"/>
              </w:rPr>
              <w:t>亿元定增的进展情况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07</w:t>
            </w:r>
            <w:r w:rsidRPr="000A5B5D">
              <w:rPr>
                <w:rFonts w:hint="eastAsia"/>
                <w:szCs w:val="24"/>
              </w:rPr>
              <w:t>月</w:t>
            </w:r>
            <w:r w:rsidRPr="000A5B5D">
              <w:rPr>
                <w:szCs w:val="24"/>
              </w:rPr>
              <w:t>21</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、文莱项目的进展情况及人才储备情况，</w:t>
            </w:r>
            <w:r w:rsidRPr="000A5B5D">
              <w:rPr>
                <w:szCs w:val="24"/>
              </w:rPr>
              <w:t>3</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如何与公司主业结合情况，</w:t>
            </w:r>
            <w:r w:rsidRPr="000A5B5D">
              <w:rPr>
                <w:szCs w:val="24"/>
              </w:rPr>
              <w:t>4</w:t>
            </w:r>
            <w:r w:rsidRPr="000A5B5D">
              <w:rPr>
                <w:rFonts w:hint="eastAsia"/>
                <w:szCs w:val="24"/>
              </w:rPr>
              <w:t>、对集团</w:t>
            </w:r>
            <w:r w:rsidRPr="000A5B5D">
              <w:rPr>
                <w:szCs w:val="24"/>
              </w:rPr>
              <w:t>10</w:t>
            </w:r>
            <w:r w:rsidRPr="000A5B5D">
              <w:rPr>
                <w:rFonts w:hint="eastAsia"/>
                <w:szCs w:val="24"/>
              </w:rPr>
              <w:t>亿元定增的进展情况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06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电话沟通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、股权激励方案情况，</w:t>
            </w:r>
            <w:r w:rsidRPr="000A5B5D">
              <w:rPr>
                <w:szCs w:val="24"/>
              </w:rPr>
              <w:t>2</w:t>
            </w:r>
            <w:r w:rsidRPr="000A5B5D">
              <w:rPr>
                <w:rFonts w:hint="eastAsia"/>
                <w:szCs w:val="24"/>
              </w:rPr>
              <w:t>、</w:t>
            </w:r>
            <w:r w:rsidRPr="000A5B5D">
              <w:rPr>
                <w:szCs w:val="24"/>
              </w:rPr>
              <w:t>2015</w:t>
            </w:r>
            <w:r w:rsidRPr="000A5B5D">
              <w:rPr>
                <w:rFonts w:hint="eastAsia"/>
                <w:szCs w:val="24"/>
              </w:rPr>
              <w:t>半年度报告情况，</w:t>
            </w:r>
            <w:r w:rsidRPr="000A5B5D">
              <w:rPr>
                <w:szCs w:val="24"/>
              </w:rPr>
              <w:t>3</w:t>
            </w:r>
            <w:r w:rsidRPr="000A5B5D">
              <w:rPr>
                <w:rFonts w:hint="eastAsia"/>
                <w:szCs w:val="24"/>
              </w:rPr>
              <w:t>、目前的行业产能投放情况，</w:t>
            </w:r>
            <w:r w:rsidRPr="000A5B5D">
              <w:rPr>
                <w:szCs w:val="24"/>
              </w:rPr>
              <w:t>4</w:t>
            </w:r>
            <w:r w:rsidRPr="000A5B5D">
              <w:rPr>
                <w:rFonts w:hint="eastAsia"/>
                <w:szCs w:val="24"/>
              </w:rPr>
              <w:t>、行业开工率与下游库存情况，</w:t>
            </w:r>
            <w:r w:rsidRPr="000A5B5D">
              <w:rPr>
                <w:szCs w:val="24"/>
              </w:rPr>
              <w:t>5</w:t>
            </w:r>
            <w:r w:rsidRPr="000A5B5D">
              <w:rPr>
                <w:rFonts w:hint="eastAsia"/>
                <w:szCs w:val="24"/>
              </w:rPr>
              <w:t>、公司</w:t>
            </w:r>
            <w:r w:rsidRPr="000A5B5D">
              <w:rPr>
                <w:szCs w:val="24"/>
              </w:rPr>
              <w:t>PMB</w:t>
            </w:r>
            <w:r w:rsidRPr="000A5B5D">
              <w:rPr>
                <w:rFonts w:hint="eastAsia"/>
                <w:szCs w:val="24"/>
              </w:rPr>
              <w:t>石油化工项目的定位，</w:t>
            </w:r>
            <w:r w:rsidRPr="000A5B5D">
              <w:rPr>
                <w:szCs w:val="24"/>
              </w:rPr>
              <w:t>6</w:t>
            </w:r>
            <w:r w:rsidRPr="000A5B5D">
              <w:rPr>
                <w:rFonts w:hint="eastAsia"/>
                <w:szCs w:val="24"/>
              </w:rPr>
              <w:t>、</w:t>
            </w:r>
            <w:r w:rsidRPr="000A5B5D">
              <w:rPr>
                <w:szCs w:val="24"/>
              </w:rPr>
              <w:t>PMB</w:t>
            </w:r>
            <w:r w:rsidRPr="000A5B5D">
              <w:rPr>
                <w:rFonts w:hint="eastAsia"/>
                <w:szCs w:val="24"/>
              </w:rPr>
              <w:t>石油化工项目的人员储备情况，</w:t>
            </w:r>
            <w:r w:rsidRPr="000A5B5D">
              <w:rPr>
                <w:szCs w:val="24"/>
              </w:rPr>
              <w:t>7</w:t>
            </w:r>
            <w:r w:rsidRPr="000A5B5D">
              <w:rPr>
                <w:rFonts w:hint="eastAsia"/>
                <w:szCs w:val="24"/>
              </w:rPr>
              <w:t>、</w:t>
            </w:r>
            <w:r w:rsidRPr="000A5B5D">
              <w:rPr>
                <w:szCs w:val="24"/>
              </w:rPr>
              <w:t>PMB</w:t>
            </w:r>
            <w:r w:rsidRPr="000A5B5D">
              <w:rPr>
                <w:rFonts w:hint="eastAsia"/>
                <w:szCs w:val="24"/>
              </w:rPr>
              <w:t>石油化工项目净利润情况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07</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2015</w:t>
            </w:r>
            <w:r w:rsidRPr="000A5B5D">
              <w:rPr>
                <w:rFonts w:hint="eastAsia"/>
                <w:szCs w:val="24"/>
              </w:rPr>
              <w:t>半年度报告情况，</w:t>
            </w:r>
            <w:r w:rsidRPr="000A5B5D">
              <w:rPr>
                <w:szCs w:val="24"/>
              </w:rPr>
              <w:t>2</w:t>
            </w:r>
            <w:r w:rsidRPr="000A5B5D">
              <w:rPr>
                <w:rFonts w:hint="eastAsia"/>
                <w:szCs w:val="24"/>
              </w:rPr>
              <w:t>、目前的行业情况，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工作的推进情况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24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个人</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、公司环保方面的措施，</w:t>
            </w:r>
            <w:r w:rsidRPr="000A5B5D">
              <w:rPr>
                <w:szCs w:val="24"/>
              </w:rPr>
              <w:t>2</w:t>
            </w:r>
            <w:r w:rsidRPr="000A5B5D">
              <w:rPr>
                <w:rFonts w:hint="eastAsia"/>
                <w:szCs w:val="24"/>
              </w:rPr>
              <w:t>、控股股东质押股票情况，</w:t>
            </w:r>
            <w:r w:rsidRPr="000A5B5D">
              <w:rPr>
                <w:szCs w:val="24"/>
              </w:rPr>
              <w:t>3</w:t>
            </w:r>
            <w:r w:rsidRPr="000A5B5D">
              <w:rPr>
                <w:rFonts w:hint="eastAsia"/>
                <w:szCs w:val="24"/>
              </w:rPr>
              <w:t>、公司对股价方面的考虑，</w:t>
            </w:r>
            <w:r w:rsidRPr="000A5B5D">
              <w:rPr>
                <w:szCs w:val="24"/>
              </w:rPr>
              <w:t>4</w:t>
            </w:r>
            <w:r w:rsidRPr="000A5B5D">
              <w:rPr>
                <w:rFonts w:hint="eastAsia"/>
                <w:szCs w:val="24"/>
              </w:rPr>
              <w:t>、公司持有浙商银行股份情况，</w:t>
            </w:r>
            <w:r w:rsidRPr="000A5B5D">
              <w:rPr>
                <w:szCs w:val="24"/>
              </w:rPr>
              <w:t>5</w:t>
            </w:r>
            <w:r w:rsidRPr="000A5B5D">
              <w:rPr>
                <w:rFonts w:hint="eastAsia"/>
                <w:szCs w:val="24"/>
              </w:rPr>
              <w:t>、远东石化的破产对公司的影响和启示，</w:t>
            </w:r>
            <w:r w:rsidRPr="000A5B5D">
              <w:rPr>
                <w:szCs w:val="24"/>
              </w:rPr>
              <w:t>6</w:t>
            </w:r>
            <w:r w:rsidRPr="000A5B5D">
              <w:rPr>
                <w:rFonts w:hint="eastAsia"/>
                <w:szCs w:val="24"/>
              </w:rPr>
              <w:t>、公司在文莱的</w:t>
            </w:r>
            <w:r w:rsidRPr="000A5B5D">
              <w:rPr>
                <w:szCs w:val="24"/>
              </w:rPr>
              <w:t>px</w:t>
            </w:r>
            <w:r w:rsidRPr="000A5B5D">
              <w:rPr>
                <w:rFonts w:hint="eastAsia"/>
                <w:szCs w:val="24"/>
              </w:rPr>
              <w:t>项目情况，</w:t>
            </w:r>
            <w:r w:rsidRPr="000A5B5D">
              <w:rPr>
                <w:szCs w:val="24"/>
              </w:rPr>
              <w:t>7</w:t>
            </w:r>
            <w:r w:rsidRPr="000A5B5D">
              <w:rPr>
                <w:rFonts w:hint="eastAsia"/>
                <w:szCs w:val="24"/>
              </w:rPr>
              <w:t>、公司财务费用方面的情况，</w:t>
            </w:r>
            <w:r w:rsidRPr="000A5B5D">
              <w:rPr>
                <w:szCs w:val="24"/>
              </w:rPr>
              <w:t>8</w:t>
            </w:r>
            <w:r w:rsidRPr="000A5B5D">
              <w:rPr>
                <w:rFonts w:hint="eastAsia"/>
                <w:szCs w:val="24"/>
              </w:rPr>
              <w:t>、公司的开工率和职工</w:t>
            </w:r>
            <w:r w:rsidRPr="000A5B5D">
              <w:rPr>
                <w:rFonts w:hint="eastAsia"/>
                <w:szCs w:val="24"/>
              </w:rPr>
              <w:lastRenderedPageBreak/>
              <w:t>人数情况，</w:t>
            </w:r>
            <w:r w:rsidRPr="000A5B5D">
              <w:rPr>
                <w:szCs w:val="24"/>
              </w:rPr>
              <w:t>9</w:t>
            </w:r>
            <w:r w:rsidRPr="000A5B5D">
              <w:rPr>
                <w:rFonts w:hint="eastAsia"/>
                <w:szCs w:val="24"/>
              </w:rPr>
              <w:t>、公司是否有碳纤维项目</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lastRenderedPageBreak/>
              <w:t>2015</w:t>
            </w:r>
            <w:r w:rsidRPr="000A5B5D">
              <w:rPr>
                <w:rFonts w:hint="eastAsia"/>
                <w:szCs w:val="24"/>
              </w:rPr>
              <w:t>年</w:t>
            </w:r>
            <w:r w:rsidRPr="000A5B5D">
              <w:rPr>
                <w:szCs w:val="24"/>
              </w:rPr>
              <w:t>09</w:t>
            </w:r>
            <w:r w:rsidRPr="000A5B5D">
              <w:rPr>
                <w:rFonts w:hint="eastAsia"/>
                <w:szCs w:val="24"/>
              </w:rPr>
              <w:t>月</w:t>
            </w:r>
            <w:r w:rsidRPr="000A5B5D">
              <w:rPr>
                <w:szCs w:val="24"/>
              </w:rPr>
              <w:t>25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3</w:t>
            </w:r>
            <w:r w:rsidRPr="000A5B5D">
              <w:rPr>
                <w:rFonts w:hint="eastAsia"/>
                <w:szCs w:val="24"/>
              </w:rPr>
              <w:t>、公司己内酰胺项目有无扩产的计划，</w:t>
            </w:r>
            <w:r w:rsidRPr="000A5B5D">
              <w:rPr>
                <w:szCs w:val="24"/>
              </w:rPr>
              <w:t>4</w:t>
            </w:r>
            <w:r w:rsidRPr="000A5B5D">
              <w:rPr>
                <w:rFonts w:hint="eastAsia"/>
                <w:szCs w:val="24"/>
              </w:rPr>
              <w:t>、公司针对控股股东的</w:t>
            </w:r>
            <w:r w:rsidRPr="000A5B5D">
              <w:rPr>
                <w:szCs w:val="24"/>
              </w:rPr>
              <w:t>10</w:t>
            </w:r>
            <w:r w:rsidRPr="000A5B5D">
              <w:rPr>
                <w:rFonts w:hint="eastAsia"/>
                <w:szCs w:val="24"/>
              </w:rPr>
              <w:t>亿元定增项目进展情况，</w:t>
            </w:r>
            <w:r w:rsidRPr="000A5B5D">
              <w:rPr>
                <w:szCs w:val="24"/>
              </w:rPr>
              <w:t>5</w:t>
            </w:r>
            <w:r w:rsidRPr="000A5B5D">
              <w:rPr>
                <w:rFonts w:hint="eastAsia"/>
                <w:szCs w:val="24"/>
              </w:rPr>
              <w:t>、浙商银行增资扩股后的持股情况，</w:t>
            </w:r>
            <w:r w:rsidRPr="000A5B5D">
              <w:rPr>
                <w:szCs w:val="24"/>
              </w:rPr>
              <w:t>6</w:t>
            </w:r>
            <w:r w:rsidRPr="000A5B5D">
              <w:rPr>
                <w:rFonts w:hint="eastAsia"/>
                <w:szCs w:val="24"/>
              </w:rPr>
              <w:t>、上半年公司管理层新老交替的考虑，</w:t>
            </w:r>
            <w:r w:rsidRPr="000A5B5D">
              <w:rPr>
                <w:szCs w:val="24"/>
              </w:rPr>
              <w:t>7</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工作的推进情况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21</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、己内酰胺行业情况，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、公司针对控股股东的</w:t>
            </w:r>
            <w:r w:rsidRPr="000A5B5D">
              <w:rPr>
                <w:szCs w:val="24"/>
              </w:rPr>
              <w:t>10</w:t>
            </w:r>
            <w:r w:rsidRPr="000A5B5D">
              <w:rPr>
                <w:rFonts w:hint="eastAsia"/>
                <w:szCs w:val="24"/>
              </w:rPr>
              <w:t>亿元定增项目进展情况，</w:t>
            </w:r>
            <w:r w:rsidRPr="000A5B5D">
              <w:rPr>
                <w:szCs w:val="24"/>
              </w:rPr>
              <w:t>5</w:t>
            </w:r>
            <w:r w:rsidRPr="000A5B5D">
              <w:rPr>
                <w:rFonts w:hint="eastAsia"/>
                <w:szCs w:val="24"/>
              </w:rPr>
              <w:t>、浙商银行增资扩股后的持股情况，</w:t>
            </w:r>
            <w:r w:rsidRPr="000A5B5D">
              <w:rPr>
                <w:szCs w:val="24"/>
              </w:rPr>
              <w:t>6</w:t>
            </w:r>
            <w:r w:rsidRPr="000A5B5D">
              <w:rPr>
                <w:rFonts w:hint="eastAsia"/>
                <w:szCs w:val="24"/>
              </w:rPr>
              <w:t>、</w:t>
            </w:r>
            <w:r w:rsidRPr="000A5B5D">
              <w:rPr>
                <w:szCs w:val="24"/>
              </w:rPr>
              <w:t>“</w:t>
            </w:r>
            <w:r w:rsidRPr="000A5B5D">
              <w:rPr>
                <w:rFonts w:hint="eastAsia"/>
                <w:szCs w:val="24"/>
              </w:rPr>
              <w:t>互联网</w:t>
            </w:r>
            <w:r w:rsidRPr="000A5B5D">
              <w:rPr>
                <w:szCs w:val="24"/>
              </w:rPr>
              <w:t>+”</w:t>
            </w:r>
            <w:r w:rsidRPr="000A5B5D">
              <w:rPr>
                <w:rFonts w:hint="eastAsia"/>
                <w:szCs w:val="24"/>
              </w:rPr>
              <w:t>工作的推进情况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30</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、己内酰胺行业应用情况，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、公司持有浙商银行股权变动情况，</w:t>
            </w:r>
            <w:r w:rsidRPr="000A5B5D">
              <w:rPr>
                <w:szCs w:val="24"/>
              </w:rPr>
              <w:t>5</w:t>
            </w:r>
            <w:r w:rsidRPr="000A5B5D">
              <w:rPr>
                <w:rFonts w:hint="eastAsia"/>
                <w:szCs w:val="24"/>
              </w:rPr>
              <w:t>、公司股权激励工作的实施情况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02</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3</w:t>
            </w:r>
            <w:r w:rsidRPr="000A5B5D">
              <w:rPr>
                <w:rFonts w:hint="eastAsia"/>
                <w:szCs w:val="24"/>
              </w:rPr>
              <w:t>季报的相关情况，</w:t>
            </w:r>
            <w:r w:rsidRPr="000A5B5D">
              <w:rPr>
                <w:szCs w:val="24"/>
              </w:rPr>
              <w:t>2</w:t>
            </w:r>
            <w:r w:rsidRPr="000A5B5D">
              <w:rPr>
                <w:rFonts w:hint="eastAsia"/>
                <w:szCs w:val="24"/>
              </w:rPr>
              <w:t>、聚酯行业情况，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、公司持有浙商银行股权变动情况，</w:t>
            </w:r>
            <w:r w:rsidRPr="000A5B5D">
              <w:rPr>
                <w:szCs w:val="24"/>
              </w:rPr>
              <w:t>5</w:t>
            </w:r>
            <w:r w:rsidRPr="000A5B5D">
              <w:rPr>
                <w:rFonts w:hint="eastAsia"/>
                <w:szCs w:val="24"/>
              </w:rPr>
              <w:t>、公司股权激励工作的实施情况，</w:t>
            </w:r>
            <w:r w:rsidRPr="000A5B5D">
              <w:rPr>
                <w:szCs w:val="24"/>
              </w:rPr>
              <w:t>6</w:t>
            </w:r>
            <w:r w:rsidRPr="000A5B5D">
              <w:rPr>
                <w:rFonts w:hint="eastAsia"/>
                <w:szCs w:val="24"/>
              </w:rPr>
              <w:t>、公司针对控股股东的</w:t>
            </w:r>
            <w:r w:rsidRPr="000A5B5D">
              <w:rPr>
                <w:szCs w:val="24"/>
              </w:rPr>
              <w:t>10</w:t>
            </w:r>
            <w:r w:rsidRPr="000A5B5D">
              <w:rPr>
                <w:rFonts w:hint="eastAsia"/>
                <w:szCs w:val="24"/>
              </w:rPr>
              <w:t>亿元定增项目进展情况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3</w:t>
            </w:r>
            <w:r w:rsidRPr="000A5B5D">
              <w:rPr>
                <w:rFonts w:hint="eastAsia"/>
                <w:szCs w:val="24"/>
              </w:rPr>
              <w:t>季报的相关情况，</w:t>
            </w:r>
            <w:r w:rsidRPr="000A5B5D">
              <w:rPr>
                <w:szCs w:val="24"/>
              </w:rPr>
              <w:t>2</w:t>
            </w:r>
            <w:r w:rsidRPr="000A5B5D">
              <w:rPr>
                <w:rFonts w:hint="eastAsia"/>
                <w:szCs w:val="24"/>
              </w:rPr>
              <w:t>、聚酯行业情况，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、公司持有浙商银行股权变动情况，</w:t>
            </w:r>
            <w:r w:rsidRPr="000A5B5D">
              <w:rPr>
                <w:szCs w:val="24"/>
              </w:rPr>
              <w:t>5</w:t>
            </w:r>
            <w:r w:rsidRPr="000A5B5D">
              <w:rPr>
                <w:rFonts w:hint="eastAsia"/>
                <w:szCs w:val="24"/>
              </w:rPr>
              <w:t>、公司股权激励工作的实施情况，</w:t>
            </w:r>
            <w:r w:rsidRPr="000A5B5D">
              <w:rPr>
                <w:szCs w:val="24"/>
              </w:rPr>
              <w:t>6</w:t>
            </w:r>
            <w:r w:rsidRPr="000A5B5D">
              <w:rPr>
                <w:rFonts w:hint="eastAsia"/>
                <w:szCs w:val="24"/>
              </w:rPr>
              <w:t>、公司针对控股股东的</w:t>
            </w:r>
            <w:r w:rsidRPr="000A5B5D">
              <w:rPr>
                <w:szCs w:val="24"/>
              </w:rPr>
              <w:t>11</w:t>
            </w:r>
            <w:r w:rsidRPr="000A5B5D">
              <w:rPr>
                <w:rFonts w:hint="eastAsia"/>
                <w:szCs w:val="24"/>
              </w:rPr>
              <w:t>亿元定增项目进展情况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电话沟通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w:t>
            </w:r>
            <w:r w:rsidRPr="000A5B5D">
              <w:rPr>
                <w:szCs w:val="24"/>
              </w:rPr>
              <w:t>3</w:t>
            </w:r>
            <w:r w:rsidRPr="000A5B5D">
              <w:rPr>
                <w:rFonts w:hint="eastAsia"/>
                <w:szCs w:val="24"/>
              </w:rPr>
              <w:t>季报的相关情况，</w:t>
            </w:r>
            <w:r w:rsidRPr="000A5B5D">
              <w:rPr>
                <w:szCs w:val="24"/>
              </w:rPr>
              <w:t>2</w:t>
            </w:r>
            <w:r w:rsidRPr="000A5B5D">
              <w:rPr>
                <w:rFonts w:hint="eastAsia"/>
                <w:szCs w:val="24"/>
              </w:rPr>
              <w:t>、</w:t>
            </w:r>
            <w:r w:rsidRPr="000A5B5D">
              <w:rPr>
                <w:szCs w:val="24"/>
              </w:rPr>
              <w:t>PTA</w:t>
            </w:r>
            <w:r w:rsidRPr="000A5B5D">
              <w:rPr>
                <w:rFonts w:hint="eastAsia"/>
                <w:szCs w:val="24"/>
              </w:rPr>
              <w:t>行业复苏情况，</w:t>
            </w:r>
            <w:r w:rsidRPr="000A5B5D">
              <w:rPr>
                <w:szCs w:val="24"/>
              </w:rPr>
              <w:t>3</w:t>
            </w:r>
            <w:r w:rsidRPr="000A5B5D">
              <w:rPr>
                <w:rFonts w:hint="eastAsia"/>
                <w:szCs w:val="24"/>
              </w:rPr>
              <w:t>、公司</w:t>
            </w:r>
            <w:r w:rsidRPr="000A5B5D">
              <w:rPr>
                <w:szCs w:val="24"/>
              </w:rPr>
              <w:t>PMB</w:t>
            </w:r>
            <w:r w:rsidRPr="000A5B5D">
              <w:rPr>
                <w:rFonts w:hint="eastAsia"/>
                <w:szCs w:val="24"/>
              </w:rPr>
              <w:t>石油化工项目的情况，</w:t>
            </w:r>
            <w:r w:rsidRPr="000A5B5D">
              <w:rPr>
                <w:szCs w:val="24"/>
              </w:rPr>
              <w:t>4</w:t>
            </w:r>
            <w:r w:rsidRPr="000A5B5D">
              <w:rPr>
                <w:rFonts w:hint="eastAsia"/>
                <w:szCs w:val="24"/>
              </w:rPr>
              <w:t>、公司产融结合的战略发展情况，</w:t>
            </w:r>
            <w:r w:rsidRPr="000A5B5D">
              <w:rPr>
                <w:szCs w:val="24"/>
              </w:rPr>
              <w:t>5</w:t>
            </w:r>
            <w:r w:rsidRPr="000A5B5D">
              <w:rPr>
                <w:rFonts w:hint="eastAsia"/>
                <w:szCs w:val="24"/>
              </w:rPr>
              <w:t>、公司股权激励工作的实施情况，</w:t>
            </w:r>
            <w:r w:rsidRPr="000A5B5D">
              <w:rPr>
                <w:szCs w:val="24"/>
              </w:rPr>
              <w:t>6</w:t>
            </w:r>
            <w:r w:rsidRPr="000A5B5D">
              <w:rPr>
                <w:rFonts w:hint="eastAsia"/>
                <w:szCs w:val="24"/>
              </w:rPr>
              <w:t>、公司针对控股股东的</w:t>
            </w:r>
            <w:r w:rsidRPr="000A5B5D">
              <w:rPr>
                <w:szCs w:val="24"/>
              </w:rPr>
              <w:t>12</w:t>
            </w:r>
            <w:r w:rsidRPr="000A5B5D">
              <w:rPr>
                <w:rFonts w:hint="eastAsia"/>
                <w:szCs w:val="24"/>
              </w:rPr>
              <w:t>亿元定增项目进展情况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17</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电话沟通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、本次非公开发行股票情况，</w:t>
            </w:r>
            <w:r w:rsidRPr="000A5B5D">
              <w:rPr>
                <w:szCs w:val="24"/>
              </w:rPr>
              <w:t>2</w:t>
            </w:r>
            <w:r w:rsidRPr="000A5B5D">
              <w:rPr>
                <w:rFonts w:hint="eastAsia"/>
                <w:szCs w:val="24"/>
              </w:rPr>
              <w:t>、文莱</w:t>
            </w:r>
            <w:r w:rsidRPr="000A5B5D">
              <w:rPr>
                <w:szCs w:val="24"/>
              </w:rPr>
              <w:t>PMB</w:t>
            </w:r>
            <w:r w:rsidRPr="000A5B5D">
              <w:rPr>
                <w:rFonts w:hint="eastAsia"/>
                <w:szCs w:val="24"/>
              </w:rPr>
              <w:t>项目进展及优势，</w:t>
            </w:r>
            <w:r w:rsidRPr="000A5B5D">
              <w:rPr>
                <w:szCs w:val="24"/>
              </w:rPr>
              <w:t>3</w:t>
            </w:r>
            <w:r w:rsidRPr="000A5B5D">
              <w:rPr>
                <w:rFonts w:hint="eastAsia"/>
                <w:szCs w:val="24"/>
              </w:rPr>
              <w:t>、</w:t>
            </w:r>
            <w:r w:rsidRPr="000A5B5D">
              <w:rPr>
                <w:szCs w:val="24"/>
              </w:rPr>
              <w:t>PTA-</w:t>
            </w:r>
            <w:r w:rsidRPr="000A5B5D">
              <w:rPr>
                <w:rFonts w:hint="eastAsia"/>
                <w:szCs w:val="24"/>
              </w:rPr>
              <w:t>聚酯项目行业展望，</w:t>
            </w:r>
            <w:r w:rsidRPr="000A5B5D">
              <w:rPr>
                <w:szCs w:val="24"/>
              </w:rPr>
              <w:t>4</w:t>
            </w:r>
            <w:r w:rsidRPr="000A5B5D">
              <w:rPr>
                <w:rFonts w:hint="eastAsia"/>
                <w:szCs w:val="24"/>
              </w:rPr>
              <w:t>、公司未来发展战略，</w:t>
            </w:r>
            <w:r w:rsidRPr="000A5B5D">
              <w:rPr>
                <w:szCs w:val="24"/>
              </w:rPr>
              <w:t>5</w:t>
            </w:r>
            <w:r w:rsidRPr="000A5B5D">
              <w:rPr>
                <w:rFonts w:hint="eastAsia"/>
                <w:szCs w:val="24"/>
              </w:rPr>
              <w:t>、文莱效益测算，</w:t>
            </w:r>
            <w:r w:rsidRPr="000A5B5D">
              <w:rPr>
                <w:szCs w:val="24"/>
              </w:rPr>
              <w:t>6</w:t>
            </w:r>
            <w:r w:rsidRPr="000A5B5D">
              <w:rPr>
                <w:rFonts w:hint="eastAsia"/>
                <w:szCs w:val="24"/>
              </w:rPr>
              <w:t>、成品油销售市场以及优势，</w:t>
            </w:r>
            <w:r w:rsidRPr="000A5B5D">
              <w:rPr>
                <w:szCs w:val="24"/>
              </w:rPr>
              <w:t>7</w:t>
            </w:r>
            <w:r w:rsidRPr="000A5B5D">
              <w:rPr>
                <w:rFonts w:hint="eastAsia"/>
                <w:szCs w:val="24"/>
              </w:rPr>
              <w:t>、相关公用工程及技术指标，</w:t>
            </w:r>
            <w:r w:rsidRPr="000A5B5D">
              <w:rPr>
                <w:szCs w:val="24"/>
              </w:rPr>
              <w:t>8</w:t>
            </w:r>
            <w:r w:rsidRPr="000A5B5D">
              <w:rPr>
                <w:rFonts w:hint="eastAsia"/>
                <w:szCs w:val="24"/>
              </w:rPr>
              <w:t>、公司</w:t>
            </w:r>
            <w:r w:rsidRPr="000A5B5D">
              <w:rPr>
                <w:szCs w:val="24"/>
              </w:rPr>
              <w:t xml:space="preserve"> PX </w:t>
            </w:r>
            <w:r w:rsidRPr="000A5B5D">
              <w:rPr>
                <w:rFonts w:hint="eastAsia"/>
                <w:szCs w:val="24"/>
              </w:rPr>
              <w:t>采购参照价格</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01</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、本次非公开发行股票情况，</w:t>
            </w:r>
            <w:r w:rsidRPr="000A5B5D">
              <w:rPr>
                <w:szCs w:val="24"/>
              </w:rPr>
              <w:t>3</w:t>
            </w:r>
            <w:r w:rsidRPr="000A5B5D">
              <w:rPr>
                <w:rFonts w:hint="eastAsia"/>
                <w:szCs w:val="24"/>
              </w:rPr>
              <w:t>、文莱</w:t>
            </w:r>
            <w:r w:rsidRPr="000A5B5D">
              <w:rPr>
                <w:szCs w:val="24"/>
              </w:rPr>
              <w:t>PMB</w:t>
            </w:r>
            <w:r w:rsidRPr="000A5B5D">
              <w:rPr>
                <w:rFonts w:hint="eastAsia"/>
                <w:szCs w:val="24"/>
              </w:rPr>
              <w:t>项目进展及优势，</w:t>
            </w:r>
            <w:r w:rsidRPr="000A5B5D">
              <w:rPr>
                <w:szCs w:val="24"/>
              </w:rPr>
              <w:t>4</w:t>
            </w:r>
            <w:r w:rsidRPr="000A5B5D">
              <w:rPr>
                <w:rFonts w:hint="eastAsia"/>
                <w:szCs w:val="24"/>
              </w:rPr>
              <w:t>、公司未来发展战略，</w:t>
            </w:r>
            <w:r w:rsidRPr="000A5B5D">
              <w:rPr>
                <w:szCs w:val="24"/>
              </w:rPr>
              <w:t>5</w:t>
            </w:r>
            <w:r w:rsidRPr="000A5B5D">
              <w:rPr>
                <w:rFonts w:hint="eastAsia"/>
                <w:szCs w:val="24"/>
              </w:rPr>
              <w:t>、公司</w:t>
            </w:r>
            <w:r w:rsidRPr="000A5B5D">
              <w:rPr>
                <w:szCs w:val="24"/>
              </w:rPr>
              <w:t xml:space="preserve"> PX </w:t>
            </w:r>
            <w:r w:rsidRPr="000A5B5D">
              <w:rPr>
                <w:rFonts w:hint="eastAsia"/>
                <w:szCs w:val="24"/>
              </w:rPr>
              <w:t>采购参照价格，</w:t>
            </w:r>
            <w:r w:rsidRPr="000A5B5D">
              <w:rPr>
                <w:szCs w:val="24"/>
              </w:rPr>
              <w:t>6</w:t>
            </w:r>
            <w:r w:rsidRPr="000A5B5D">
              <w:rPr>
                <w:rFonts w:hint="eastAsia"/>
                <w:szCs w:val="24"/>
              </w:rPr>
              <w:t>、公司持有浙商银行股份变动情况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15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w:t>
            </w:r>
            <w:r w:rsidRPr="000A5B5D">
              <w:rPr>
                <w:szCs w:val="24"/>
              </w:rPr>
              <w:t>PTA</w:t>
            </w:r>
            <w:r w:rsidRPr="000A5B5D">
              <w:rPr>
                <w:rFonts w:hint="eastAsia"/>
                <w:szCs w:val="24"/>
              </w:rPr>
              <w:t>行业的复苏情况，</w:t>
            </w:r>
            <w:r w:rsidRPr="000A5B5D">
              <w:rPr>
                <w:szCs w:val="24"/>
              </w:rPr>
              <w:t>3</w:t>
            </w:r>
            <w:r w:rsidRPr="000A5B5D">
              <w:rPr>
                <w:rFonts w:hint="eastAsia"/>
                <w:szCs w:val="24"/>
              </w:rPr>
              <w:t>、非公开发行股票情况，</w:t>
            </w:r>
            <w:r w:rsidRPr="000A5B5D">
              <w:rPr>
                <w:szCs w:val="24"/>
              </w:rPr>
              <w:t>4</w:t>
            </w:r>
            <w:r w:rsidRPr="000A5B5D">
              <w:rPr>
                <w:rFonts w:hint="eastAsia"/>
                <w:szCs w:val="24"/>
              </w:rPr>
              <w:t>、文莱</w:t>
            </w:r>
            <w:r w:rsidRPr="000A5B5D">
              <w:rPr>
                <w:szCs w:val="24"/>
              </w:rPr>
              <w:t>PMB</w:t>
            </w:r>
            <w:r w:rsidRPr="000A5B5D">
              <w:rPr>
                <w:rFonts w:hint="eastAsia"/>
                <w:szCs w:val="24"/>
              </w:rPr>
              <w:t>项目进展及优势，</w:t>
            </w:r>
            <w:r w:rsidRPr="000A5B5D">
              <w:rPr>
                <w:szCs w:val="24"/>
              </w:rPr>
              <w:t>5</w:t>
            </w:r>
            <w:r w:rsidRPr="000A5B5D">
              <w:rPr>
                <w:rFonts w:hint="eastAsia"/>
                <w:szCs w:val="24"/>
              </w:rPr>
              <w:t>、公司持有浙商银行股份变动情况</w:t>
            </w:r>
          </w:p>
        </w:tc>
      </w:tr>
      <w:tr w:rsidR="00BC4D56" w:rsidRPr="000A5B5D" w:rsidTr="002D1437">
        <w:trPr>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23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实地调研</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机构</w:t>
            </w:r>
          </w:p>
        </w:tc>
        <w:tc>
          <w:tcPr>
            <w:tcW w:w="6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rPr>
                <w:szCs w:val="24"/>
              </w:rPr>
            </w:pPr>
            <w:r w:rsidRPr="000A5B5D">
              <w:rPr>
                <w:szCs w:val="24"/>
              </w:rPr>
              <w:t>1</w:t>
            </w:r>
            <w:r w:rsidRPr="000A5B5D">
              <w:rPr>
                <w:rFonts w:hint="eastAsia"/>
                <w:szCs w:val="24"/>
              </w:rPr>
              <w:t>、目前的行业情况，</w:t>
            </w:r>
            <w:r w:rsidRPr="000A5B5D">
              <w:rPr>
                <w:szCs w:val="24"/>
              </w:rPr>
              <w:t>2</w:t>
            </w:r>
            <w:r w:rsidRPr="000A5B5D">
              <w:rPr>
                <w:rFonts w:hint="eastAsia"/>
                <w:szCs w:val="24"/>
              </w:rPr>
              <w:t>、</w:t>
            </w:r>
            <w:r w:rsidRPr="000A5B5D">
              <w:rPr>
                <w:szCs w:val="24"/>
              </w:rPr>
              <w:t>PTA</w:t>
            </w:r>
            <w:r w:rsidRPr="000A5B5D">
              <w:rPr>
                <w:rFonts w:hint="eastAsia"/>
                <w:szCs w:val="24"/>
              </w:rPr>
              <w:t>行业发展趋势，</w:t>
            </w:r>
            <w:r w:rsidRPr="000A5B5D">
              <w:rPr>
                <w:szCs w:val="24"/>
              </w:rPr>
              <w:t>3</w:t>
            </w:r>
            <w:r w:rsidRPr="000A5B5D">
              <w:rPr>
                <w:rFonts w:hint="eastAsia"/>
                <w:szCs w:val="24"/>
              </w:rPr>
              <w:t>、文莱</w:t>
            </w:r>
            <w:r w:rsidRPr="000A5B5D">
              <w:rPr>
                <w:szCs w:val="24"/>
              </w:rPr>
              <w:t>PMB</w:t>
            </w:r>
            <w:r w:rsidRPr="000A5B5D">
              <w:rPr>
                <w:rFonts w:hint="eastAsia"/>
                <w:szCs w:val="24"/>
              </w:rPr>
              <w:t>项目进展及优势，</w:t>
            </w:r>
            <w:r w:rsidRPr="000A5B5D">
              <w:rPr>
                <w:szCs w:val="24"/>
              </w:rPr>
              <w:t>4</w:t>
            </w:r>
            <w:r w:rsidRPr="000A5B5D">
              <w:rPr>
                <w:rFonts w:hint="eastAsia"/>
                <w:szCs w:val="24"/>
              </w:rPr>
              <w:t>、公司持有浙商银行股份变动情况，</w:t>
            </w:r>
            <w:r w:rsidRPr="000A5B5D">
              <w:rPr>
                <w:szCs w:val="24"/>
              </w:rPr>
              <w:t>5</w:t>
            </w:r>
            <w:r w:rsidRPr="000A5B5D">
              <w:rPr>
                <w:rFonts w:hint="eastAsia"/>
                <w:szCs w:val="24"/>
              </w:rPr>
              <w:t>、己内酰胺行业应用情况</w:t>
            </w:r>
          </w:p>
        </w:tc>
      </w:tr>
      <w:tr w:rsidR="00BC4D56" w:rsidRPr="000A5B5D" w:rsidTr="002D1437">
        <w:trPr>
          <w:jc w:val="center"/>
        </w:trPr>
        <w:tc>
          <w:tcPr>
            <w:tcW w:w="371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接待次数</w:t>
            </w:r>
          </w:p>
        </w:tc>
        <w:tc>
          <w:tcPr>
            <w:tcW w:w="58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39</w:t>
            </w:r>
          </w:p>
        </w:tc>
      </w:tr>
      <w:tr w:rsidR="00BC4D56" w:rsidRPr="000A5B5D" w:rsidTr="002D1437">
        <w:trPr>
          <w:jc w:val="center"/>
        </w:trPr>
        <w:tc>
          <w:tcPr>
            <w:tcW w:w="371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接待机构数量</w:t>
            </w:r>
          </w:p>
        </w:tc>
        <w:tc>
          <w:tcPr>
            <w:tcW w:w="58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212</w:t>
            </w:r>
          </w:p>
        </w:tc>
      </w:tr>
      <w:tr w:rsidR="00BC4D56" w:rsidRPr="000A5B5D" w:rsidTr="002D1437">
        <w:trPr>
          <w:jc w:val="center"/>
        </w:trPr>
        <w:tc>
          <w:tcPr>
            <w:tcW w:w="371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接待个人数量</w:t>
            </w:r>
          </w:p>
        </w:tc>
        <w:tc>
          <w:tcPr>
            <w:tcW w:w="58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1</w:t>
            </w:r>
          </w:p>
        </w:tc>
      </w:tr>
      <w:tr w:rsidR="00BC4D56" w:rsidRPr="000A5B5D" w:rsidTr="002D1437">
        <w:trPr>
          <w:jc w:val="center"/>
        </w:trPr>
        <w:tc>
          <w:tcPr>
            <w:tcW w:w="371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接待其他对象数量</w:t>
            </w:r>
          </w:p>
        </w:tc>
        <w:tc>
          <w:tcPr>
            <w:tcW w:w="58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szCs w:val="24"/>
              </w:rPr>
              <w:t>1</w:t>
            </w:r>
          </w:p>
        </w:tc>
      </w:tr>
      <w:tr w:rsidR="00BC4D56" w:rsidRPr="000A5B5D" w:rsidTr="002D1437">
        <w:trPr>
          <w:jc w:val="center"/>
        </w:trPr>
        <w:tc>
          <w:tcPr>
            <w:tcW w:w="371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2D1437">
            <w:pPr>
              <w:jc w:val="center"/>
              <w:rPr>
                <w:szCs w:val="24"/>
              </w:rPr>
            </w:pPr>
            <w:r w:rsidRPr="000A5B5D">
              <w:rPr>
                <w:rFonts w:hint="eastAsia"/>
                <w:szCs w:val="24"/>
              </w:rPr>
              <w:t>是否披露、透露或泄露未公开重大信息</w:t>
            </w:r>
          </w:p>
        </w:tc>
        <w:tc>
          <w:tcPr>
            <w:tcW w:w="58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2D1437">
            <w:pPr>
              <w:jc w:val="center"/>
              <w:rPr>
                <w:szCs w:val="24"/>
              </w:rPr>
            </w:pPr>
            <w:r w:rsidRPr="000A5B5D">
              <w:rPr>
                <w:rFonts w:hint="eastAsia"/>
                <w:szCs w:val="24"/>
              </w:rPr>
              <w:t>否</w:t>
            </w:r>
          </w:p>
        </w:tc>
      </w:tr>
    </w:tbl>
    <w:p w:rsidR="00BC4D56" w:rsidRPr="000A5B5D" w:rsidRDefault="00BC4D56">
      <w:pPr>
        <w:rPr>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6" w:name="_Toc449101529"/>
      <w:r w:rsidRPr="000A5B5D">
        <w:rPr>
          <w:rFonts w:hint="eastAsia"/>
          <w:bCs w:val="0"/>
          <w:szCs w:val="24"/>
        </w:rPr>
        <w:lastRenderedPageBreak/>
        <w:t>第五节</w:t>
      </w:r>
      <w:r w:rsidRPr="000A5B5D">
        <w:rPr>
          <w:bCs w:val="0"/>
          <w:szCs w:val="24"/>
        </w:rPr>
        <w:t xml:space="preserve"> </w:t>
      </w:r>
      <w:r w:rsidRPr="000A5B5D">
        <w:rPr>
          <w:rFonts w:hint="eastAsia"/>
          <w:bCs w:val="0"/>
          <w:szCs w:val="24"/>
        </w:rPr>
        <w:t>重要事项</w:t>
      </w:r>
      <w:bookmarkEnd w:id="6"/>
    </w:p>
    <w:p w:rsidR="00BC4D56" w:rsidRPr="000A5B5D" w:rsidRDefault="00BC4D56" w:rsidP="009F531B">
      <w:pPr>
        <w:pStyle w:val="Chapter"/>
        <w:spacing w:line="360" w:lineRule="auto"/>
        <w:outlineLvl w:val="1"/>
        <w:rPr>
          <w:bCs w:val="0"/>
        </w:rPr>
      </w:pPr>
      <w:r w:rsidRPr="000A5B5D">
        <w:rPr>
          <w:rFonts w:hint="eastAsia"/>
          <w:bCs w:val="0"/>
        </w:rPr>
        <w:t>一、公司普通股利润分配及资本公积金转增股本情况</w:t>
      </w:r>
    </w:p>
    <w:p w:rsidR="00BC4D56" w:rsidRPr="000A5B5D" w:rsidRDefault="00BC4D56" w:rsidP="009F531B">
      <w:pPr>
        <w:spacing w:line="360" w:lineRule="auto"/>
        <w:jc w:val="left"/>
        <w:rPr>
          <w:sz w:val="24"/>
          <w:szCs w:val="24"/>
        </w:rPr>
      </w:pPr>
      <w:r w:rsidRPr="000A5B5D">
        <w:rPr>
          <w:rFonts w:hint="eastAsia"/>
          <w:sz w:val="24"/>
          <w:szCs w:val="24"/>
        </w:rPr>
        <w:t>报告期内普通股利润分配政策，特别是现金分红政策的制定、执行或调整情况</w:t>
      </w:r>
    </w:p>
    <w:p w:rsidR="00BC4D56" w:rsidRPr="000A5B5D" w:rsidRDefault="00BC4D56" w:rsidP="009F531B">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spacing w:line="360" w:lineRule="auto"/>
        <w:jc w:val="left"/>
        <w:rPr>
          <w:sz w:val="24"/>
          <w:szCs w:val="24"/>
        </w:rPr>
      </w:pPr>
      <w:r w:rsidRPr="000A5B5D">
        <w:rPr>
          <w:rFonts w:hint="eastAsia"/>
          <w:sz w:val="24"/>
          <w:szCs w:val="24"/>
        </w:rPr>
        <w:t>公司近</w:t>
      </w:r>
      <w:r w:rsidRPr="000A5B5D">
        <w:rPr>
          <w:sz w:val="24"/>
          <w:szCs w:val="24"/>
        </w:rPr>
        <w:t>3</w:t>
      </w:r>
      <w:r w:rsidRPr="000A5B5D">
        <w:rPr>
          <w:rFonts w:hint="eastAsia"/>
          <w:sz w:val="24"/>
          <w:szCs w:val="24"/>
        </w:rPr>
        <w:t>年（包括本报告期）的普通股股利分配方案（预案）、资本公积金转增股本方案（预案）情况</w:t>
      </w:r>
    </w:p>
    <w:p w:rsidR="00BC4D56" w:rsidRPr="000A5B5D" w:rsidRDefault="00BC4D56" w:rsidP="009F531B">
      <w:pPr>
        <w:autoSpaceDE w:val="0"/>
        <w:autoSpaceDN w:val="0"/>
        <w:adjustRightInd w:val="0"/>
        <w:spacing w:before="0" w:after="0" w:line="360" w:lineRule="auto"/>
        <w:rPr>
          <w:rFonts w:eastAsia="Times New Roman"/>
          <w:kern w:val="0"/>
          <w:sz w:val="24"/>
          <w:szCs w:val="24"/>
          <w:lang w:val="zh-CN"/>
        </w:rPr>
      </w:pPr>
      <w:r w:rsidRPr="000A5B5D">
        <w:rPr>
          <w:rFonts w:ascii="宋体" w:hAnsi="宋体" w:cs="宋体" w:hint="eastAsia"/>
          <w:kern w:val="0"/>
          <w:sz w:val="24"/>
          <w:szCs w:val="24"/>
          <w:lang w:val="zh-CN"/>
        </w:rPr>
        <w:t>公司近</w:t>
      </w:r>
      <w:r w:rsidRPr="000A5B5D">
        <w:rPr>
          <w:rFonts w:eastAsia="Times New Roman"/>
          <w:kern w:val="0"/>
          <w:sz w:val="24"/>
          <w:szCs w:val="24"/>
          <w:lang w:val="zh-CN"/>
        </w:rPr>
        <w:t>3</w:t>
      </w:r>
      <w:r w:rsidRPr="000A5B5D">
        <w:rPr>
          <w:rFonts w:ascii="宋体" w:hAnsi="宋体" w:cs="宋体" w:hint="eastAsia"/>
          <w:kern w:val="0"/>
          <w:sz w:val="24"/>
          <w:szCs w:val="24"/>
          <w:lang w:val="zh-CN"/>
        </w:rPr>
        <w:t>年（含报告期）的利润分配预案或方案及资本公积金转增股本预案或方案情况</w:t>
      </w:r>
    </w:p>
    <w:p w:rsidR="00BC4D56" w:rsidRPr="000A5B5D" w:rsidRDefault="00BC4D56" w:rsidP="009F531B">
      <w:pPr>
        <w:autoSpaceDE w:val="0"/>
        <w:autoSpaceDN w:val="0"/>
        <w:adjustRightInd w:val="0"/>
        <w:spacing w:before="0" w:after="0" w:line="360" w:lineRule="auto"/>
        <w:ind w:firstLine="420"/>
        <w:rPr>
          <w:rFonts w:eastAsia="Times New Roman"/>
          <w:kern w:val="0"/>
          <w:sz w:val="24"/>
          <w:szCs w:val="24"/>
          <w:lang w:val="zh-CN"/>
        </w:rPr>
      </w:pPr>
      <w:r w:rsidRPr="000A5B5D">
        <w:rPr>
          <w:rFonts w:ascii="宋体" w:hAnsi="宋体" w:cs="宋体" w:hint="eastAsia"/>
          <w:kern w:val="0"/>
          <w:sz w:val="24"/>
          <w:szCs w:val="24"/>
          <w:lang w:val="zh-CN"/>
        </w:rPr>
        <w:t>公司</w:t>
      </w:r>
      <w:r w:rsidRPr="000A5B5D">
        <w:rPr>
          <w:rFonts w:eastAsia="Times New Roman"/>
          <w:kern w:val="0"/>
          <w:sz w:val="24"/>
          <w:szCs w:val="24"/>
          <w:lang w:val="zh-CN"/>
        </w:rPr>
        <w:t>2013</w:t>
      </w:r>
      <w:r w:rsidRPr="000A5B5D">
        <w:rPr>
          <w:rFonts w:ascii="宋体" w:hAnsi="宋体" w:cs="宋体" w:hint="eastAsia"/>
          <w:kern w:val="0"/>
          <w:sz w:val="24"/>
          <w:szCs w:val="24"/>
          <w:lang w:val="zh-CN"/>
        </w:rPr>
        <w:t>年度利润分派方案：以公司</w:t>
      </w:r>
      <w:r w:rsidRPr="000A5B5D">
        <w:rPr>
          <w:rFonts w:eastAsia="Times New Roman"/>
          <w:kern w:val="0"/>
          <w:sz w:val="24"/>
          <w:szCs w:val="24"/>
          <w:lang w:val="zh-CN"/>
        </w:rPr>
        <w:t>2013</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w:t>
      </w:r>
      <w:r w:rsidRPr="000A5B5D">
        <w:rPr>
          <w:rFonts w:eastAsia="Times New Roman"/>
          <w:kern w:val="0"/>
          <w:sz w:val="24"/>
          <w:szCs w:val="24"/>
          <w:lang w:val="zh-CN"/>
        </w:rPr>
        <w:t>31</w:t>
      </w:r>
      <w:r w:rsidRPr="000A5B5D">
        <w:rPr>
          <w:rFonts w:ascii="宋体" w:hAnsi="宋体" w:cs="宋体" w:hint="eastAsia"/>
          <w:kern w:val="0"/>
          <w:sz w:val="24"/>
          <w:szCs w:val="24"/>
          <w:lang w:val="zh-CN"/>
        </w:rPr>
        <w:t>日的总股本</w:t>
      </w:r>
      <w:r w:rsidRPr="000A5B5D">
        <w:rPr>
          <w:rFonts w:eastAsia="Times New Roman"/>
          <w:kern w:val="0"/>
          <w:sz w:val="24"/>
          <w:szCs w:val="24"/>
          <w:lang w:val="zh-CN"/>
        </w:rPr>
        <w:t>1,153,587,626</w:t>
      </w:r>
      <w:r w:rsidRPr="000A5B5D">
        <w:rPr>
          <w:rFonts w:ascii="宋体" w:hAnsi="宋体" w:cs="宋体" w:hint="eastAsia"/>
          <w:kern w:val="0"/>
          <w:sz w:val="24"/>
          <w:szCs w:val="24"/>
          <w:lang w:val="zh-CN"/>
        </w:rPr>
        <w:t>股为基数，以未分配利润向全体股东每</w:t>
      </w:r>
      <w:r w:rsidRPr="000A5B5D">
        <w:rPr>
          <w:rFonts w:eastAsia="Times New Roman"/>
          <w:kern w:val="0"/>
          <w:sz w:val="24"/>
          <w:szCs w:val="24"/>
          <w:lang w:val="zh-CN"/>
        </w:rPr>
        <w:t>10</w:t>
      </w:r>
      <w:r w:rsidRPr="000A5B5D">
        <w:rPr>
          <w:rFonts w:ascii="宋体" w:hAnsi="宋体" w:cs="宋体" w:hint="eastAsia"/>
          <w:kern w:val="0"/>
          <w:sz w:val="24"/>
          <w:szCs w:val="24"/>
          <w:lang w:val="zh-CN"/>
        </w:rPr>
        <w:t>股派发现金红利</w:t>
      </w:r>
      <w:r w:rsidRPr="000A5B5D">
        <w:rPr>
          <w:rFonts w:eastAsia="Times New Roman"/>
          <w:kern w:val="0"/>
          <w:sz w:val="24"/>
          <w:szCs w:val="24"/>
          <w:lang w:val="zh-CN"/>
        </w:rPr>
        <w:t>1</w:t>
      </w:r>
      <w:r w:rsidRPr="000A5B5D">
        <w:rPr>
          <w:rFonts w:ascii="宋体" w:hAnsi="宋体" w:cs="宋体" w:hint="eastAsia"/>
          <w:kern w:val="0"/>
          <w:sz w:val="24"/>
          <w:szCs w:val="24"/>
          <w:lang w:val="zh-CN"/>
        </w:rPr>
        <w:t>元（含税），共计派发现金红利</w:t>
      </w:r>
      <w:r w:rsidRPr="000A5B5D">
        <w:rPr>
          <w:rFonts w:eastAsia="Times New Roman"/>
          <w:kern w:val="0"/>
          <w:sz w:val="24"/>
          <w:szCs w:val="24"/>
          <w:lang w:val="zh-CN"/>
        </w:rPr>
        <w:t>115,358,762.6</w:t>
      </w:r>
      <w:r w:rsidRPr="000A5B5D">
        <w:rPr>
          <w:rFonts w:ascii="宋体" w:hAnsi="宋体" w:cs="宋体" w:hint="eastAsia"/>
          <w:kern w:val="0"/>
          <w:sz w:val="24"/>
          <w:szCs w:val="24"/>
          <w:lang w:val="zh-CN"/>
        </w:rPr>
        <w:t>元。不送红股，不以资本公积金转增股份。在业绩补偿方案实施完毕后执行上述利润分配预案。</w:t>
      </w:r>
    </w:p>
    <w:p w:rsidR="00BC4D56" w:rsidRPr="000A5B5D" w:rsidRDefault="00BC4D56" w:rsidP="009F531B">
      <w:pPr>
        <w:autoSpaceDE w:val="0"/>
        <w:autoSpaceDN w:val="0"/>
        <w:adjustRightInd w:val="0"/>
        <w:spacing w:before="0" w:after="0" w:line="360" w:lineRule="auto"/>
        <w:ind w:firstLine="420"/>
        <w:rPr>
          <w:rFonts w:eastAsia="Times New Roman"/>
          <w:kern w:val="0"/>
          <w:sz w:val="24"/>
          <w:szCs w:val="24"/>
          <w:lang w:val="zh-CN"/>
        </w:rPr>
      </w:pPr>
      <w:r w:rsidRPr="000A5B5D">
        <w:rPr>
          <w:rFonts w:ascii="宋体" w:hAnsi="宋体" w:cs="宋体" w:hint="eastAsia"/>
          <w:kern w:val="0"/>
          <w:sz w:val="24"/>
          <w:szCs w:val="24"/>
          <w:lang w:val="zh-CN"/>
        </w:rPr>
        <w:t>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年度利润分派方案：</w:t>
      </w:r>
      <w:r w:rsidRPr="000A5B5D">
        <w:rPr>
          <w:rFonts w:eastAsia="Times New Roman"/>
          <w:kern w:val="0"/>
          <w:sz w:val="24"/>
          <w:szCs w:val="24"/>
          <w:lang w:val="zh-CN"/>
        </w:rPr>
        <w:t>2014</w:t>
      </w:r>
      <w:r w:rsidRPr="000A5B5D">
        <w:rPr>
          <w:rFonts w:ascii="宋体" w:hAnsi="宋体" w:cs="宋体" w:hint="eastAsia"/>
          <w:kern w:val="0"/>
          <w:sz w:val="24"/>
          <w:szCs w:val="24"/>
          <w:lang w:val="zh-CN"/>
        </w:rPr>
        <w:t>年度，公司实现归属上市公司股东的净利润为</w:t>
      </w:r>
      <w:r w:rsidRPr="000A5B5D">
        <w:rPr>
          <w:rFonts w:eastAsia="Times New Roman"/>
          <w:kern w:val="0"/>
          <w:sz w:val="24"/>
          <w:szCs w:val="24"/>
          <w:lang w:val="zh-CN"/>
        </w:rPr>
        <w:t>-3.53</w:t>
      </w:r>
      <w:r w:rsidRPr="000A5B5D">
        <w:rPr>
          <w:rFonts w:ascii="宋体" w:hAnsi="宋体" w:cs="宋体" w:hint="eastAsia"/>
          <w:kern w:val="0"/>
          <w:sz w:val="24"/>
          <w:szCs w:val="24"/>
          <w:lang w:val="zh-CN"/>
        </w:rPr>
        <w:t>亿元，根据《公司章程》的规定，不进行利润分配及资本公积金转增股份。</w:t>
      </w:r>
    </w:p>
    <w:p w:rsidR="00BC4D56" w:rsidRPr="000A5B5D" w:rsidRDefault="00BC4D56" w:rsidP="009F531B">
      <w:pPr>
        <w:autoSpaceDE w:val="0"/>
        <w:autoSpaceDN w:val="0"/>
        <w:adjustRightInd w:val="0"/>
        <w:spacing w:before="0" w:after="0" w:line="360" w:lineRule="auto"/>
        <w:ind w:firstLine="420"/>
        <w:rPr>
          <w:rFonts w:eastAsiaTheme="minorEastAsia"/>
          <w:kern w:val="0"/>
          <w:sz w:val="24"/>
          <w:szCs w:val="24"/>
          <w:lang w:val="zh-CN"/>
        </w:rPr>
      </w:pPr>
      <w:r w:rsidRPr="000A5B5D">
        <w:rPr>
          <w:rFonts w:ascii="宋体" w:hAnsi="宋体" w:cs="宋体" w:hint="eastAsia"/>
          <w:kern w:val="0"/>
          <w:sz w:val="24"/>
          <w:szCs w:val="24"/>
          <w:lang w:val="zh-CN"/>
        </w:rPr>
        <w:t>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年度利润分派预案：截至</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w:t>
      </w:r>
      <w:r w:rsidRPr="000A5B5D">
        <w:rPr>
          <w:rFonts w:eastAsia="Times New Roman"/>
          <w:kern w:val="0"/>
          <w:sz w:val="24"/>
          <w:szCs w:val="24"/>
          <w:lang w:val="zh-CN"/>
        </w:rPr>
        <w:t>31</w:t>
      </w:r>
      <w:r w:rsidRPr="000A5B5D">
        <w:rPr>
          <w:rFonts w:ascii="宋体" w:hAnsi="宋体" w:cs="宋体" w:hint="eastAsia"/>
          <w:kern w:val="0"/>
          <w:sz w:val="24"/>
          <w:szCs w:val="24"/>
          <w:lang w:val="zh-CN"/>
        </w:rPr>
        <w:t>日，母公司实际可供股东分配的利润为负数。鉴于本年度母公司未分配利润为负数，根据《股票上市规则》《上市公司监管指引第</w:t>
      </w:r>
      <w:r w:rsidRPr="000A5B5D">
        <w:rPr>
          <w:rFonts w:eastAsia="Times New Roman"/>
          <w:kern w:val="0"/>
          <w:sz w:val="24"/>
          <w:szCs w:val="24"/>
          <w:lang w:val="zh-CN"/>
        </w:rPr>
        <w:t>3</w:t>
      </w:r>
      <w:r w:rsidRPr="000A5B5D">
        <w:rPr>
          <w:rFonts w:ascii="宋体" w:hAnsi="宋体" w:cs="宋体" w:hint="eastAsia"/>
          <w:kern w:val="0"/>
          <w:sz w:val="24"/>
          <w:szCs w:val="24"/>
          <w:lang w:val="zh-CN"/>
        </w:rPr>
        <w:t>号</w:t>
      </w:r>
      <w:r w:rsidRPr="000A5B5D">
        <w:rPr>
          <w:rFonts w:eastAsia="Times New Roman"/>
          <w:kern w:val="0"/>
          <w:sz w:val="24"/>
          <w:szCs w:val="24"/>
          <w:lang w:val="zh-CN"/>
        </w:rPr>
        <w:t>——</w:t>
      </w:r>
      <w:r w:rsidRPr="000A5B5D">
        <w:rPr>
          <w:rFonts w:ascii="宋体" w:hAnsi="宋体" w:cs="宋体" w:hint="eastAsia"/>
          <w:kern w:val="0"/>
          <w:sz w:val="24"/>
          <w:szCs w:val="24"/>
          <w:lang w:val="zh-CN"/>
        </w:rPr>
        <w:t>上市公司现金分红》及《章程》的有关规定，公司应当以合并报表、母公司报表中可供分配利润孰低的原则确定利润分配方案，因此</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年度公司不派发现金红利，不送红股，也不进行资本公积金转增股本。</w:t>
      </w:r>
    </w:p>
    <w:p w:rsidR="00BC4D56" w:rsidRPr="000A5B5D" w:rsidRDefault="00BC4D56" w:rsidP="009F531B">
      <w:pPr>
        <w:spacing w:line="360" w:lineRule="auto"/>
        <w:jc w:val="left"/>
        <w:rPr>
          <w:sz w:val="24"/>
          <w:szCs w:val="24"/>
        </w:rPr>
      </w:pPr>
      <w:r w:rsidRPr="000A5B5D">
        <w:rPr>
          <w:rFonts w:hint="eastAsia"/>
          <w:sz w:val="24"/>
          <w:szCs w:val="24"/>
        </w:rPr>
        <w:t>公司近三年（包括本报告期）普通股现金分红情况表</w:t>
      </w:r>
    </w:p>
    <w:p w:rsidR="00BC4D56" w:rsidRPr="000A5B5D" w:rsidRDefault="00BC4D56" w:rsidP="009F531B">
      <w:pPr>
        <w:wordWrap w:val="0"/>
        <w:spacing w:line="360" w:lineRule="auto"/>
        <w:jc w:val="right"/>
        <w:rPr>
          <w:sz w:val="24"/>
          <w:szCs w:val="24"/>
        </w:rPr>
      </w:pPr>
      <w:r w:rsidRPr="000A5B5D">
        <w:rPr>
          <w:rFonts w:hint="eastAsia"/>
          <w:sz w:val="24"/>
          <w:szCs w:val="24"/>
        </w:rPr>
        <w:t>单位：元</w:t>
      </w:r>
      <w:r w:rsidR="009F531B"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851"/>
        <w:gridCol w:w="1701"/>
        <w:gridCol w:w="2410"/>
        <w:gridCol w:w="2268"/>
        <w:gridCol w:w="1134"/>
        <w:gridCol w:w="1202"/>
      </w:tblGrid>
      <w:tr w:rsidR="00BC4D56" w:rsidRPr="000A5B5D" w:rsidTr="009F531B">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分红年度</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现金分红金额（含税）</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分红年度合并报表中归属于上市公司普通股股东的净利润</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占合并报表中归属于上市公司普通股股东的净利润的比率</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以其他方式现金分红的金额</w:t>
            </w:r>
          </w:p>
        </w:tc>
        <w:tc>
          <w:tcPr>
            <w:tcW w:w="12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rFonts w:hint="eastAsia"/>
                <w:sz w:val="24"/>
                <w:szCs w:val="24"/>
              </w:rPr>
              <w:t>以其他方式现金分红的比例</w:t>
            </w:r>
          </w:p>
        </w:tc>
      </w:tr>
      <w:tr w:rsidR="00BC4D56" w:rsidRPr="000A5B5D" w:rsidTr="009F531B">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sz w:val="24"/>
                <w:szCs w:val="24"/>
              </w:rPr>
              <w:t>2015</w:t>
            </w:r>
            <w:r w:rsidRPr="000A5B5D">
              <w:rPr>
                <w:rFonts w:hint="eastAsia"/>
                <w:sz w:val="24"/>
                <w:szCs w:val="24"/>
              </w:rPr>
              <w:t>年</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0.00</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F531B">
            <w:pPr>
              <w:spacing w:line="360" w:lineRule="auto"/>
              <w:jc w:val="center"/>
              <w:rPr>
                <w:sz w:val="24"/>
                <w:szCs w:val="24"/>
              </w:rPr>
            </w:pPr>
            <w:r w:rsidRPr="000A5B5D">
              <w:rPr>
                <w:sz w:val="24"/>
                <w:szCs w:val="24"/>
              </w:rPr>
              <w:t>184,605,841.36</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r>
      <w:tr w:rsidR="00BC4D56" w:rsidRPr="000A5B5D" w:rsidTr="009F531B">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sz w:val="24"/>
                <w:szCs w:val="24"/>
              </w:rPr>
              <w:t>2014</w:t>
            </w:r>
            <w:r w:rsidRPr="000A5B5D">
              <w:rPr>
                <w:rFonts w:hint="eastAsia"/>
                <w:sz w:val="24"/>
                <w:szCs w:val="24"/>
              </w:rPr>
              <w:t>年</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0.00</w:t>
            </w:r>
          </w:p>
        </w:tc>
        <w:tc>
          <w:tcPr>
            <w:tcW w:w="241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F531B">
            <w:pPr>
              <w:spacing w:line="360" w:lineRule="auto"/>
              <w:jc w:val="center"/>
              <w:rPr>
                <w:sz w:val="24"/>
                <w:szCs w:val="24"/>
              </w:rPr>
            </w:pPr>
            <w:r w:rsidRPr="000A5B5D">
              <w:rPr>
                <w:sz w:val="24"/>
                <w:szCs w:val="24"/>
              </w:rPr>
              <w:t>-352,682,419.34</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r>
      <w:tr w:rsidR="00BC4D56" w:rsidRPr="000A5B5D" w:rsidTr="009F531B">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center"/>
              <w:rPr>
                <w:sz w:val="24"/>
                <w:szCs w:val="24"/>
              </w:rPr>
            </w:pPr>
            <w:r w:rsidRPr="000A5B5D">
              <w:rPr>
                <w:sz w:val="24"/>
                <w:szCs w:val="24"/>
              </w:rPr>
              <w:t>2013</w:t>
            </w:r>
            <w:r w:rsidRPr="000A5B5D">
              <w:rPr>
                <w:rFonts w:hint="eastAsia"/>
                <w:sz w:val="24"/>
                <w:szCs w:val="24"/>
              </w:rPr>
              <w:t>年</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115,358,762.60</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426,933,201.17</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27.02%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p>
        </w:tc>
      </w:tr>
    </w:tbl>
    <w:p w:rsidR="00BC4D56" w:rsidRPr="000A5B5D" w:rsidRDefault="00BC4D56" w:rsidP="009F531B">
      <w:pPr>
        <w:spacing w:line="360" w:lineRule="auto"/>
        <w:jc w:val="left"/>
        <w:rPr>
          <w:sz w:val="24"/>
          <w:szCs w:val="24"/>
        </w:rPr>
      </w:pPr>
      <w:r w:rsidRPr="000A5B5D">
        <w:rPr>
          <w:rFonts w:hint="eastAsia"/>
          <w:sz w:val="24"/>
          <w:szCs w:val="24"/>
        </w:rPr>
        <w:t>公司报告期内盈利且母公司可供普通股股东分配利润为正但未提出普通股现金红利分配预案</w:t>
      </w:r>
    </w:p>
    <w:p w:rsidR="00BC4D56" w:rsidRPr="000A5B5D" w:rsidRDefault="00BC4D56" w:rsidP="009F531B">
      <w:pPr>
        <w:spacing w:line="360" w:lineRule="auto"/>
        <w:jc w:val="left"/>
        <w:rPr>
          <w:sz w:val="24"/>
          <w:szCs w:val="24"/>
        </w:rPr>
      </w:pPr>
      <w:r w:rsidRPr="000A5B5D">
        <w:rPr>
          <w:sz w:val="24"/>
          <w:szCs w:val="24"/>
        </w:rPr>
        <w:lastRenderedPageBreak/>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pStyle w:val="Chapter"/>
        <w:spacing w:line="360" w:lineRule="auto"/>
        <w:outlineLvl w:val="1"/>
        <w:rPr>
          <w:bCs w:val="0"/>
        </w:rPr>
      </w:pPr>
      <w:r w:rsidRPr="000A5B5D">
        <w:rPr>
          <w:rFonts w:hint="eastAsia"/>
          <w:bCs w:val="0"/>
        </w:rPr>
        <w:t>二、本报告期利润分配及资本公积金转增股本预案</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公司计划年度不派发现金红利，不送红股，不以公积金转增股本。</w:t>
      </w:r>
    </w:p>
    <w:p w:rsidR="00BC4D56" w:rsidRPr="000A5B5D" w:rsidRDefault="00BC4D56" w:rsidP="009F531B">
      <w:pPr>
        <w:pStyle w:val="Chapter"/>
        <w:spacing w:line="360" w:lineRule="auto"/>
        <w:outlineLvl w:val="1"/>
        <w:rPr>
          <w:bCs w:val="0"/>
        </w:rPr>
      </w:pPr>
      <w:r w:rsidRPr="000A5B5D">
        <w:rPr>
          <w:rFonts w:hint="eastAsia"/>
          <w:bCs w:val="0"/>
        </w:rPr>
        <w:t>三、承诺事项履行情况</w:t>
      </w:r>
    </w:p>
    <w:p w:rsidR="00BC4D56" w:rsidRPr="000A5B5D" w:rsidRDefault="00BC4D56" w:rsidP="009F531B">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、公司、股东、实际控制人、收购人、董事、监事、高级管理人员或其他关联方在报告期内履行完毕及截至报告期末尚未履行完毕的承诺事项</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276"/>
        <w:gridCol w:w="992"/>
        <w:gridCol w:w="2669"/>
        <w:gridCol w:w="1017"/>
        <w:gridCol w:w="850"/>
        <w:gridCol w:w="1487"/>
      </w:tblGrid>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承诺事由</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承诺类型</w:t>
            </w:r>
          </w:p>
        </w:tc>
        <w:tc>
          <w:tcPr>
            <w:tcW w:w="26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承诺内容</w:t>
            </w:r>
          </w:p>
        </w:tc>
        <w:tc>
          <w:tcPr>
            <w:tcW w:w="10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承诺时间</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承诺期限</w:t>
            </w:r>
          </w:p>
        </w:tc>
        <w:tc>
          <w:tcPr>
            <w:tcW w:w="148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履行情况</w:t>
            </w: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股改承诺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r>
      <w:tr w:rsidR="00BC4D56" w:rsidRPr="000A5B5D" w:rsidTr="009F531B">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收购报告书或权益变动报告书中所作承诺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恒逸集团、公司实际控制人邱建林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关于独立运作的承诺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承诺保证恒逸集团及其实际控制人的关联企业与公司在人员、资产、财务、机构及业务上的独立。</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长期有效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截至目前，恒逸集团、邱建林无违背该承诺的情形。</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恒逸集团、公司实际控制人邱建林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关于同业竞争的承诺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承诺不与公司同业竞争。</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长期有效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截至目前，恒逸集团、邱建林无违背该承诺的情形。</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恒逸集团、公司实际控制人邱建林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关于关联交易的承诺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承诺规范与公司的关联交易。</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长期有效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截至目前，恒逸集团、邱建林无违背该承诺的情形。</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恒逸集团、公司实际控制人邱建林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关于资金占用方面的承诺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承诺不占用公司资金。</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长期有效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截至目前，恒逸集团、邱建林无违背该承诺的情形。</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浙江恒逸集团有限公司</w:t>
            </w:r>
            <w:r w:rsidRPr="000A5B5D">
              <w:rPr>
                <w:szCs w:val="24"/>
              </w:rPr>
              <w:t>;</w:t>
            </w:r>
            <w:r w:rsidRPr="000A5B5D">
              <w:rPr>
                <w:rFonts w:hint="eastAsia"/>
                <w:szCs w:val="24"/>
              </w:rPr>
              <w:t>天津鼎晖股权投资一期基金（有限合伙）</w:t>
            </w:r>
            <w:r w:rsidRPr="000A5B5D">
              <w:rPr>
                <w:szCs w:val="24"/>
              </w:rPr>
              <w:t>;</w:t>
            </w:r>
            <w:r w:rsidRPr="000A5B5D">
              <w:rPr>
                <w:rFonts w:hint="eastAsia"/>
                <w:szCs w:val="24"/>
              </w:rPr>
              <w:t>天津鼎晖元博股权投资基金（有限合伙）</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其他承诺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承诺浙江逸盛石化有限公司、大连逸盛投资有限公司股权调整不会增加恒逸石化或相关下属子公司现实或潜在的税负。以本次重大资产重组完成为前提，如由于国家税务政策调整或其它原因导致恒逸石化或其下属控股子公司就上述股权调整被要求补交税款或被税务机关追缴税款的，则重组方承诺将以现金及时、全额补</w:t>
            </w:r>
            <w:r w:rsidRPr="000A5B5D">
              <w:rPr>
                <w:rFonts w:hint="eastAsia"/>
                <w:szCs w:val="24"/>
              </w:rPr>
              <w:lastRenderedPageBreak/>
              <w:t>偿公司因此而遭受的任何损失。</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lastRenderedPageBreak/>
              <w:t>2010</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长期有效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该承诺持续有效，仍在履行过程中，截至目前，恒逸集团、鼎晖一期及鼎晖元博无违反该承诺事项。</w:t>
            </w: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资产重组时所作承诺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首次公开发行或再融资时所作承诺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股权激励承诺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r>
      <w:tr w:rsidR="00BC4D56" w:rsidRPr="000A5B5D" w:rsidTr="009F531B">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其他对公司中小股东所作承诺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浙江恒逸集团有限公司</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股份减持承诺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公司控股股东浙江恒逸集团有限公司、持有公司股票的董事、监事、高级管理人员承诺不减持持有的恒逸石化股票</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07</w:t>
            </w:r>
            <w:r w:rsidRPr="000A5B5D">
              <w:rPr>
                <w:rFonts w:hint="eastAsia"/>
                <w:szCs w:val="24"/>
              </w:rPr>
              <w:t>月</w:t>
            </w:r>
            <w:r w:rsidRPr="000A5B5D">
              <w:rPr>
                <w:szCs w:val="24"/>
              </w:rPr>
              <w:t>13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6</w:t>
            </w:r>
            <w:r w:rsidRPr="000A5B5D">
              <w:rPr>
                <w:rFonts w:hint="eastAsia"/>
                <w:szCs w:val="24"/>
              </w:rPr>
              <w:t>个月</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C7BE6">
            <w:pPr>
              <w:jc w:val="left"/>
              <w:rPr>
                <w:szCs w:val="24"/>
              </w:rPr>
            </w:pPr>
            <w:r w:rsidRPr="000A5B5D">
              <w:rPr>
                <w:rFonts w:hint="eastAsia"/>
                <w:szCs w:val="24"/>
              </w:rPr>
              <w:t>截止</w:t>
            </w:r>
            <w:r w:rsidR="00FC7BE6" w:rsidRPr="000A5B5D">
              <w:rPr>
                <w:szCs w:val="24"/>
              </w:rPr>
              <w:t>1</w:t>
            </w:r>
            <w:r w:rsidR="00FC7BE6" w:rsidRPr="000A5B5D">
              <w:rPr>
                <w:rFonts w:hint="eastAsia"/>
                <w:szCs w:val="24"/>
              </w:rPr>
              <w:t>月</w:t>
            </w:r>
            <w:r w:rsidR="00FC7BE6" w:rsidRPr="000A5B5D">
              <w:rPr>
                <w:szCs w:val="24"/>
              </w:rPr>
              <w:t>13</w:t>
            </w:r>
            <w:r w:rsidRPr="000A5B5D">
              <w:rPr>
                <w:rFonts w:hint="eastAsia"/>
                <w:szCs w:val="24"/>
              </w:rPr>
              <w:t>日，该承诺已履行完毕。</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杭州恒逸投资有限公司</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股份限售承诺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杭州恒逸投资有限公司作为公司控股股东浙江恒逸集团有限公司的全资子公司，承诺在恒逸石化</w:t>
            </w:r>
            <w:r w:rsidRPr="000A5B5D">
              <w:rPr>
                <w:szCs w:val="24"/>
              </w:rPr>
              <w:t>2014</w:t>
            </w:r>
            <w:r w:rsidRPr="000A5B5D">
              <w:rPr>
                <w:rFonts w:hint="eastAsia"/>
                <w:szCs w:val="24"/>
              </w:rPr>
              <w:t>年度非公开发行</w:t>
            </w:r>
            <w:r w:rsidRPr="000A5B5D">
              <w:rPr>
                <w:szCs w:val="24"/>
              </w:rPr>
              <w:t>A</w:t>
            </w:r>
            <w:r w:rsidRPr="000A5B5D">
              <w:rPr>
                <w:rFonts w:hint="eastAsia"/>
                <w:szCs w:val="24"/>
              </w:rPr>
              <w:t>股股票事项中以现金方式认购的</w:t>
            </w:r>
            <w:r w:rsidRPr="000A5B5D">
              <w:rPr>
                <w:szCs w:val="24"/>
              </w:rPr>
              <w:t>140,845,070</w:t>
            </w:r>
            <w:r w:rsidRPr="000A5B5D">
              <w:rPr>
                <w:rFonts w:hint="eastAsia"/>
                <w:szCs w:val="24"/>
              </w:rPr>
              <w:t>股新增股份自该等股份上市之日起</w:t>
            </w:r>
            <w:r w:rsidRPr="000A5B5D">
              <w:rPr>
                <w:szCs w:val="24"/>
              </w:rPr>
              <w:t>36</w:t>
            </w:r>
            <w:r w:rsidRPr="000A5B5D">
              <w:rPr>
                <w:rFonts w:hint="eastAsia"/>
                <w:szCs w:val="24"/>
              </w:rPr>
              <w:t>个月内不转让。</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3</w:t>
            </w:r>
            <w:r w:rsidRPr="000A5B5D">
              <w:rPr>
                <w:rFonts w:hint="eastAsia"/>
                <w:szCs w:val="24"/>
              </w:rPr>
              <w:t>年</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该承诺持续有效，仍在履行过程中，截至目前，恒逸投资无违反该承诺事项。</w:t>
            </w:r>
          </w:p>
        </w:tc>
      </w:tr>
      <w:tr w:rsidR="00BC4D56" w:rsidRPr="000A5B5D" w:rsidTr="009F531B">
        <w:tc>
          <w:tcPr>
            <w:tcW w:w="1276"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浙江恒逸集团有限公司</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股份增持承诺</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公司控股股东浙江恒逸集团有限公司自</w:t>
            </w:r>
            <w:r w:rsidRPr="000A5B5D">
              <w:rPr>
                <w:szCs w:val="24"/>
              </w:rPr>
              <w:t>2016</w:t>
            </w:r>
            <w:r w:rsidRPr="000A5B5D">
              <w:rPr>
                <w:rFonts w:hint="eastAsia"/>
                <w:szCs w:val="24"/>
              </w:rPr>
              <w:t>年</w:t>
            </w:r>
            <w:r w:rsidRPr="000A5B5D">
              <w:rPr>
                <w:szCs w:val="24"/>
              </w:rPr>
              <w:t>1</w:t>
            </w:r>
            <w:r w:rsidRPr="000A5B5D">
              <w:rPr>
                <w:rFonts w:hint="eastAsia"/>
                <w:szCs w:val="24"/>
              </w:rPr>
              <w:t>月</w:t>
            </w:r>
            <w:r w:rsidRPr="000A5B5D">
              <w:rPr>
                <w:szCs w:val="24"/>
              </w:rPr>
              <w:t>14</w:t>
            </w:r>
            <w:r w:rsidRPr="000A5B5D">
              <w:rPr>
                <w:rFonts w:hint="eastAsia"/>
                <w:szCs w:val="24"/>
              </w:rPr>
              <w:t>日起</w:t>
            </w:r>
            <w:r w:rsidRPr="000A5B5D">
              <w:rPr>
                <w:szCs w:val="24"/>
              </w:rPr>
              <w:t>12</w:t>
            </w:r>
            <w:r w:rsidRPr="000A5B5D">
              <w:rPr>
                <w:rFonts w:hint="eastAsia"/>
                <w:szCs w:val="24"/>
              </w:rPr>
              <w:t>个月内，择机通过二级市场竞价买入或深圳证券交易所允许的其他方式增持不低于</w:t>
            </w:r>
            <w:r w:rsidRPr="000A5B5D">
              <w:rPr>
                <w:szCs w:val="24"/>
              </w:rPr>
              <w:t>1,000</w:t>
            </w:r>
            <w:r w:rsidRPr="000A5B5D">
              <w:rPr>
                <w:rFonts w:hint="eastAsia"/>
                <w:szCs w:val="24"/>
              </w:rPr>
              <w:t>万股公司股份。并且，在增持实施期间及法定期限内不减持所持有的公司股份。</w:t>
            </w:r>
          </w:p>
        </w:tc>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2016</w:t>
            </w:r>
            <w:r w:rsidRPr="000A5B5D">
              <w:rPr>
                <w:rFonts w:hint="eastAsia"/>
                <w:szCs w:val="24"/>
              </w:rPr>
              <w:t>年</w:t>
            </w:r>
            <w:r w:rsidRPr="000A5B5D">
              <w:rPr>
                <w:szCs w:val="24"/>
              </w:rPr>
              <w:t>01</w:t>
            </w:r>
            <w:r w:rsidRPr="000A5B5D">
              <w:rPr>
                <w:rFonts w:hint="eastAsia"/>
                <w:szCs w:val="24"/>
              </w:rPr>
              <w:t>月</w:t>
            </w:r>
            <w:r w:rsidRPr="000A5B5D">
              <w:rPr>
                <w:szCs w:val="24"/>
              </w:rPr>
              <w:t>14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1</w:t>
            </w:r>
            <w:r w:rsidRPr="000A5B5D">
              <w:rPr>
                <w:rFonts w:hint="eastAsia"/>
                <w:szCs w:val="24"/>
              </w:rPr>
              <w:t>年</w:t>
            </w:r>
          </w:p>
        </w:tc>
        <w:tc>
          <w:tcPr>
            <w:tcW w:w="148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该承诺持续有效，仍在履行过程中，截至目前，恒逸集团无违反该承诺事项。</w:t>
            </w: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承诺是否按时履行</w:t>
            </w:r>
          </w:p>
        </w:tc>
        <w:tc>
          <w:tcPr>
            <w:tcW w:w="829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是</w:t>
            </w:r>
          </w:p>
        </w:tc>
      </w:tr>
      <w:tr w:rsidR="00BC4D56" w:rsidRPr="000A5B5D" w:rsidTr="009F531B">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如承诺超期未履行完毕的，应当详细说明未完成履行的具体原因及下一步的工作计划</w:t>
            </w:r>
          </w:p>
        </w:tc>
        <w:tc>
          <w:tcPr>
            <w:tcW w:w="829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无</w:t>
            </w:r>
          </w:p>
        </w:tc>
      </w:tr>
    </w:tbl>
    <w:p w:rsidR="00BC4D56" w:rsidRPr="000A5B5D" w:rsidRDefault="00BC4D56" w:rsidP="009F531B">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、公司资产或项目存在盈利预测，且报告期仍处在盈利预测期间，公司就资产或项目达到原盈利预测及其原因做出说明</w:t>
      </w:r>
    </w:p>
    <w:p w:rsidR="00BC4D56" w:rsidRPr="000A5B5D" w:rsidRDefault="00BC4D56" w:rsidP="009F531B">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pStyle w:val="Chapter"/>
        <w:spacing w:line="360" w:lineRule="auto"/>
        <w:outlineLvl w:val="1"/>
        <w:rPr>
          <w:bCs w:val="0"/>
        </w:rPr>
      </w:pPr>
      <w:r w:rsidRPr="000A5B5D">
        <w:rPr>
          <w:rFonts w:hint="eastAsia"/>
          <w:bCs w:val="0"/>
        </w:rPr>
        <w:lastRenderedPageBreak/>
        <w:t>四、控股股东及其关联方对上市公司的非经营性占用资金情况</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公司报告期不存在控股股东及其关联方对上市公司的非经营性占用资金。</w:t>
      </w:r>
    </w:p>
    <w:p w:rsidR="00BC4D56" w:rsidRPr="000A5B5D" w:rsidRDefault="00BC4D56" w:rsidP="009F531B">
      <w:pPr>
        <w:pStyle w:val="Chapter"/>
        <w:spacing w:line="360" w:lineRule="auto"/>
        <w:outlineLvl w:val="1"/>
        <w:rPr>
          <w:bCs w:val="0"/>
        </w:rPr>
      </w:pPr>
      <w:r w:rsidRPr="000A5B5D">
        <w:rPr>
          <w:rFonts w:hint="eastAsia"/>
          <w:bCs w:val="0"/>
        </w:rPr>
        <w:t>五、董事会、监事会、独立董事（如有）对会计师事务所本报告期</w:t>
      </w:r>
      <w:r w:rsidRPr="000A5B5D">
        <w:rPr>
          <w:bCs w:val="0"/>
        </w:rPr>
        <w:t>“</w:t>
      </w:r>
      <w:r w:rsidRPr="000A5B5D">
        <w:rPr>
          <w:rFonts w:hint="eastAsia"/>
          <w:bCs w:val="0"/>
        </w:rPr>
        <w:t>非标准审计报告</w:t>
      </w:r>
      <w:r w:rsidRPr="000A5B5D">
        <w:rPr>
          <w:bCs w:val="0"/>
        </w:rPr>
        <w:t>”</w:t>
      </w:r>
      <w:r w:rsidRPr="000A5B5D">
        <w:rPr>
          <w:rFonts w:hint="eastAsia"/>
          <w:bCs w:val="0"/>
        </w:rPr>
        <w:t>的说明</w:t>
      </w:r>
    </w:p>
    <w:p w:rsidR="00BC4D56" w:rsidRPr="000A5B5D" w:rsidRDefault="00BC4D56" w:rsidP="009F531B">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pStyle w:val="Chapter"/>
        <w:spacing w:line="360" w:lineRule="auto"/>
        <w:outlineLvl w:val="1"/>
        <w:rPr>
          <w:bCs w:val="0"/>
        </w:rPr>
      </w:pPr>
      <w:r w:rsidRPr="000A5B5D">
        <w:rPr>
          <w:rFonts w:hint="eastAsia"/>
          <w:bCs w:val="0"/>
        </w:rPr>
        <w:t>六、与上年度财务报告相比，会计政策、会计估计和核算方法发生变化的情况说明</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公司报告期无会计政策、会计估计和核算方法发生变化的情况。</w:t>
      </w:r>
    </w:p>
    <w:p w:rsidR="00BC4D56" w:rsidRPr="000A5B5D" w:rsidRDefault="00BC4D56" w:rsidP="009F531B">
      <w:pPr>
        <w:pStyle w:val="Chapter"/>
        <w:spacing w:line="360" w:lineRule="auto"/>
        <w:outlineLvl w:val="1"/>
        <w:rPr>
          <w:bCs w:val="0"/>
        </w:rPr>
      </w:pPr>
      <w:r w:rsidRPr="000A5B5D">
        <w:rPr>
          <w:rFonts w:hint="eastAsia"/>
          <w:bCs w:val="0"/>
        </w:rPr>
        <w:t>七、报告期内发生重大会计差错更正需追溯重述的情况说明</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公司报告期无重大会计差错更正需追溯重述的情况。</w:t>
      </w:r>
    </w:p>
    <w:p w:rsidR="00BC4D56" w:rsidRPr="000A5B5D" w:rsidRDefault="00BC4D56" w:rsidP="009F531B">
      <w:pPr>
        <w:pStyle w:val="Chapter"/>
        <w:spacing w:line="360" w:lineRule="auto"/>
        <w:outlineLvl w:val="1"/>
        <w:rPr>
          <w:bCs w:val="0"/>
        </w:rPr>
      </w:pPr>
      <w:r w:rsidRPr="000A5B5D">
        <w:rPr>
          <w:rFonts w:hint="eastAsia"/>
          <w:bCs w:val="0"/>
        </w:rPr>
        <w:t>八、与上年度财务报告相比，合并报表范围发生变化的情况说明</w:t>
      </w:r>
    </w:p>
    <w:p w:rsidR="00BC4D56" w:rsidRPr="000A5B5D" w:rsidRDefault="00BC4D56" w:rsidP="009F531B">
      <w:pPr>
        <w:autoSpaceDE w:val="0"/>
        <w:autoSpaceDN w:val="0"/>
        <w:adjustRightInd w:val="0"/>
        <w:spacing w:before="0" w:after="0" w:line="360" w:lineRule="auto"/>
        <w:ind w:firstLine="480"/>
        <w:rPr>
          <w:rFonts w:asciiTheme="minorEastAsia" w:eastAsiaTheme="minorEastAsia" w:hAnsiTheme="minorEastAsia"/>
          <w:kern w:val="0"/>
          <w:sz w:val="24"/>
          <w:szCs w:val="24"/>
          <w:lang w:val="zh-CN"/>
        </w:rPr>
      </w:pPr>
      <w:r w:rsidRPr="000A5B5D">
        <w:rPr>
          <w:rFonts w:eastAsia="Times New Roman"/>
          <w:kern w:val="0"/>
          <w:sz w:val="24"/>
          <w:szCs w:val="24"/>
          <w:lang w:val="zh-CN"/>
        </w:rPr>
        <w:t>1</w:t>
      </w:r>
      <w:r w:rsidRPr="000A5B5D">
        <w:rPr>
          <w:rFonts w:ascii="宋体" w:hAnsi="宋体" w:cs="宋体" w:hint="eastAsia"/>
          <w:kern w:val="0"/>
          <w:sz w:val="24"/>
          <w:szCs w:val="24"/>
          <w:lang w:val="zh-CN"/>
        </w:rPr>
        <w:t>、浙江逸盛公司于</w:t>
      </w:r>
      <w:r w:rsidRPr="000A5B5D">
        <w:rPr>
          <w:rFonts w:eastAsia="Times New Roman"/>
          <w:kern w:val="0"/>
          <w:sz w:val="24"/>
          <w:szCs w:val="24"/>
          <w:lang w:val="zh-CN"/>
        </w:rPr>
        <w:t xml:space="preserve"> 2015 </w:t>
      </w:r>
      <w:r w:rsidRPr="000A5B5D">
        <w:rPr>
          <w:rFonts w:ascii="宋体" w:hAnsi="宋体" w:cs="宋体" w:hint="eastAsia"/>
          <w:kern w:val="0"/>
          <w:sz w:val="24"/>
          <w:szCs w:val="24"/>
          <w:lang w:val="zh-CN"/>
        </w:rPr>
        <w:t>年出资</w:t>
      </w:r>
      <w:r w:rsidRPr="000A5B5D">
        <w:rPr>
          <w:rFonts w:eastAsia="Times New Roman"/>
          <w:kern w:val="0"/>
          <w:sz w:val="24"/>
          <w:szCs w:val="24"/>
          <w:lang w:val="zh-CN"/>
        </w:rPr>
        <w:t>500</w:t>
      </w:r>
      <w:r w:rsidRPr="000A5B5D">
        <w:rPr>
          <w:rFonts w:ascii="宋体" w:hAnsi="宋体" w:cs="宋体" w:hint="eastAsia"/>
          <w:kern w:val="0"/>
          <w:sz w:val="24"/>
          <w:szCs w:val="24"/>
          <w:lang w:val="zh-CN"/>
        </w:rPr>
        <w:t>万美元在香港设立了全资子公司香港逸盛石化投资有限公司，故本</w:t>
      </w:r>
      <w:r w:rsidRPr="000A5B5D">
        <w:rPr>
          <w:rFonts w:asciiTheme="minorEastAsia" w:eastAsiaTheme="minorEastAsia" w:hAnsiTheme="minorEastAsia" w:cs="宋体" w:hint="eastAsia"/>
          <w:kern w:val="0"/>
          <w:sz w:val="24"/>
          <w:szCs w:val="24"/>
          <w:lang w:val="zh-CN"/>
        </w:rPr>
        <w:t>年度合并范围增加了该公司。</w:t>
      </w:r>
    </w:p>
    <w:p w:rsidR="00BC4D56" w:rsidRPr="000A5B5D" w:rsidRDefault="00BC4D56" w:rsidP="009F531B">
      <w:pPr>
        <w:autoSpaceDE w:val="0"/>
        <w:autoSpaceDN w:val="0"/>
        <w:adjustRightInd w:val="0"/>
        <w:spacing w:before="0" w:after="0" w:line="360" w:lineRule="auto"/>
        <w:ind w:firstLine="480"/>
        <w:rPr>
          <w:rFonts w:eastAsiaTheme="minorEastAsia"/>
          <w:kern w:val="0"/>
          <w:sz w:val="24"/>
          <w:szCs w:val="24"/>
          <w:lang w:val="zh-CN"/>
        </w:rPr>
      </w:pPr>
      <w:r w:rsidRPr="000A5B5D">
        <w:rPr>
          <w:rFonts w:asciiTheme="minorEastAsia" w:eastAsiaTheme="minorEastAsia" w:hAnsiTheme="minorEastAsia"/>
          <w:kern w:val="0"/>
          <w:sz w:val="24"/>
          <w:szCs w:val="24"/>
          <w:lang w:val="zh-CN"/>
        </w:rPr>
        <w:t>2</w:t>
      </w:r>
      <w:r w:rsidRPr="000A5B5D">
        <w:rPr>
          <w:rFonts w:asciiTheme="minorEastAsia" w:eastAsiaTheme="minorEastAsia" w:hAnsiTheme="minorEastAsia" w:cs="宋体" w:hint="eastAsia"/>
          <w:kern w:val="0"/>
          <w:sz w:val="24"/>
          <w:szCs w:val="24"/>
          <w:lang w:val="zh-CN"/>
        </w:rPr>
        <w:t>、本公司之全资子公司香港天逸国际控股有限公司于</w:t>
      </w:r>
      <w:r w:rsidRPr="000A5B5D">
        <w:rPr>
          <w:rFonts w:asciiTheme="minorEastAsia" w:eastAsiaTheme="minorEastAsia" w:hAnsiTheme="minorEastAsia"/>
          <w:kern w:val="0"/>
          <w:sz w:val="24"/>
          <w:szCs w:val="24"/>
          <w:lang w:val="zh-CN"/>
        </w:rPr>
        <w:t>2015</w:t>
      </w:r>
      <w:r w:rsidRPr="000A5B5D">
        <w:rPr>
          <w:rFonts w:asciiTheme="minorEastAsia" w:eastAsiaTheme="minorEastAsia" w:hAnsiTheme="minorEastAsia" w:cs="宋体" w:hint="eastAsia"/>
          <w:kern w:val="0"/>
          <w:sz w:val="24"/>
          <w:szCs w:val="24"/>
          <w:lang w:val="zh-CN"/>
        </w:rPr>
        <w:t>年购入恒逸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cs="宋体" w:hint="eastAsia"/>
          <w:kern w:val="0"/>
          <w:sz w:val="24"/>
          <w:szCs w:val="24"/>
          <w:lang w:val="zh-CN"/>
        </w:rPr>
        <w:t>株式会社（以下简称</w:t>
      </w:r>
      <w:r w:rsidRPr="000A5B5D">
        <w:rPr>
          <w:rFonts w:asciiTheme="minorEastAsia" w:eastAsiaTheme="minorEastAsia" w:hAnsiTheme="minorEastAsia"/>
          <w:kern w:val="0"/>
          <w:sz w:val="24"/>
          <w:szCs w:val="24"/>
          <w:lang w:val="zh-CN"/>
        </w:rPr>
        <w:t>“</w:t>
      </w:r>
      <w:r w:rsidRPr="000A5B5D">
        <w:rPr>
          <w:rFonts w:asciiTheme="minorEastAsia" w:eastAsiaTheme="minorEastAsia" w:hAnsiTheme="minorEastAsia" w:cs="宋体" w:hint="eastAsia"/>
          <w:kern w:val="0"/>
          <w:sz w:val="24"/>
          <w:szCs w:val="24"/>
          <w:lang w:val="zh-CN"/>
        </w:rPr>
        <w:t>恒逸</w:t>
      </w:r>
      <w:r w:rsidRPr="000A5B5D">
        <w:rPr>
          <w:rFonts w:asciiTheme="minorEastAsia" w:eastAsiaTheme="minorEastAsia" w:hAnsiTheme="minorEastAsia"/>
          <w:kern w:val="0"/>
          <w:sz w:val="24"/>
          <w:szCs w:val="24"/>
          <w:lang w:val="zh-CN"/>
        </w:rPr>
        <w:t>JAPAN</w:t>
      </w:r>
      <w:r w:rsidRPr="000A5B5D">
        <w:rPr>
          <w:rFonts w:asciiTheme="minorEastAsia" w:eastAsiaTheme="minorEastAsia" w:hAnsiTheme="minorEastAsia" w:hint="eastAsia"/>
          <w:kern w:val="0"/>
          <w:sz w:val="24"/>
          <w:szCs w:val="24"/>
          <w:lang w:val="zh-CN"/>
        </w:rPr>
        <w:t>”</w:t>
      </w:r>
      <w:r w:rsidRPr="000A5B5D">
        <w:rPr>
          <w:rFonts w:asciiTheme="minorEastAsia" w:eastAsiaTheme="minorEastAsia" w:hAnsiTheme="minorEastAsia" w:cs="宋体" w:hint="eastAsia"/>
          <w:kern w:val="0"/>
          <w:sz w:val="24"/>
          <w:szCs w:val="24"/>
          <w:lang w:val="zh-CN"/>
        </w:rPr>
        <w:t>）另外两个股东</w:t>
      </w:r>
      <w:r w:rsidRPr="000A5B5D">
        <w:rPr>
          <w:rFonts w:asciiTheme="minorEastAsia" w:eastAsiaTheme="minorEastAsia" w:hAnsiTheme="minorEastAsia"/>
          <w:kern w:val="0"/>
          <w:sz w:val="24"/>
          <w:szCs w:val="24"/>
          <w:lang w:val="zh-CN"/>
        </w:rPr>
        <w:t>17%</w:t>
      </w:r>
      <w:r w:rsidRPr="000A5B5D">
        <w:rPr>
          <w:rFonts w:asciiTheme="minorEastAsia" w:eastAsiaTheme="minorEastAsia" w:hAnsiTheme="minorEastAsia" w:cs="宋体" w:hint="eastAsia"/>
          <w:kern w:val="0"/>
          <w:sz w:val="24"/>
          <w:szCs w:val="24"/>
          <w:lang w:val="zh-CN"/>
        </w:rPr>
        <w:t>的股权，</w:t>
      </w:r>
      <w:r w:rsidRPr="000A5B5D">
        <w:rPr>
          <w:rFonts w:ascii="宋体" w:hAnsi="宋体" w:cs="宋体" w:hint="eastAsia"/>
          <w:kern w:val="0"/>
          <w:sz w:val="24"/>
          <w:szCs w:val="24"/>
          <w:lang w:val="zh-CN"/>
        </w:rPr>
        <w:t>对恒逸</w:t>
      </w:r>
      <w:r w:rsidRPr="000A5B5D">
        <w:rPr>
          <w:rFonts w:eastAsia="Times New Roman"/>
          <w:kern w:val="0"/>
          <w:sz w:val="24"/>
          <w:szCs w:val="24"/>
          <w:lang w:val="zh-CN"/>
        </w:rPr>
        <w:t>JAPAN</w:t>
      </w:r>
      <w:r w:rsidRPr="000A5B5D">
        <w:rPr>
          <w:rFonts w:ascii="宋体" w:hAnsi="宋体" w:cs="宋体" w:hint="eastAsia"/>
          <w:kern w:val="0"/>
          <w:sz w:val="24"/>
          <w:szCs w:val="24"/>
          <w:lang w:val="zh-CN"/>
        </w:rPr>
        <w:t>的持股比例达到</w:t>
      </w:r>
      <w:r w:rsidRPr="000A5B5D">
        <w:rPr>
          <w:rFonts w:eastAsia="Times New Roman"/>
          <w:kern w:val="0"/>
          <w:sz w:val="24"/>
          <w:szCs w:val="24"/>
          <w:lang w:val="zh-CN"/>
        </w:rPr>
        <w:t>51%</w:t>
      </w:r>
      <w:r w:rsidRPr="000A5B5D">
        <w:rPr>
          <w:rFonts w:ascii="宋体" w:hAnsi="宋体" w:cs="宋体" w:hint="eastAsia"/>
          <w:kern w:val="0"/>
          <w:sz w:val="24"/>
          <w:szCs w:val="24"/>
          <w:lang w:val="zh-CN"/>
        </w:rPr>
        <w:t>，能对恒逸</w:t>
      </w:r>
      <w:r w:rsidRPr="000A5B5D">
        <w:rPr>
          <w:rFonts w:eastAsia="Times New Roman"/>
          <w:kern w:val="0"/>
          <w:sz w:val="24"/>
          <w:szCs w:val="24"/>
          <w:lang w:val="zh-CN"/>
        </w:rPr>
        <w:t>JAPAN</w:t>
      </w:r>
      <w:r w:rsidRPr="000A5B5D">
        <w:rPr>
          <w:rFonts w:ascii="宋体" w:hAnsi="宋体" w:cs="宋体" w:hint="eastAsia"/>
          <w:kern w:val="0"/>
          <w:sz w:val="24"/>
          <w:szCs w:val="24"/>
          <w:lang w:val="zh-CN"/>
        </w:rPr>
        <w:t>实施控制，故本年度合并范围增加了该公司。</w:t>
      </w:r>
    </w:p>
    <w:p w:rsidR="00BC4D56" w:rsidRPr="000A5B5D" w:rsidRDefault="00BC4D56">
      <w:pPr>
        <w:pStyle w:val="Chapter"/>
        <w:outlineLvl w:val="1"/>
        <w:rPr>
          <w:bCs w:val="0"/>
        </w:rPr>
      </w:pPr>
      <w:r w:rsidRPr="000A5B5D">
        <w:rPr>
          <w:rFonts w:hint="eastAsia"/>
          <w:bCs w:val="0"/>
        </w:rPr>
        <w:t>九、聘任、解聘会计师事务所情况</w:t>
      </w:r>
    </w:p>
    <w:p w:rsidR="00BC4D56" w:rsidRPr="000A5B5D" w:rsidRDefault="00BC4D56" w:rsidP="009F531B">
      <w:pPr>
        <w:spacing w:line="360" w:lineRule="auto"/>
        <w:jc w:val="left"/>
        <w:rPr>
          <w:sz w:val="24"/>
          <w:szCs w:val="24"/>
        </w:rPr>
      </w:pPr>
      <w:r w:rsidRPr="000A5B5D">
        <w:rPr>
          <w:rFonts w:hint="eastAsia"/>
          <w:sz w:val="24"/>
          <w:szCs w:val="24"/>
        </w:rPr>
        <w:t>现聘任的会计师事务所</w:t>
      </w:r>
    </w:p>
    <w:tbl>
      <w:tblPr>
        <w:tblW w:w="0" w:type="auto"/>
        <w:tblInd w:w="28" w:type="dxa"/>
        <w:tblLayout w:type="fixed"/>
        <w:tblCellMar>
          <w:left w:w="28" w:type="dxa"/>
          <w:right w:w="28" w:type="dxa"/>
        </w:tblCellMar>
        <w:tblLook w:val="0000" w:firstRow="0" w:lastRow="0" w:firstColumn="0" w:lastColumn="0" w:noHBand="0" w:noVBand="0"/>
      </w:tblPr>
      <w:tblGrid>
        <w:gridCol w:w="4678"/>
        <w:gridCol w:w="4890"/>
      </w:tblGrid>
      <w:tr w:rsidR="00BC4D56" w:rsidRPr="000A5B5D" w:rsidTr="009F531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left"/>
              <w:rPr>
                <w:sz w:val="24"/>
                <w:szCs w:val="24"/>
              </w:rPr>
            </w:pPr>
            <w:r w:rsidRPr="000A5B5D">
              <w:rPr>
                <w:rFonts w:hint="eastAsia"/>
                <w:sz w:val="24"/>
                <w:szCs w:val="24"/>
              </w:rPr>
              <w:t>境内会计师事务所名称</w:t>
            </w:r>
          </w:p>
        </w:tc>
        <w:tc>
          <w:tcPr>
            <w:tcW w:w="489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9F531B">
            <w:pPr>
              <w:spacing w:line="360" w:lineRule="auto"/>
              <w:jc w:val="center"/>
              <w:rPr>
                <w:sz w:val="24"/>
                <w:szCs w:val="24"/>
              </w:rPr>
            </w:pPr>
            <w:r w:rsidRPr="000A5B5D">
              <w:rPr>
                <w:rFonts w:hint="eastAsia"/>
                <w:sz w:val="24"/>
                <w:szCs w:val="24"/>
              </w:rPr>
              <w:t>瑞华会计师事务所（特殊普通合伙）</w:t>
            </w:r>
          </w:p>
        </w:tc>
      </w:tr>
      <w:tr w:rsidR="00BC4D56" w:rsidRPr="000A5B5D" w:rsidTr="009F531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left"/>
              <w:rPr>
                <w:sz w:val="24"/>
                <w:szCs w:val="24"/>
              </w:rPr>
            </w:pPr>
            <w:r w:rsidRPr="000A5B5D">
              <w:rPr>
                <w:rFonts w:hint="eastAsia"/>
                <w:sz w:val="24"/>
                <w:szCs w:val="24"/>
              </w:rPr>
              <w:t>境内会计师事务所报酬（万元）</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06B84">
            <w:pPr>
              <w:spacing w:line="360" w:lineRule="auto"/>
              <w:jc w:val="center"/>
              <w:rPr>
                <w:sz w:val="24"/>
                <w:szCs w:val="24"/>
              </w:rPr>
            </w:pPr>
            <w:r w:rsidRPr="000A5B5D">
              <w:rPr>
                <w:sz w:val="24"/>
                <w:szCs w:val="24"/>
              </w:rPr>
              <w:t>1</w:t>
            </w:r>
            <w:r w:rsidR="00B06B84" w:rsidRPr="000A5B5D">
              <w:rPr>
                <w:sz w:val="24"/>
                <w:szCs w:val="24"/>
              </w:rPr>
              <w:t>8</w:t>
            </w:r>
            <w:r w:rsidRPr="000A5B5D">
              <w:rPr>
                <w:sz w:val="24"/>
                <w:szCs w:val="24"/>
              </w:rPr>
              <w:t>0</w:t>
            </w:r>
          </w:p>
        </w:tc>
      </w:tr>
      <w:tr w:rsidR="00BC4D56" w:rsidRPr="000A5B5D" w:rsidTr="009F531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left"/>
              <w:rPr>
                <w:sz w:val="24"/>
                <w:szCs w:val="24"/>
              </w:rPr>
            </w:pPr>
            <w:r w:rsidRPr="000A5B5D">
              <w:rPr>
                <w:rFonts w:hint="eastAsia"/>
                <w:sz w:val="24"/>
                <w:szCs w:val="24"/>
              </w:rPr>
              <w:t>境内会计师事务所审计服务的连续年限</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sz w:val="24"/>
                <w:szCs w:val="24"/>
              </w:rPr>
              <w:t>3</w:t>
            </w:r>
          </w:p>
        </w:tc>
      </w:tr>
      <w:tr w:rsidR="00BC4D56" w:rsidRPr="000A5B5D" w:rsidTr="009F531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left"/>
              <w:rPr>
                <w:sz w:val="24"/>
                <w:szCs w:val="24"/>
              </w:rPr>
            </w:pPr>
            <w:r w:rsidRPr="000A5B5D">
              <w:rPr>
                <w:rFonts w:hint="eastAsia"/>
                <w:sz w:val="24"/>
                <w:szCs w:val="24"/>
              </w:rPr>
              <w:t>境内会计师事务所注册会计师姓名</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rFonts w:hint="eastAsia"/>
                <w:sz w:val="24"/>
                <w:szCs w:val="24"/>
              </w:rPr>
              <w:t>刘洪跃、王志伟</w:t>
            </w:r>
          </w:p>
        </w:tc>
      </w:tr>
      <w:tr w:rsidR="00BC4D56" w:rsidRPr="000A5B5D" w:rsidTr="009F531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9F531B">
            <w:pPr>
              <w:spacing w:line="360" w:lineRule="auto"/>
              <w:jc w:val="left"/>
              <w:rPr>
                <w:sz w:val="24"/>
                <w:szCs w:val="24"/>
              </w:rPr>
            </w:pPr>
            <w:r w:rsidRPr="000A5B5D">
              <w:rPr>
                <w:rFonts w:hint="eastAsia"/>
                <w:sz w:val="24"/>
                <w:szCs w:val="24"/>
              </w:rPr>
              <w:t>境外会计师事务所名称（如有）</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531B">
            <w:pPr>
              <w:spacing w:line="360" w:lineRule="auto"/>
              <w:jc w:val="center"/>
              <w:rPr>
                <w:sz w:val="24"/>
                <w:szCs w:val="24"/>
              </w:rPr>
            </w:pPr>
            <w:r w:rsidRPr="000A5B5D">
              <w:rPr>
                <w:rFonts w:hint="eastAsia"/>
                <w:sz w:val="24"/>
                <w:szCs w:val="24"/>
              </w:rPr>
              <w:t>无</w:t>
            </w:r>
          </w:p>
        </w:tc>
      </w:tr>
    </w:tbl>
    <w:p w:rsidR="00BC4D56" w:rsidRPr="000A5B5D" w:rsidRDefault="00BC4D56" w:rsidP="009F531B">
      <w:pPr>
        <w:spacing w:line="360" w:lineRule="auto"/>
        <w:jc w:val="left"/>
        <w:rPr>
          <w:sz w:val="24"/>
          <w:szCs w:val="24"/>
        </w:rPr>
      </w:pPr>
      <w:r w:rsidRPr="000A5B5D">
        <w:rPr>
          <w:rFonts w:hint="eastAsia"/>
          <w:sz w:val="24"/>
          <w:szCs w:val="24"/>
        </w:rPr>
        <w:t>当期是否改聘会计师事务所</w:t>
      </w:r>
    </w:p>
    <w:p w:rsidR="00BC4D56" w:rsidRPr="000A5B5D" w:rsidRDefault="00BC4D56" w:rsidP="009F531B">
      <w:pPr>
        <w:spacing w:line="360" w:lineRule="auto"/>
        <w:jc w:val="left"/>
        <w:rPr>
          <w:sz w:val="24"/>
          <w:szCs w:val="24"/>
        </w:rPr>
      </w:pPr>
      <w:r w:rsidRPr="000A5B5D">
        <w:rPr>
          <w:sz w:val="24"/>
          <w:szCs w:val="24"/>
        </w:rPr>
        <w:lastRenderedPageBreak/>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9F531B">
      <w:pPr>
        <w:spacing w:line="360" w:lineRule="auto"/>
        <w:jc w:val="left"/>
        <w:rPr>
          <w:sz w:val="24"/>
          <w:szCs w:val="24"/>
        </w:rPr>
      </w:pPr>
      <w:r w:rsidRPr="000A5B5D">
        <w:rPr>
          <w:rFonts w:hint="eastAsia"/>
          <w:sz w:val="24"/>
          <w:szCs w:val="24"/>
        </w:rPr>
        <w:t>聘请内部控制审计会计师事务所、财务顾问或保荐人情况</w:t>
      </w:r>
    </w:p>
    <w:p w:rsidR="00BC4D56" w:rsidRPr="000A5B5D" w:rsidRDefault="00BC4D56" w:rsidP="009F531B">
      <w:pPr>
        <w:autoSpaceDE w:val="0"/>
        <w:autoSpaceDN w:val="0"/>
        <w:adjustRightInd w:val="0"/>
        <w:spacing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报告期内，公司聘请了瑞华会计师事务所（特殊普通合伙）作为公司的内部控制审计会计师事务所，</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年度内部控制审计费用为人民币</w:t>
      </w:r>
      <w:r w:rsidRPr="000A5B5D">
        <w:rPr>
          <w:rFonts w:eastAsia="Times New Roman"/>
          <w:kern w:val="0"/>
          <w:sz w:val="24"/>
          <w:szCs w:val="24"/>
          <w:lang w:val="zh-CN"/>
        </w:rPr>
        <w:t>85</w:t>
      </w:r>
      <w:r w:rsidRPr="000A5B5D">
        <w:rPr>
          <w:rFonts w:ascii="宋体" w:hAnsi="宋体" w:cs="宋体" w:hint="eastAsia"/>
          <w:kern w:val="0"/>
          <w:sz w:val="24"/>
          <w:szCs w:val="24"/>
          <w:lang w:val="zh-CN"/>
        </w:rPr>
        <w:t>万元。报告期内未支付</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年度内部控制审计费用，支付</w:t>
      </w:r>
      <w:r w:rsidRPr="000A5B5D">
        <w:rPr>
          <w:rFonts w:eastAsia="Times New Roman"/>
          <w:kern w:val="0"/>
          <w:sz w:val="24"/>
          <w:szCs w:val="24"/>
          <w:lang w:val="zh-CN"/>
        </w:rPr>
        <w:t>2014</w:t>
      </w:r>
      <w:r w:rsidRPr="000A5B5D">
        <w:rPr>
          <w:rFonts w:ascii="宋体" w:hAnsi="宋体" w:cs="宋体" w:hint="eastAsia"/>
          <w:kern w:val="0"/>
          <w:sz w:val="24"/>
          <w:szCs w:val="24"/>
          <w:lang w:val="zh-CN"/>
        </w:rPr>
        <w:t>年度内部控制审计费用</w:t>
      </w:r>
      <w:r w:rsidRPr="000A5B5D">
        <w:rPr>
          <w:rFonts w:eastAsia="Times New Roman"/>
          <w:kern w:val="0"/>
          <w:sz w:val="24"/>
          <w:szCs w:val="24"/>
          <w:lang w:val="zh-CN"/>
        </w:rPr>
        <w:t>8</w:t>
      </w:r>
      <w:r w:rsidR="003C5B91" w:rsidRPr="000A5B5D">
        <w:rPr>
          <w:rFonts w:eastAsiaTheme="minorEastAsia"/>
          <w:kern w:val="0"/>
          <w:sz w:val="24"/>
          <w:szCs w:val="24"/>
          <w:lang w:val="zh-CN"/>
        </w:rPr>
        <w:t>5</w:t>
      </w:r>
      <w:r w:rsidRPr="000A5B5D">
        <w:rPr>
          <w:rFonts w:ascii="宋体" w:hAnsi="宋体" w:cs="宋体" w:hint="eastAsia"/>
          <w:kern w:val="0"/>
          <w:sz w:val="24"/>
          <w:szCs w:val="24"/>
          <w:lang w:val="zh-CN"/>
        </w:rPr>
        <w:t>万元。</w:t>
      </w:r>
    </w:p>
    <w:p w:rsidR="00BC4D56" w:rsidRPr="000A5B5D" w:rsidRDefault="00BC4D56" w:rsidP="009F531B">
      <w:pPr>
        <w:autoSpaceDE w:val="0"/>
        <w:autoSpaceDN w:val="0"/>
        <w:adjustRightInd w:val="0"/>
        <w:spacing w:line="360" w:lineRule="auto"/>
        <w:ind w:firstLine="480"/>
        <w:jc w:val="left"/>
        <w:rPr>
          <w:rFonts w:eastAsiaTheme="minorEastAsia"/>
          <w:kern w:val="0"/>
          <w:sz w:val="24"/>
          <w:szCs w:val="24"/>
          <w:lang w:val="zh-CN"/>
        </w:rPr>
      </w:pPr>
      <w:r w:rsidRPr="000A5B5D">
        <w:rPr>
          <w:rFonts w:ascii="宋体" w:hAnsi="宋体" w:cs="宋体" w:hint="eastAsia"/>
          <w:kern w:val="0"/>
          <w:sz w:val="24"/>
          <w:szCs w:val="24"/>
          <w:lang w:val="zh-CN"/>
        </w:rPr>
        <w:t>报告期内，公司的定向增发项目与公司债项目的保荐机构为国信证券股份有限公司。本年度因向特定对象定向增发事项，聘请国信证券为保荐机构，期间共支付保荐费</w:t>
      </w:r>
      <w:r w:rsidRPr="000A5B5D">
        <w:rPr>
          <w:rFonts w:eastAsia="Times New Roman"/>
          <w:kern w:val="0"/>
          <w:sz w:val="24"/>
          <w:szCs w:val="24"/>
          <w:lang w:val="zh-CN"/>
        </w:rPr>
        <w:t>150</w:t>
      </w:r>
      <w:r w:rsidRPr="000A5B5D">
        <w:rPr>
          <w:rFonts w:ascii="宋体" w:hAnsi="宋体" w:cs="宋体" w:hint="eastAsia"/>
          <w:kern w:val="0"/>
          <w:sz w:val="24"/>
          <w:szCs w:val="24"/>
          <w:lang w:val="zh-CN"/>
        </w:rPr>
        <w:t>万元。</w:t>
      </w:r>
    </w:p>
    <w:p w:rsidR="00BC4D56" w:rsidRPr="000A5B5D" w:rsidRDefault="00BC4D56" w:rsidP="009F531B">
      <w:pPr>
        <w:pStyle w:val="Chapter"/>
        <w:spacing w:line="360" w:lineRule="auto"/>
        <w:outlineLvl w:val="1"/>
        <w:rPr>
          <w:bCs w:val="0"/>
        </w:rPr>
      </w:pPr>
      <w:r w:rsidRPr="000A5B5D">
        <w:rPr>
          <w:rFonts w:hint="eastAsia"/>
          <w:bCs w:val="0"/>
        </w:rPr>
        <w:t>十、年度报告披露后面临暂停上市和终止上市情况</w:t>
      </w:r>
    </w:p>
    <w:p w:rsidR="00BC4D56" w:rsidRPr="000A5B5D" w:rsidRDefault="00BC4D56" w:rsidP="009F531B">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pStyle w:val="Chapter"/>
        <w:spacing w:line="360" w:lineRule="auto"/>
        <w:outlineLvl w:val="1"/>
        <w:rPr>
          <w:bCs w:val="0"/>
        </w:rPr>
      </w:pPr>
      <w:r w:rsidRPr="000A5B5D">
        <w:rPr>
          <w:rFonts w:hint="eastAsia"/>
          <w:bCs w:val="0"/>
        </w:rPr>
        <w:t>十一、破产重整相关事项</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公司报告期未发生破产重整相关事项。</w:t>
      </w:r>
    </w:p>
    <w:p w:rsidR="00BC4D56" w:rsidRPr="000A5B5D" w:rsidRDefault="00BC4D56" w:rsidP="009F531B">
      <w:pPr>
        <w:pStyle w:val="Chapter"/>
        <w:spacing w:line="360" w:lineRule="auto"/>
        <w:outlineLvl w:val="1"/>
        <w:rPr>
          <w:bCs w:val="0"/>
        </w:rPr>
      </w:pPr>
      <w:r w:rsidRPr="000A5B5D">
        <w:rPr>
          <w:rFonts w:hint="eastAsia"/>
          <w:bCs w:val="0"/>
        </w:rPr>
        <w:t>十二、重大诉讼、仲裁事项</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本报告期公司无重大诉讼、仲裁事项。</w:t>
      </w:r>
    </w:p>
    <w:p w:rsidR="00BC4D56" w:rsidRPr="000A5B5D" w:rsidRDefault="00BC4D56" w:rsidP="009F531B">
      <w:pPr>
        <w:pStyle w:val="Chapter"/>
        <w:spacing w:line="360" w:lineRule="auto"/>
        <w:outlineLvl w:val="1"/>
        <w:rPr>
          <w:bCs w:val="0"/>
        </w:rPr>
      </w:pPr>
      <w:r w:rsidRPr="000A5B5D">
        <w:rPr>
          <w:rFonts w:hint="eastAsia"/>
          <w:bCs w:val="0"/>
        </w:rPr>
        <w:t>十三、处罚及整改情况</w:t>
      </w:r>
    </w:p>
    <w:p w:rsidR="00BC4D56" w:rsidRPr="000A5B5D" w:rsidRDefault="00BC4D56" w:rsidP="009F531B">
      <w:pPr>
        <w:spacing w:line="360" w:lineRule="auto"/>
        <w:ind w:firstLineChars="200" w:firstLine="480"/>
        <w:jc w:val="left"/>
        <w:rPr>
          <w:sz w:val="24"/>
          <w:szCs w:val="24"/>
        </w:rPr>
      </w:pPr>
      <w:r w:rsidRPr="000A5B5D">
        <w:rPr>
          <w:rFonts w:hint="eastAsia"/>
          <w:sz w:val="24"/>
          <w:szCs w:val="24"/>
        </w:rPr>
        <w:t>公司报告期不存在处罚及整改情况。</w:t>
      </w:r>
    </w:p>
    <w:p w:rsidR="00BC4D56" w:rsidRPr="000A5B5D" w:rsidRDefault="00BC4D56" w:rsidP="009F531B">
      <w:pPr>
        <w:pStyle w:val="Chapter"/>
        <w:spacing w:line="360" w:lineRule="auto"/>
        <w:outlineLvl w:val="1"/>
        <w:rPr>
          <w:bCs w:val="0"/>
        </w:rPr>
      </w:pPr>
      <w:r w:rsidRPr="000A5B5D">
        <w:rPr>
          <w:rFonts w:hint="eastAsia"/>
          <w:bCs w:val="0"/>
        </w:rPr>
        <w:t>十四、公司及其控股股东、实际控制人的诚信状况</w:t>
      </w:r>
    </w:p>
    <w:p w:rsidR="00BC4D56" w:rsidRPr="000A5B5D" w:rsidRDefault="00BC4D56" w:rsidP="009F531B">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9F531B">
      <w:pPr>
        <w:pStyle w:val="Chapter"/>
        <w:spacing w:line="360" w:lineRule="auto"/>
        <w:outlineLvl w:val="1"/>
        <w:rPr>
          <w:bCs w:val="0"/>
        </w:rPr>
      </w:pPr>
      <w:r w:rsidRPr="000A5B5D">
        <w:rPr>
          <w:rFonts w:hint="eastAsia"/>
          <w:bCs w:val="0"/>
        </w:rPr>
        <w:t>十五、公司股权激励计划、员工持股计划或其他员工激励措施的实施情况</w:t>
      </w:r>
    </w:p>
    <w:p w:rsidR="00BC4D56" w:rsidRPr="000A5B5D" w:rsidRDefault="00BC4D56">
      <w:pPr>
        <w:autoSpaceDE w:val="0"/>
        <w:autoSpaceDN w:val="0"/>
        <w:adjustRightInd w:val="0"/>
        <w:spacing w:before="0" w:after="0"/>
        <w:ind w:firstLine="480"/>
        <w:jc w:val="left"/>
        <w:rPr>
          <w:rFonts w:eastAsia="Times New Roman"/>
          <w:b/>
          <w:kern w:val="0"/>
          <w:sz w:val="24"/>
          <w:szCs w:val="24"/>
          <w:lang w:val="zh-CN"/>
        </w:rPr>
      </w:pPr>
      <w:r w:rsidRPr="000A5B5D">
        <w:rPr>
          <w:rFonts w:eastAsia="Times New Roman"/>
          <w:b/>
          <w:kern w:val="0"/>
          <w:sz w:val="24"/>
          <w:szCs w:val="24"/>
          <w:lang w:val="zh-CN"/>
        </w:rPr>
        <w:t>1</w:t>
      </w:r>
      <w:r w:rsidRPr="000A5B5D">
        <w:rPr>
          <w:rFonts w:ascii="宋体" w:hAnsi="宋体" w:cs="宋体" w:hint="eastAsia"/>
          <w:b/>
          <w:kern w:val="0"/>
          <w:sz w:val="24"/>
          <w:szCs w:val="24"/>
          <w:lang w:val="zh-CN"/>
        </w:rPr>
        <w:t>、公司股权激励项目进展</w:t>
      </w:r>
    </w:p>
    <w:p w:rsidR="00A840FF" w:rsidRPr="000A5B5D" w:rsidRDefault="00BC4D56" w:rsidP="00A840FF">
      <w:pPr>
        <w:autoSpaceDE w:val="0"/>
        <w:autoSpaceDN w:val="0"/>
        <w:adjustRightInd w:val="0"/>
        <w:spacing w:before="0" w:after="0" w:line="360" w:lineRule="auto"/>
        <w:jc w:val="left"/>
        <w:rPr>
          <w:rFonts w:ascii="宋体" w:cs="宋体"/>
          <w:kern w:val="0"/>
          <w:sz w:val="24"/>
          <w:szCs w:val="24"/>
          <w:lang w:val="zh-CN"/>
        </w:rPr>
      </w:pPr>
      <w:r w:rsidRPr="000A5B5D">
        <w:rPr>
          <w:rFonts w:eastAsia="Times New Roman"/>
          <w:kern w:val="0"/>
          <w:sz w:val="24"/>
          <w:szCs w:val="24"/>
          <w:lang w:val="zh-CN"/>
        </w:rPr>
        <w:t xml:space="preserve">    </w:t>
      </w:r>
      <w:r w:rsidR="00A840FF" w:rsidRPr="000A5B5D">
        <w:rPr>
          <w:rFonts w:ascii="宋体" w:hAnsi="宋体" w:cs="宋体" w:hint="eastAsia"/>
          <w:kern w:val="0"/>
          <w:sz w:val="24"/>
          <w:szCs w:val="24"/>
          <w:lang w:val="zh-CN"/>
        </w:rPr>
        <w:t>（</w:t>
      </w:r>
      <w:r w:rsidR="00A840FF" w:rsidRPr="000A5B5D">
        <w:rPr>
          <w:rFonts w:ascii="宋体" w:hAnsi="宋体" w:cs="宋体"/>
          <w:kern w:val="0"/>
          <w:sz w:val="24"/>
          <w:szCs w:val="24"/>
          <w:lang w:val="zh-CN"/>
        </w:rPr>
        <w:t>1</w:t>
      </w:r>
      <w:r w:rsidR="00A840FF" w:rsidRPr="000A5B5D">
        <w:rPr>
          <w:rFonts w:ascii="宋体" w:hAnsi="宋体" w:cs="宋体" w:hint="eastAsia"/>
          <w:kern w:val="0"/>
          <w:sz w:val="24"/>
          <w:szCs w:val="24"/>
          <w:lang w:val="zh-CN"/>
        </w:rPr>
        <w:t>）</w:t>
      </w:r>
      <w:r w:rsidR="00A840FF" w:rsidRPr="000A5B5D">
        <w:rPr>
          <w:rFonts w:ascii="宋体" w:hAnsi="宋体" w:cs="宋体"/>
          <w:kern w:val="0"/>
          <w:sz w:val="24"/>
          <w:szCs w:val="24"/>
          <w:lang w:val="zh-CN"/>
        </w:rPr>
        <w:t>2015</w:t>
      </w:r>
      <w:r w:rsidR="00A840FF" w:rsidRPr="000A5B5D">
        <w:rPr>
          <w:rFonts w:ascii="宋体" w:hAnsi="宋体" w:cs="宋体" w:hint="eastAsia"/>
          <w:kern w:val="0"/>
          <w:sz w:val="24"/>
          <w:szCs w:val="24"/>
          <w:lang w:val="zh-CN"/>
        </w:rPr>
        <w:t>年</w:t>
      </w:r>
      <w:r w:rsidR="00A840FF" w:rsidRPr="000A5B5D">
        <w:rPr>
          <w:rFonts w:ascii="宋体" w:hAnsi="宋体" w:cs="宋体"/>
          <w:kern w:val="0"/>
          <w:sz w:val="24"/>
          <w:szCs w:val="24"/>
          <w:lang w:val="zh-CN"/>
        </w:rPr>
        <w:t>8</w:t>
      </w:r>
      <w:r w:rsidR="00A840FF" w:rsidRPr="000A5B5D">
        <w:rPr>
          <w:rFonts w:ascii="宋体" w:hAnsi="宋体" w:cs="宋体" w:hint="eastAsia"/>
          <w:kern w:val="0"/>
          <w:sz w:val="24"/>
          <w:szCs w:val="24"/>
          <w:lang w:val="zh-CN"/>
        </w:rPr>
        <w:t>月</w:t>
      </w:r>
      <w:r w:rsidR="00A840FF" w:rsidRPr="000A5B5D">
        <w:rPr>
          <w:rFonts w:ascii="宋体" w:hAnsi="宋体" w:cs="宋体"/>
          <w:kern w:val="0"/>
          <w:sz w:val="24"/>
          <w:szCs w:val="24"/>
          <w:lang w:val="zh-CN"/>
        </w:rPr>
        <w:t>5</w:t>
      </w:r>
      <w:r w:rsidR="00A840FF" w:rsidRPr="000A5B5D">
        <w:rPr>
          <w:rFonts w:ascii="宋体" w:hAnsi="宋体" w:cs="宋体" w:hint="eastAsia"/>
          <w:kern w:val="0"/>
          <w:sz w:val="24"/>
          <w:szCs w:val="24"/>
          <w:lang w:val="zh-CN"/>
        </w:rPr>
        <w:t>日，公司第一期限制性股票激励计划（草案）及相关事项经公司第九届董事会第十二次会议审议通过，并经第九届监事会第六次会议审议通过，详见公司于</w:t>
      </w:r>
      <w:r w:rsidR="00A840FF" w:rsidRPr="000A5B5D">
        <w:rPr>
          <w:rFonts w:ascii="宋体" w:hAnsi="宋体" w:cs="宋体"/>
          <w:kern w:val="0"/>
          <w:sz w:val="24"/>
          <w:szCs w:val="24"/>
          <w:lang w:val="zh-CN"/>
        </w:rPr>
        <w:t>2015</w:t>
      </w:r>
      <w:r w:rsidR="00A840FF" w:rsidRPr="000A5B5D">
        <w:rPr>
          <w:rFonts w:ascii="宋体" w:hAnsi="宋体" w:cs="宋体" w:hint="eastAsia"/>
          <w:kern w:val="0"/>
          <w:sz w:val="24"/>
          <w:szCs w:val="24"/>
          <w:lang w:val="zh-CN"/>
        </w:rPr>
        <w:t>年</w:t>
      </w:r>
      <w:r w:rsidR="00A840FF" w:rsidRPr="000A5B5D">
        <w:rPr>
          <w:rFonts w:ascii="宋体" w:hAnsi="宋体" w:cs="宋体"/>
          <w:kern w:val="0"/>
          <w:sz w:val="24"/>
          <w:szCs w:val="24"/>
          <w:lang w:val="zh-CN"/>
        </w:rPr>
        <w:t>8</w:t>
      </w:r>
      <w:r w:rsidR="00A840FF" w:rsidRPr="000A5B5D">
        <w:rPr>
          <w:rFonts w:ascii="宋体" w:hAnsi="宋体" w:cs="宋体" w:hint="eastAsia"/>
          <w:kern w:val="0"/>
          <w:sz w:val="24"/>
          <w:szCs w:val="24"/>
          <w:lang w:val="zh-CN"/>
        </w:rPr>
        <w:t>月</w:t>
      </w:r>
      <w:r w:rsidR="00A840FF" w:rsidRPr="000A5B5D">
        <w:rPr>
          <w:rFonts w:ascii="宋体" w:hAnsi="宋体" w:cs="宋体"/>
          <w:kern w:val="0"/>
          <w:sz w:val="24"/>
          <w:szCs w:val="24"/>
          <w:lang w:val="zh-CN"/>
        </w:rPr>
        <w:t>6</w:t>
      </w:r>
      <w:r w:rsidR="00A840FF" w:rsidRPr="000A5B5D">
        <w:rPr>
          <w:rFonts w:ascii="宋体" w:hAnsi="宋体" w:cs="宋体" w:hint="eastAsia"/>
          <w:kern w:val="0"/>
          <w:sz w:val="24"/>
          <w:szCs w:val="24"/>
          <w:lang w:val="zh-CN"/>
        </w:rPr>
        <w:t>日在巨潮资讯网上的公告“第九届董事会第十二次会议决议公告”（公告编号：</w:t>
      </w:r>
      <w:r w:rsidR="00A840FF" w:rsidRPr="000A5B5D">
        <w:rPr>
          <w:rFonts w:ascii="宋体" w:hAnsi="宋体" w:cs="宋体"/>
          <w:kern w:val="0"/>
          <w:sz w:val="24"/>
          <w:szCs w:val="24"/>
          <w:lang w:val="zh-CN"/>
        </w:rPr>
        <w:lastRenderedPageBreak/>
        <w:t>2015-045</w:t>
      </w:r>
      <w:r w:rsidR="00A840FF" w:rsidRPr="000A5B5D">
        <w:rPr>
          <w:rFonts w:ascii="宋体" w:hAnsi="宋体" w:cs="宋体" w:hint="eastAsia"/>
          <w:kern w:val="0"/>
          <w:sz w:val="24"/>
          <w:szCs w:val="24"/>
          <w:lang w:val="zh-CN"/>
        </w:rPr>
        <w:t>）、“第九届监事会第六次会议决议公告”（公告编号：</w:t>
      </w:r>
      <w:r w:rsidR="00A840FF" w:rsidRPr="000A5B5D">
        <w:rPr>
          <w:rFonts w:ascii="宋体" w:hAnsi="宋体" w:cs="宋体"/>
          <w:kern w:val="0"/>
          <w:sz w:val="24"/>
          <w:szCs w:val="24"/>
          <w:lang w:val="zh-CN"/>
        </w:rPr>
        <w:t>2015-046</w:t>
      </w:r>
      <w:r w:rsidR="00A840FF" w:rsidRPr="000A5B5D">
        <w:rPr>
          <w:rFonts w:ascii="宋体" w:hAnsi="宋体" w:cs="宋体" w:hint="eastAsia"/>
          <w:kern w:val="0"/>
          <w:sz w:val="24"/>
          <w:szCs w:val="24"/>
          <w:lang w:val="zh-CN"/>
        </w:rPr>
        <w:t>）</w:t>
      </w:r>
    </w:p>
    <w:p w:rsidR="00A840FF" w:rsidRPr="000A5B5D" w:rsidRDefault="00A840FF" w:rsidP="00A840FF">
      <w:pPr>
        <w:autoSpaceDE w:val="0"/>
        <w:autoSpaceDN w:val="0"/>
        <w:adjustRightInd w:val="0"/>
        <w:spacing w:before="0" w:after="0" w:line="360" w:lineRule="auto"/>
        <w:jc w:val="left"/>
        <w:rPr>
          <w:rFonts w:ascii="宋体" w:cs="宋体"/>
          <w:kern w:val="0"/>
          <w:sz w:val="24"/>
          <w:szCs w:val="24"/>
          <w:lang w:val="zh-CN"/>
        </w:rPr>
      </w:pP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21</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年第五次临时股东大会审议通过本次股票激励计划及相关事项，详见公司于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22</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年第五次临时股东大会决议公告”（公告编号：</w:t>
      </w:r>
      <w:r w:rsidRPr="000A5B5D">
        <w:rPr>
          <w:rFonts w:ascii="宋体" w:hAnsi="宋体" w:cs="宋体"/>
          <w:kern w:val="0"/>
          <w:sz w:val="24"/>
          <w:szCs w:val="24"/>
          <w:lang w:val="zh-CN"/>
        </w:rPr>
        <w:t>2015-053</w:t>
      </w:r>
      <w:r w:rsidRPr="000A5B5D">
        <w:rPr>
          <w:rFonts w:ascii="宋体" w:hAnsi="宋体" w:cs="宋体" w:hint="eastAsia"/>
          <w:kern w:val="0"/>
          <w:sz w:val="24"/>
          <w:szCs w:val="24"/>
          <w:lang w:val="zh-CN"/>
        </w:rPr>
        <w:t>）</w:t>
      </w:r>
    </w:p>
    <w:p w:rsidR="00A840FF" w:rsidRPr="000A5B5D" w:rsidRDefault="00A840FF" w:rsidP="00A840FF">
      <w:pPr>
        <w:autoSpaceDE w:val="0"/>
        <w:autoSpaceDN w:val="0"/>
        <w:adjustRightInd w:val="0"/>
        <w:spacing w:before="0" w:after="0" w:line="360" w:lineRule="auto"/>
        <w:jc w:val="left"/>
        <w:rPr>
          <w:rFonts w:ascii="宋体" w:cs="宋体"/>
          <w:kern w:val="0"/>
          <w:sz w:val="24"/>
          <w:szCs w:val="24"/>
          <w:lang w:val="zh-CN"/>
        </w:rPr>
      </w:pP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25</w:t>
      </w:r>
      <w:r w:rsidRPr="000A5B5D">
        <w:rPr>
          <w:rFonts w:ascii="宋体" w:hAnsi="宋体" w:cs="宋体" w:hint="eastAsia"/>
          <w:kern w:val="0"/>
          <w:sz w:val="24"/>
          <w:szCs w:val="24"/>
          <w:lang w:val="zh-CN"/>
        </w:rPr>
        <w:t>日，关于对公司第一期限制性股票激励计划进行调整的议案经公司第九届董事会第十三次会议审议通过，并经第九届监事会第七次会议审议通过，详见公司于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26</w:t>
      </w:r>
      <w:r w:rsidRPr="000A5B5D">
        <w:rPr>
          <w:rFonts w:ascii="宋体" w:hAnsi="宋体" w:cs="宋体" w:hint="eastAsia"/>
          <w:kern w:val="0"/>
          <w:sz w:val="24"/>
          <w:szCs w:val="24"/>
          <w:lang w:val="zh-CN"/>
        </w:rPr>
        <w:t>日在巨潮资讯网上的公告“第九届董事会第十三次会议决议公告”（公告编号：</w:t>
      </w:r>
      <w:r w:rsidRPr="000A5B5D">
        <w:rPr>
          <w:rFonts w:ascii="宋体" w:hAnsi="宋体" w:cs="宋体"/>
          <w:kern w:val="0"/>
          <w:sz w:val="24"/>
          <w:szCs w:val="24"/>
          <w:lang w:val="zh-CN"/>
        </w:rPr>
        <w:t>2015-054</w:t>
      </w:r>
      <w:r w:rsidRPr="000A5B5D">
        <w:rPr>
          <w:rFonts w:ascii="宋体" w:hAnsi="宋体" w:cs="宋体" w:hint="eastAsia"/>
          <w:kern w:val="0"/>
          <w:sz w:val="24"/>
          <w:szCs w:val="24"/>
          <w:lang w:val="zh-CN"/>
        </w:rPr>
        <w:t>）、“第九届监事会第七次会议决议公告”（公告编号：</w:t>
      </w:r>
      <w:r w:rsidRPr="000A5B5D">
        <w:rPr>
          <w:rFonts w:ascii="宋体" w:hAnsi="宋体" w:cs="宋体"/>
          <w:kern w:val="0"/>
          <w:sz w:val="24"/>
          <w:szCs w:val="24"/>
          <w:lang w:val="zh-CN"/>
        </w:rPr>
        <w:t>2015-055</w:t>
      </w:r>
      <w:r w:rsidRPr="000A5B5D">
        <w:rPr>
          <w:rFonts w:ascii="宋体" w:hAnsi="宋体" w:cs="宋体" w:hint="eastAsia"/>
          <w:kern w:val="0"/>
          <w:sz w:val="24"/>
          <w:szCs w:val="24"/>
          <w:lang w:val="zh-CN"/>
        </w:rPr>
        <w:t>）</w:t>
      </w:r>
    </w:p>
    <w:p w:rsidR="00BC4D56" w:rsidRPr="000A5B5D" w:rsidRDefault="00A840FF" w:rsidP="00A840FF">
      <w:pPr>
        <w:autoSpaceDE w:val="0"/>
        <w:autoSpaceDN w:val="0"/>
        <w:adjustRightInd w:val="0"/>
        <w:spacing w:before="0" w:after="0" w:line="360" w:lineRule="auto"/>
        <w:jc w:val="left"/>
        <w:rPr>
          <w:rFonts w:eastAsia="Times New Roman"/>
          <w:kern w:val="0"/>
          <w:sz w:val="24"/>
          <w:szCs w:val="24"/>
          <w:lang w:val="zh-CN"/>
        </w:rPr>
      </w:pP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15</w:t>
      </w:r>
      <w:r w:rsidRPr="000A5B5D">
        <w:rPr>
          <w:rFonts w:ascii="宋体" w:hAnsi="宋体" w:cs="宋体" w:hint="eastAsia"/>
          <w:kern w:val="0"/>
          <w:sz w:val="24"/>
          <w:szCs w:val="24"/>
          <w:lang w:val="zh-CN"/>
        </w:rPr>
        <w:t>日，本次限制性股票激励计划授予登记完成，详见公司与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16</w:t>
      </w:r>
      <w:r w:rsidRPr="000A5B5D">
        <w:rPr>
          <w:rFonts w:ascii="宋体" w:hAnsi="宋体" w:cs="宋体" w:hint="eastAsia"/>
          <w:kern w:val="0"/>
          <w:sz w:val="24"/>
          <w:szCs w:val="24"/>
          <w:lang w:val="zh-CN"/>
        </w:rPr>
        <w:t>日在巨潮资讯网上的公告“关于限制性股票激励计划授予登记完成的公告”（公告编号：</w:t>
      </w:r>
      <w:r w:rsidRPr="000A5B5D">
        <w:rPr>
          <w:rFonts w:ascii="宋体" w:hAnsi="宋体" w:cs="宋体"/>
          <w:kern w:val="0"/>
          <w:sz w:val="24"/>
          <w:szCs w:val="24"/>
          <w:lang w:val="zh-CN"/>
        </w:rPr>
        <w:t>2015-063</w:t>
      </w:r>
      <w:r w:rsidRPr="000A5B5D">
        <w:rPr>
          <w:rFonts w:ascii="宋体" w:hAnsi="宋体" w:cs="宋体" w:hint="eastAsia"/>
          <w:kern w:val="0"/>
          <w:sz w:val="24"/>
          <w:szCs w:val="24"/>
          <w:lang w:val="zh-CN"/>
        </w:rPr>
        <w:t>）</w:t>
      </w:r>
    </w:p>
    <w:p w:rsidR="00BC4D56" w:rsidRPr="000A5B5D" w:rsidRDefault="00BC4D56" w:rsidP="00D40DD4">
      <w:pPr>
        <w:pStyle w:val="Chapter"/>
        <w:spacing w:line="360" w:lineRule="auto"/>
        <w:outlineLvl w:val="1"/>
        <w:rPr>
          <w:bCs w:val="0"/>
        </w:rPr>
      </w:pPr>
      <w:r w:rsidRPr="000A5B5D">
        <w:rPr>
          <w:rFonts w:hint="eastAsia"/>
          <w:bCs w:val="0"/>
        </w:rPr>
        <w:t>十六、重大关联交易</w:t>
      </w:r>
    </w:p>
    <w:p w:rsidR="00BC4D56" w:rsidRPr="000A5B5D" w:rsidRDefault="00BC4D56" w:rsidP="00DC7C02">
      <w:pPr>
        <w:pStyle w:val="Section"/>
        <w:numPr>
          <w:ilvl w:val="0"/>
          <w:numId w:val="11"/>
        </w:numPr>
        <w:spacing w:line="360" w:lineRule="auto"/>
        <w:outlineLvl w:val="2"/>
        <w:rPr>
          <w:bCs w:val="0"/>
          <w:sz w:val="24"/>
          <w:szCs w:val="24"/>
        </w:rPr>
      </w:pPr>
      <w:r w:rsidRPr="000A5B5D">
        <w:rPr>
          <w:rFonts w:hint="eastAsia"/>
          <w:bCs w:val="0"/>
          <w:sz w:val="24"/>
          <w:szCs w:val="24"/>
        </w:rPr>
        <w:t>与日常经营相关的关联交易</w:t>
      </w:r>
      <w:r w:rsidR="00DC7C02" w:rsidRPr="000A5B5D">
        <w:rPr>
          <w:bCs w:val="0"/>
          <w:sz w:val="24"/>
          <w:szCs w:val="24"/>
        </w:rPr>
        <w:t xml:space="preserve">   </w:t>
      </w:r>
    </w:p>
    <w:p w:rsidR="00DC7C02" w:rsidRPr="000A5B5D" w:rsidRDefault="00DC7C02" w:rsidP="00DC7C02">
      <w:pPr>
        <w:ind w:right="240"/>
        <w:jc w:val="right"/>
        <w:rPr>
          <w:sz w:val="24"/>
          <w:szCs w:val="24"/>
        </w:rPr>
      </w:pPr>
      <w:r w:rsidRPr="000A5B5D">
        <w:rPr>
          <w:rFonts w:hint="eastAsia"/>
          <w:sz w:val="24"/>
          <w:szCs w:val="24"/>
        </w:rPr>
        <w:t>单位：万元</w:t>
      </w:r>
    </w:p>
    <w:tbl>
      <w:tblPr>
        <w:tblW w:w="0" w:type="auto"/>
        <w:tblInd w:w="28" w:type="dxa"/>
        <w:tblLayout w:type="fixed"/>
        <w:tblCellMar>
          <w:left w:w="28" w:type="dxa"/>
          <w:right w:w="28" w:type="dxa"/>
        </w:tblCellMar>
        <w:tblLook w:val="0000" w:firstRow="0" w:lastRow="0" w:firstColumn="0" w:lastColumn="0" w:noHBand="0" w:noVBand="0"/>
      </w:tblPr>
      <w:tblGrid>
        <w:gridCol w:w="709"/>
        <w:gridCol w:w="768"/>
        <w:gridCol w:w="677"/>
        <w:gridCol w:w="705"/>
        <w:gridCol w:w="680"/>
        <w:gridCol w:w="674"/>
        <w:gridCol w:w="1032"/>
        <w:gridCol w:w="709"/>
        <w:gridCol w:w="709"/>
        <w:gridCol w:w="567"/>
        <w:gridCol w:w="567"/>
        <w:gridCol w:w="567"/>
        <w:gridCol w:w="708"/>
        <w:gridCol w:w="497"/>
      </w:tblGrid>
      <w:tr w:rsidR="00BC4D56"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关联交易方</w:t>
            </w:r>
          </w:p>
        </w:tc>
        <w:tc>
          <w:tcPr>
            <w:tcW w:w="7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关联关系</w:t>
            </w:r>
          </w:p>
        </w:tc>
        <w:tc>
          <w:tcPr>
            <w:tcW w:w="67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关联交易类型</w:t>
            </w:r>
          </w:p>
        </w:tc>
        <w:tc>
          <w:tcPr>
            <w:tcW w:w="70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关联交易内容</w:t>
            </w:r>
          </w:p>
        </w:tc>
        <w:tc>
          <w:tcPr>
            <w:tcW w:w="68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关联交易定价原则</w:t>
            </w:r>
          </w:p>
        </w:tc>
        <w:tc>
          <w:tcPr>
            <w:tcW w:w="67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关联交易价格</w:t>
            </w:r>
          </w:p>
        </w:tc>
        <w:tc>
          <w:tcPr>
            <w:tcW w:w="103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关联交易金额（万元）</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占同类交易金额的比例</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获批的交易额度（万元）</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是否超过获批额度</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关联交易结算方式</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可获得的同类交易市价</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披露日期</w:t>
            </w:r>
          </w:p>
        </w:tc>
        <w:tc>
          <w:tcPr>
            <w:tcW w:w="49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披露索引</w:t>
            </w: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逸盛大化</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参股公司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w:t>
            </w:r>
            <w:r w:rsidRPr="000A5B5D">
              <w:rPr>
                <w:szCs w:val="24"/>
              </w:rPr>
              <w:t>PTA</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113,758.51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6.00%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150,000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val="restart"/>
            <w:tcBorders>
              <w:top w:val="single" w:sz="4" w:space="0" w:color="auto"/>
              <w:left w:val="single" w:sz="4" w:space="0" w:color="auto"/>
              <w:right w:val="single" w:sz="4" w:space="0" w:color="auto"/>
            </w:tcBorders>
            <w:shd w:val="clear" w:color="auto" w:fill="FFFFFF"/>
            <w:vAlign w:val="center"/>
          </w:tcPr>
          <w:p w:rsidR="00CB1ADA" w:rsidRPr="000A5B5D" w:rsidRDefault="00CB1ADA" w:rsidP="00CB1ADA">
            <w:pPr>
              <w:jc w:val="left"/>
              <w:rPr>
                <w:szCs w:val="24"/>
              </w:rPr>
            </w:pPr>
            <w:r w:rsidRPr="000A5B5D">
              <w:rPr>
                <w:rFonts w:hint="eastAsia"/>
                <w:szCs w:val="24"/>
              </w:rPr>
              <w:t>巨潮资讯网公告：关于</w:t>
            </w:r>
            <w:r w:rsidRPr="000A5B5D">
              <w:rPr>
                <w:szCs w:val="24"/>
              </w:rPr>
              <w:t>2015</w:t>
            </w:r>
            <w:r w:rsidRPr="000A5B5D">
              <w:rPr>
                <w:rFonts w:hint="eastAsia"/>
                <w:szCs w:val="24"/>
              </w:rPr>
              <w:t>年度日常关联交易预计公告（公告编号：</w:t>
            </w:r>
            <w:r w:rsidRPr="000A5B5D">
              <w:rPr>
                <w:szCs w:val="24"/>
              </w:rPr>
              <w:lastRenderedPageBreak/>
              <w:t>2015-002</w:t>
            </w:r>
            <w:r w:rsidRPr="000A5B5D">
              <w:rPr>
                <w:rFonts w:hint="eastAsia"/>
                <w:szCs w:val="24"/>
              </w:rPr>
              <w:t>）</w:t>
            </w:r>
          </w:p>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海南逸盛</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参股公司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w:t>
            </w:r>
            <w:r w:rsidRPr="000A5B5D">
              <w:rPr>
                <w:szCs w:val="24"/>
              </w:rPr>
              <w:t>PTA</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67,097.15</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300,000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海南逸盛</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参股公司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w:t>
            </w:r>
            <w:r w:rsidRPr="000A5B5D">
              <w:rPr>
                <w:szCs w:val="24"/>
              </w:rPr>
              <w:t>PET</w:t>
            </w:r>
            <w:r w:rsidRPr="000A5B5D">
              <w:rPr>
                <w:rFonts w:hint="eastAsia"/>
                <w:szCs w:val="24"/>
              </w:rPr>
              <w:t>切片</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79,894.84</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海南逸盛</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参股公司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销售商品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销售</w:t>
            </w:r>
            <w:r w:rsidRPr="000A5B5D">
              <w:rPr>
                <w:szCs w:val="24"/>
              </w:rPr>
              <w:t>PX</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16,610.16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82.00%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D40DD4">
            <w:pPr>
              <w:jc w:val="left"/>
              <w:rPr>
                <w:szCs w:val="24"/>
              </w:rPr>
            </w:pPr>
            <w:r w:rsidRPr="000A5B5D">
              <w:rPr>
                <w:rFonts w:hint="eastAsia"/>
                <w:szCs w:val="24"/>
              </w:rPr>
              <w:t>萧山</w:t>
            </w:r>
            <w:r w:rsidR="00CB1ADA" w:rsidRPr="000A5B5D">
              <w:rPr>
                <w:rFonts w:hint="eastAsia"/>
                <w:szCs w:val="24"/>
              </w:rPr>
              <w:t>合和纺织</w:t>
            </w:r>
            <w:r w:rsidRPr="000A5B5D">
              <w:rPr>
                <w:rFonts w:hint="eastAsia"/>
                <w:szCs w:val="24"/>
              </w:rPr>
              <w:lastRenderedPageBreak/>
              <w:t>有限公司</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lastRenderedPageBreak/>
              <w:t>间接持有公司</w:t>
            </w:r>
            <w:r w:rsidRPr="000A5B5D">
              <w:rPr>
                <w:szCs w:val="24"/>
              </w:rPr>
              <w:lastRenderedPageBreak/>
              <w:t>5%</w:t>
            </w:r>
            <w:r w:rsidRPr="000A5B5D">
              <w:rPr>
                <w:rFonts w:hint="eastAsia"/>
                <w:szCs w:val="24"/>
              </w:rPr>
              <w:t>股份以上的股东所控制的企业</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lastRenderedPageBreak/>
              <w:t>销售商品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销售</w:t>
            </w:r>
            <w:r w:rsidRPr="000A5B5D">
              <w:rPr>
                <w:szCs w:val="24"/>
              </w:rPr>
              <w:t>DTY</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3,010.97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lastRenderedPageBreak/>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己内酰胺公司</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子公司之合营企业</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销售商品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销售纯苯</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18,893.42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48,000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己内酰胺公司</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子公司之合营企业</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采购商品</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购电</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23,174.78</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31.00%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浙江物流</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母公司的其他子公司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接受劳务</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物流运输</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8,447.39</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31.00%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right w:val="single" w:sz="4" w:space="0" w:color="auto"/>
            </w:tcBorders>
            <w:shd w:val="clear" w:color="auto" w:fill="FFFFFF"/>
            <w:vAlign w:val="center"/>
          </w:tcPr>
          <w:p w:rsidR="00CB1ADA" w:rsidRPr="000A5B5D" w:rsidRDefault="00CB1ADA" w:rsidP="00D40DD4">
            <w:pPr>
              <w:jc w:val="left"/>
              <w:rPr>
                <w:szCs w:val="24"/>
              </w:rPr>
            </w:pPr>
          </w:p>
        </w:tc>
      </w:tr>
      <w:tr w:rsidR="00CB1ADA" w:rsidRPr="000A5B5D" w:rsidTr="00D40DD4">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宁波物流</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母公司的其他子公司</w:t>
            </w:r>
          </w:p>
        </w:tc>
        <w:tc>
          <w:tcPr>
            <w:tcW w:w="67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接受劳务</w:t>
            </w:r>
          </w:p>
        </w:tc>
        <w:tc>
          <w:tcPr>
            <w:tcW w:w="705"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物流运输</w:t>
            </w:r>
          </w:p>
        </w:tc>
        <w:tc>
          <w:tcPr>
            <w:tcW w:w="680"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9,992.27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37.00%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right"/>
              <w:rPr>
                <w:szCs w:val="24"/>
              </w:rPr>
            </w:pPr>
            <w:r w:rsidRPr="000A5B5D">
              <w:rPr>
                <w:szCs w:val="24"/>
              </w:rPr>
              <w:t>10,000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票据</w:t>
            </w:r>
            <w:r w:rsidRPr="000A5B5D">
              <w:rPr>
                <w:szCs w:val="24"/>
              </w:rPr>
              <w:t>/</w:t>
            </w: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rFonts w:hint="eastAsia"/>
                <w:szCs w:val="24"/>
              </w:rPr>
              <w:t>市场价</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10</w:t>
            </w:r>
            <w:r w:rsidRPr="000A5B5D">
              <w:rPr>
                <w:rFonts w:hint="eastAsia"/>
                <w:szCs w:val="24"/>
              </w:rPr>
              <w:t>日</w:t>
            </w:r>
          </w:p>
        </w:tc>
        <w:tc>
          <w:tcPr>
            <w:tcW w:w="497" w:type="dxa"/>
            <w:vMerge/>
            <w:tcBorders>
              <w:left w:val="single" w:sz="4" w:space="0" w:color="auto"/>
              <w:bottom w:val="single" w:sz="4" w:space="0" w:color="auto"/>
              <w:right w:val="single" w:sz="4" w:space="0" w:color="auto"/>
            </w:tcBorders>
            <w:shd w:val="clear" w:color="auto" w:fill="FFFFFF"/>
            <w:vAlign w:val="center"/>
          </w:tcPr>
          <w:p w:rsidR="00CB1ADA" w:rsidRPr="000A5B5D" w:rsidRDefault="00CB1ADA">
            <w:pPr>
              <w:jc w:val="left"/>
              <w:rPr>
                <w:szCs w:val="24"/>
              </w:rPr>
            </w:pPr>
          </w:p>
        </w:tc>
      </w:tr>
      <w:tr w:rsidR="00BC4D56" w:rsidRPr="000A5B5D" w:rsidTr="00D40DD4">
        <w:tc>
          <w:tcPr>
            <w:tcW w:w="285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合计</w:t>
            </w:r>
          </w:p>
        </w:tc>
        <w:tc>
          <w:tcPr>
            <w:tcW w:w="68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67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340,879.49</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688,000</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49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r>
      <w:tr w:rsidR="00BC4D56" w:rsidRPr="000A5B5D">
        <w:tc>
          <w:tcPr>
            <w:tcW w:w="285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大额销货退回的详细情况</w:t>
            </w:r>
          </w:p>
        </w:tc>
        <w:tc>
          <w:tcPr>
            <w:tcW w:w="6710"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无</w:t>
            </w:r>
          </w:p>
        </w:tc>
      </w:tr>
      <w:tr w:rsidR="00BC4D56" w:rsidRPr="000A5B5D">
        <w:tc>
          <w:tcPr>
            <w:tcW w:w="285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按类别对本期将发生的日常关联交易进行总金额预计的，在报告期内的实际履行情况（如有）</w:t>
            </w:r>
          </w:p>
        </w:tc>
        <w:tc>
          <w:tcPr>
            <w:tcW w:w="6710"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上述关联交易有利于充分利用公司及重要关联方的优势资源，保证重要原材料的稳定供应和电力的稳定持续输送，保障公司下游产品的销售，实现公司对上游产品经营的尝试，有利于巩固产业链一体化优势。</w:t>
            </w:r>
          </w:p>
        </w:tc>
      </w:tr>
      <w:tr w:rsidR="00BC4D56" w:rsidRPr="000A5B5D">
        <w:tc>
          <w:tcPr>
            <w:tcW w:w="285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交易价格与市场参考价格差异较大的原因（如适用）</w:t>
            </w:r>
          </w:p>
        </w:tc>
        <w:tc>
          <w:tcPr>
            <w:tcW w:w="6710"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公司与上述关联方发生的关联交易均与公司日常经营相关，关联交易以市场价格或电力部门确定的电价为定价依据，遵循公平、公正、公开的原则，不会损害公司及中小股东利益，公司主要业务不会因上述关联交易对关联方形成重大依赖，不会影响公司独立性，对公司本期及未来财务状况、经营成果有正面影响。</w:t>
            </w:r>
          </w:p>
        </w:tc>
      </w:tr>
    </w:tbl>
    <w:p w:rsidR="00BC4D56" w:rsidRPr="000A5B5D" w:rsidRDefault="00BC4D56" w:rsidP="00D40DD4">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、资产或股权收购、出售发生的关联交易</w:t>
      </w:r>
    </w:p>
    <w:tbl>
      <w:tblPr>
        <w:tblW w:w="9748" w:type="dxa"/>
        <w:jc w:val="center"/>
        <w:tblLayout w:type="fixed"/>
        <w:tblCellMar>
          <w:left w:w="28" w:type="dxa"/>
          <w:right w:w="28" w:type="dxa"/>
        </w:tblCellMar>
        <w:tblLook w:val="0000" w:firstRow="0" w:lastRow="0" w:firstColumn="0" w:lastColumn="0" w:noHBand="0" w:noVBand="0"/>
      </w:tblPr>
      <w:tblGrid>
        <w:gridCol w:w="567"/>
        <w:gridCol w:w="567"/>
        <w:gridCol w:w="567"/>
        <w:gridCol w:w="851"/>
        <w:gridCol w:w="1443"/>
        <w:gridCol w:w="967"/>
        <w:gridCol w:w="992"/>
        <w:gridCol w:w="992"/>
        <w:gridCol w:w="709"/>
        <w:gridCol w:w="567"/>
        <w:gridCol w:w="557"/>
        <w:gridCol w:w="969"/>
      </w:tblGrid>
      <w:tr w:rsidR="00BC4D56" w:rsidRPr="000A5B5D" w:rsidTr="00D40DD4">
        <w:trPr>
          <w:jc w:val="center"/>
        </w:trPr>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关联方</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关联关系</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关联交易类型</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关联交易内容</w:t>
            </w:r>
          </w:p>
        </w:tc>
        <w:tc>
          <w:tcPr>
            <w:tcW w:w="144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关联交易定价原则</w:t>
            </w:r>
          </w:p>
        </w:tc>
        <w:tc>
          <w:tcPr>
            <w:tcW w:w="9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转让资产的账面价值（万元）</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转让资产的评估价值（万元）</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转让价格（万元）</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关联交易结算方式</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交易损益（万元）</w:t>
            </w:r>
          </w:p>
        </w:tc>
        <w:tc>
          <w:tcPr>
            <w:tcW w:w="55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披露日期</w:t>
            </w:r>
          </w:p>
        </w:tc>
        <w:tc>
          <w:tcPr>
            <w:tcW w:w="9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披露索引</w:t>
            </w:r>
          </w:p>
        </w:tc>
      </w:tr>
      <w:tr w:rsidR="00BC4D56" w:rsidRPr="000A5B5D" w:rsidTr="00D40DD4">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恒逸集团</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控股股东</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股权转让</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受让控股股东恒逸集团持有的浙商银行股份</w:t>
            </w:r>
            <w:r w:rsidRPr="000A5B5D">
              <w:rPr>
                <w:szCs w:val="24"/>
              </w:rPr>
              <w:t>220,000,000</w:t>
            </w:r>
            <w:r w:rsidRPr="000A5B5D">
              <w:rPr>
                <w:rFonts w:hint="eastAsia"/>
                <w:szCs w:val="24"/>
              </w:rPr>
              <w:t>股</w:t>
            </w:r>
          </w:p>
        </w:tc>
        <w:tc>
          <w:tcPr>
            <w:tcW w:w="1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以浙商银行截至</w:t>
            </w:r>
            <w:r w:rsidRPr="000A5B5D">
              <w:rPr>
                <w:szCs w:val="24"/>
              </w:rPr>
              <w:t>2015</w:t>
            </w:r>
            <w:r w:rsidRPr="000A5B5D">
              <w:rPr>
                <w:rFonts w:hint="eastAsia"/>
                <w:szCs w:val="24"/>
              </w:rPr>
              <w:t>年</w:t>
            </w:r>
            <w:r w:rsidRPr="000A5B5D">
              <w:rPr>
                <w:szCs w:val="24"/>
              </w:rPr>
              <w:t>6</w:t>
            </w:r>
            <w:r w:rsidRPr="000A5B5D">
              <w:rPr>
                <w:rFonts w:hint="eastAsia"/>
                <w:szCs w:val="24"/>
              </w:rPr>
              <w:t>月</w:t>
            </w:r>
            <w:r w:rsidRPr="000A5B5D">
              <w:rPr>
                <w:szCs w:val="24"/>
              </w:rPr>
              <w:t>30</w:t>
            </w:r>
            <w:r w:rsidRPr="000A5B5D">
              <w:rPr>
                <w:rFonts w:hint="eastAsia"/>
                <w:szCs w:val="24"/>
              </w:rPr>
              <w:t>日经普华永道审计的每股净资产值</w:t>
            </w:r>
            <w:r w:rsidRPr="000A5B5D">
              <w:rPr>
                <w:szCs w:val="24"/>
              </w:rPr>
              <w:t>3.11</w:t>
            </w:r>
            <w:r w:rsidRPr="000A5B5D">
              <w:rPr>
                <w:rFonts w:hint="eastAsia"/>
                <w:szCs w:val="24"/>
              </w:rPr>
              <w:t>元为基础，并以浙商银行截至</w:t>
            </w:r>
            <w:r w:rsidRPr="000A5B5D">
              <w:rPr>
                <w:szCs w:val="24"/>
              </w:rPr>
              <w:t>2015</w:t>
            </w:r>
            <w:r w:rsidRPr="000A5B5D">
              <w:rPr>
                <w:rFonts w:hint="eastAsia"/>
                <w:szCs w:val="24"/>
              </w:rPr>
              <w:t>年</w:t>
            </w:r>
            <w:r w:rsidRPr="000A5B5D">
              <w:rPr>
                <w:szCs w:val="24"/>
              </w:rPr>
              <w:t>9</w:t>
            </w:r>
            <w:r w:rsidRPr="000A5B5D">
              <w:rPr>
                <w:rFonts w:hint="eastAsia"/>
                <w:szCs w:val="24"/>
              </w:rPr>
              <w:t>月</w:t>
            </w:r>
            <w:r w:rsidRPr="000A5B5D">
              <w:rPr>
                <w:szCs w:val="24"/>
              </w:rPr>
              <w:t>30</w:t>
            </w:r>
            <w:r w:rsidRPr="000A5B5D">
              <w:rPr>
                <w:rFonts w:hint="eastAsia"/>
                <w:szCs w:val="24"/>
              </w:rPr>
              <w:t>日未经审计</w:t>
            </w:r>
            <w:r w:rsidRPr="000A5B5D">
              <w:rPr>
                <w:rFonts w:hint="eastAsia"/>
                <w:szCs w:val="24"/>
              </w:rPr>
              <w:lastRenderedPageBreak/>
              <w:t>的每股净资产值</w:t>
            </w:r>
            <w:r w:rsidRPr="000A5B5D">
              <w:rPr>
                <w:szCs w:val="24"/>
              </w:rPr>
              <w:t>3.34</w:t>
            </w:r>
            <w:r w:rsidRPr="000A5B5D">
              <w:rPr>
                <w:rFonts w:hint="eastAsia"/>
                <w:szCs w:val="24"/>
              </w:rPr>
              <w:t>元为参考，确定该等股份转让价格为每股</w:t>
            </w:r>
            <w:r w:rsidRPr="000A5B5D">
              <w:rPr>
                <w:szCs w:val="24"/>
              </w:rPr>
              <w:t>3.28</w:t>
            </w:r>
            <w:r w:rsidRPr="000A5B5D">
              <w:rPr>
                <w:rFonts w:hint="eastAsia"/>
                <w:szCs w:val="24"/>
              </w:rPr>
              <w:t>元</w:t>
            </w:r>
          </w:p>
        </w:tc>
        <w:tc>
          <w:tcPr>
            <w:tcW w:w="9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664A4">
            <w:pPr>
              <w:jc w:val="center"/>
              <w:rPr>
                <w:szCs w:val="24"/>
              </w:rPr>
            </w:pPr>
            <w:r w:rsidRPr="000A5B5D">
              <w:rPr>
                <w:szCs w:val="24"/>
              </w:rPr>
              <w:lastRenderedPageBreak/>
              <w:t>33,07</w:t>
            </w:r>
            <w:r w:rsidR="00A664A4" w:rsidRPr="000A5B5D">
              <w:rPr>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A664A4" w:rsidP="00A664A4">
            <w:pPr>
              <w:jc w:val="center"/>
              <w:rPr>
                <w:szCs w:val="24"/>
              </w:rPr>
            </w:pPr>
            <w:r w:rsidRPr="000A5B5D">
              <w:rPr>
                <w:szCs w:val="24"/>
              </w:rPr>
              <w:t>72,160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A664A4" w:rsidP="00D40DD4">
            <w:pPr>
              <w:jc w:val="center"/>
              <w:rPr>
                <w:szCs w:val="24"/>
              </w:rPr>
            </w:pPr>
            <w:r w:rsidRPr="000A5B5D">
              <w:rPr>
                <w:szCs w:val="24"/>
              </w:rPr>
              <w:t>72,160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现款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A664A4" w:rsidP="00D40DD4">
            <w:pPr>
              <w:jc w:val="center"/>
              <w:rPr>
                <w:szCs w:val="24"/>
              </w:rPr>
            </w:pPr>
            <w:r w:rsidRPr="000A5B5D">
              <w:rPr>
                <w:szCs w:val="24"/>
              </w:rPr>
              <w:t>/</w:t>
            </w:r>
          </w:p>
        </w:tc>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27</w:t>
            </w:r>
            <w:r w:rsidRPr="000A5B5D">
              <w:rPr>
                <w:rFonts w:hint="eastAsia"/>
                <w:szCs w:val="24"/>
              </w:rPr>
              <w:t>日</w:t>
            </w:r>
          </w:p>
        </w:tc>
        <w:tc>
          <w:tcPr>
            <w:tcW w:w="9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巨潮资讯网公告：关于受让控股股东所持浙商银行股份有限公司部分股份的关联交易公告</w:t>
            </w:r>
            <w:r w:rsidRPr="000A5B5D">
              <w:rPr>
                <w:rFonts w:hint="eastAsia"/>
                <w:szCs w:val="24"/>
              </w:rPr>
              <w:lastRenderedPageBreak/>
              <w:t>（公告编号：</w:t>
            </w:r>
            <w:r w:rsidRPr="000A5B5D">
              <w:rPr>
                <w:szCs w:val="24"/>
              </w:rPr>
              <w:t>2015-073</w:t>
            </w:r>
            <w:r w:rsidRPr="000A5B5D">
              <w:rPr>
                <w:rFonts w:hint="eastAsia"/>
                <w:szCs w:val="24"/>
              </w:rPr>
              <w:t>）</w:t>
            </w:r>
          </w:p>
        </w:tc>
      </w:tr>
      <w:tr w:rsidR="00BC4D56" w:rsidRPr="000A5B5D" w:rsidTr="00D40DD4">
        <w:trPr>
          <w:jc w:val="center"/>
        </w:trPr>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lastRenderedPageBreak/>
              <w:t>转让价格与账面价值或评估价值差异较大的原因（如有）</w:t>
            </w:r>
          </w:p>
        </w:tc>
        <w:tc>
          <w:tcPr>
            <w:tcW w:w="719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不适用</w:t>
            </w:r>
          </w:p>
        </w:tc>
      </w:tr>
      <w:tr w:rsidR="00BC4D56" w:rsidRPr="000A5B5D" w:rsidTr="00D40DD4">
        <w:trPr>
          <w:jc w:val="center"/>
        </w:trPr>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对公司经营成果与财务状况的影响情况</w:t>
            </w:r>
          </w:p>
        </w:tc>
        <w:tc>
          <w:tcPr>
            <w:tcW w:w="719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rPr>
                <w:szCs w:val="24"/>
              </w:rPr>
            </w:pPr>
            <w:r w:rsidRPr="000A5B5D">
              <w:rPr>
                <w:rFonts w:hint="eastAsia"/>
                <w:szCs w:val="24"/>
              </w:rPr>
              <w:t>优化公司整体投资结构，逐步增加公司金融资产配置，拓展公司利润增长点，对公司经营成果产生积极影响，符合公司和股东的利益。</w:t>
            </w:r>
          </w:p>
        </w:tc>
      </w:tr>
      <w:tr w:rsidR="00BC4D56" w:rsidRPr="000A5B5D" w:rsidTr="00D40DD4">
        <w:trPr>
          <w:jc w:val="center"/>
        </w:trPr>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jc w:val="center"/>
              <w:rPr>
                <w:szCs w:val="24"/>
              </w:rPr>
            </w:pPr>
            <w:r w:rsidRPr="000A5B5D">
              <w:rPr>
                <w:rFonts w:hint="eastAsia"/>
                <w:szCs w:val="24"/>
              </w:rPr>
              <w:t>如相关交易涉及业绩约定的，报告期内的业绩实现情况</w:t>
            </w:r>
          </w:p>
        </w:tc>
        <w:tc>
          <w:tcPr>
            <w:tcW w:w="719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center"/>
              <w:rPr>
                <w:szCs w:val="24"/>
              </w:rPr>
            </w:pPr>
            <w:r w:rsidRPr="000A5B5D">
              <w:rPr>
                <w:rFonts w:hint="eastAsia"/>
                <w:szCs w:val="24"/>
              </w:rPr>
              <w:t>不适用</w:t>
            </w:r>
          </w:p>
        </w:tc>
      </w:tr>
    </w:tbl>
    <w:p w:rsidR="00BC4D56" w:rsidRPr="000A5B5D" w:rsidRDefault="00BC4D56" w:rsidP="00D40DD4">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、共同对外投资的关联交易</w:t>
      </w:r>
    </w:p>
    <w:tbl>
      <w:tblPr>
        <w:tblW w:w="0" w:type="auto"/>
        <w:tblInd w:w="28" w:type="dxa"/>
        <w:tblLayout w:type="fixed"/>
        <w:tblCellMar>
          <w:left w:w="28" w:type="dxa"/>
          <w:right w:w="28" w:type="dxa"/>
        </w:tblCellMar>
        <w:tblLook w:val="0000" w:firstRow="0" w:lastRow="0" w:firstColumn="0" w:lastColumn="0" w:noHBand="0" w:noVBand="0"/>
      </w:tblPr>
      <w:tblGrid>
        <w:gridCol w:w="851"/>
        <w:gridCol w:w="1559"/>
        <w:gridCol w:w="992"/>
        <w:gridCol w:w="1276"/>
        <w:gridCol w:w="1134"/>
        <w:gridCol w:w="1276"/>
        <w:gridCol w:w="1276"/>
        <w:gridCol w:w="1204"/>
      </w:tblGrid>
      <w:tr w:rsidR="00BC4D56" w:rsidRPr="000A5B5D" w:rsidTr="00D40DD4">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共同投资方</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关联关系</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被投资企业的名称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被投资企业的主营业务</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被投资企业的注册资本</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被投资企业的总资产（万元）</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被投资企业的净资产（万元）</w:t>
            </w:r>
          </w:p>
        </w:tc>
        <w:tc>
          <w:tcPr>
            <w:tcW w:w="120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center"/>
              <w:rPr>
                <w:sz w:val="24"/>
                <w:szCs w:val="24"/>
              </w:rPr>
            </w:pPr>
            <w:r w:rsidRPr="000A5B5D">
              <w:rPr>
                <w:rFonts w:hint="eastAsia"/>
                <w:sz w:val="24"/>
                <w:szCs w:val="24"/>
              </w:rPr>
              <w:t>被投资企业的净利润（万元）</w:t>
            </w:r>
          </w:p>
        </w:tc>
      </w:tr>
      <w:tr w:rsidR="00BC4D56" w:rsidRPr="000A5B5D" w:rsidTr="00D40DD4">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spacing w:line="360" w:lineRule="auto"/>
              <w:jc w:val="left"/>
              <w:rPr>
                <w:sz w:val="24"/>
                <w:szCs w:val="24"/>
              </w:rPr>
            </w:pPr>
            <w:r w:rsidRPr="000A5B5D">
              <w:rPr>
                <w:rFonts w:hint="eastAsia"/>
                <w:sz w:val="24"/>
                <w:szCs w:val="24"/>
              </w:rPr>
              <w:t>逸盛投资</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spacing w:line="360" w:lineRule="auto"/>
              <w:jc w:val="left"/>
              <w:rPr>
                <w:sz w:val="24"/>
                <w:szCs w:val="24"/>
              </w:rPr>
            </w:pPr>
            <w:r w:rsidRPr="000A5B5D">
              <w:rPr>
                <w:rFonts w:hint="eastAsia"/>
                <w:sz w:val="24"/>
                <w:szCs w:val="24"/>
              </w:rPr>
              <w:t>公司董事任海南逸盛董事，监事任海南逸盛财务总监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spacing w:line="360" w:lineRule="auto"/>
              <w:jc w:val="left"/>
              <w:rPr>
                <w:sz w:val="24"/>
                <w:szCs w:val="24"/>
              </w:rPr>
            </w:pPr>
            <w:r w:rsidRPr="000A5B5D">
              <w:rPr>
                <w:rFonts w:hint="eastAsia"/>
                <w:sz w:val="24"/>
                <w:szCs w:val="24"/>
              </w:rPr>
              <w:t>海南逸盛石化有限公司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spacing w:line="360" w:lineRule="auto"/>
              <w:jc w:val="left"/>
              <w:rPr>
                <w:sz w:val="24"/>
                <w:szCs w:val="24"/>
              </w:rPr>
            </w:pPr>
            <w:r w:rsidRPr="000A5B5D">
              <w:rPr>
                <w:rFonts w:hint="eastAsia"/>
                <w:sz w:val="24"/>
                <w:szCs w:val="24"/>
              </w:rPr>
              <w:t>精对苯二甲酸化工产品的生产、销售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664A4">
            <w:pPr>
              <w:spacing w:line="360" w:lineRule="auto"/>
              <w:jc w:val="center"/>
              <w:rPr>
                <w:sz w:val="24"/>
                <w:szCs w:val="24"/>
              </w:rPr>
            </w:pPr>
            <w:r w:rsidRPr="000A5B5D">
              <w:rPr>
                <w:sz w:val="24"/>
                <w:szCs w:val="24"/>
              </w:rPr>
              <w:t>208</w:t>
            </w:r>
            <w:r w:rsidR="00A664A4" w:rsidRPr="000A5B5D">
              <w:rPr>
                <w:sz w:val="24"/>
                <w:szCs w:val="24"/>
              </w:rPr>
              <w:t>,</w:t>
            </w:r>
            <w:r w:rsidRPr="000A5B5D">
              <w:rPr>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664A4">
            <w:pPr>
              <w:spacing w:line="360" w:lineRule="auto"/>
              <w:jc w:val="center"/>
              <w:rPr>
                <w:sz w:val="24"/>
                <w:szCs w:val="24"/>
              </w:rPr>
            </w:pPr>
            <w:r w:rsidRPr="000A5B5D">
              <w:rPr>
                <w:sz w:val="24"/>
                <w:szCs w:val="24"/>
              </w:rPr>
              <w:t>95</w:t>
            </w:r>
            <w:r w:rsidR="00A664A4" w:rsidRPr="000A5B5D">
              <w:rPr>
                <w:sz w:val="24"/>
                <w:szCs w:val="24"/>
              </w:rPr>
              <w:t>1,393</w:t>
            </w:r>
            <w:r w:rsidRPr="000A5B5D">
              <w:rPr>
                <w:sz w:val="24"/>
                <w:szCs w:val="24"/>
              </w:rPr>
              <w:t>.4</w:t>
            </w:r>
            <w:r w:rsidR="00A664A4" w:rsidRPr="000A5B5D">
              <w:rPr>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664A4">
            <w:pPr>
              <w:spacing w:line="360" w:lineRule="auto"/>
              <w:jc w:val="center"/>
              <w:rPr>
                <w:sz w:val="24"/>
                <w:szCs w:val="24"/>
              </w:rPr>
            </w:pPr>
            <w:r w:rsidRPr="000A5B5D">
              <w:rPr>
                <w:sz w:val="24"/>
                <w:szCs w:val="24"/>
              </w:rPr>
              <w:t>1</w:t>
            </w:r>
            <w:r w:rsidR="00A664A4" w:rsidRPr="000A5B5D">
              <w:rPr>
                <w:sz w:val="24"/>
                <w:szCs w:val="24"/>
              </w:rPr>
              <w:t>36</w:t>
            </w:r>
            <w:r w:rsidRPr="000A5B5D">
              <w:rPr>
                <w:sz w:val="24"/>
                <w:szCs w:val="24"/>
              </w:rPr>
              <w:t>,</w:t>
            </w:r>
            <w:r w:rsidR="00A664A4" w:rsidRPr="000A5B5D">
              <w:rPr>
                <w:sz w:val="24"/>
                <w:szCs w:val="24"/>
              </w:rPr>
              <w:t>295</w:t>
            </w:r>
            <w:r w:rsidRPr="000A5B5D">
              <w:rPr>
                <w:sz w:val="24"/>
                <w:szCs w:val="24"/>
              </w:rPr>
              <w:t>.5</w:t>
            </w:r>
            <w:r w:rsidR="00A664A4" w:rsidRPr="000A5B5D">
              <w:rPr>
                <w:sz w:val="24"/>
                <w:szCs w:val="24"/>
              </w:rPr>
              <w:t>9</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A664A4" w:rsidP="00A664A4">
            <w:pPr>
              <w:spacing w:line="360" w:lineRule="auto"/>
              <w:jc w:val="center"/>
              <w:rPr>
                <w:sz w:val="24"/>
                <w:szCs w:val="24"/>
              </w:rPr>
            </w:pPr>
            <w:r w:rsidRPr="000A5B5D">
              <w:rPr>
                <w:sz w:val="24"/>
                <w:szCs w:val="24"/>
              </w:rPr>
              <w:t>-24</w:t>
            </w:r>
            <w:r w:rsidR="00BC4D56" w:rsidRPr="000A5B5D">
              <w:rPr>
                <w:sz w:val="24"/>
                <w:szCs w:val="24"/>
              </w:rPr>
              <w:t>,</w:t>
            </w:r>
            <w:r w:rsidRPr="000A5B5D">
              <w:rPr>
                <w:sz w:val="24"/>
                <w:szCs w:val="24"/>
              </w:rPr>
              <w:t>184.08</w:t>
            </w:r>
          </w:p>
        </w:tc>
      </w:tr>
      <w:tr w:rsidR="00BC4D56" w:rsidRPr="000A5B5D" w:rsidTr="00D40DD4">
        <w:tc>
          <w:tcPr>
            <w:tcW w:w="241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40DD4">
            <w:pPr>
              <w:spacing w:line="360" w:lineRule="auto"/>
              <w:jc w:val="left"/>
              <w:rPr>
                <w:sz w:val="24"/>
                <w:szCs w:val="24"/>
              </w:rPr>
            </w:pPr>
            <w:r w:rsidRPr="000A5B5D">
              <w:rPr>
                <w:rFonts w:hint="eastAsia"/>
                <w:sz w:val="24"/>
                <w:szCs w:val="24"/>
              </w:rPr>
              <w:t>被投资企业的重大在建项目的进展情况（如有）</w:t>
            </w:r>
          </w:p>
        </w:tc>
        <w:tc>
          <w:tcPr>
            <w:tcW w:w="715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spacing w:line="360" w:lineRule="auto"/>
              <w:jc w:val="left"/>
              <w:rPr>
                <w:sz w:val="24"/>
                <w:szCs w:val="24"/>
              </w:rPr>
            </w:pPr>
            <w:r w:rsidRPr="000A5B5D">
              <w:rPr>
                <w:rFonts w:hint="eastAsia"/>
                <w:sz w:val="24"/>
                <w:szCs w:val="24"/>
              </w:rPr>
              <w:t>无</w:t>
            </w:r>
          </w:p>
        </w:tc>
      </w:tr>
    </w:tbl>
    <w:p w:rsidR="00BC4D56" w:rsidRPr="000A5B5D" w:rsidRDefault="00BC4D56" w:rsidP="00D40DD4">
      <w:pPr>
        <w:pStyle w:val="Section"/>
        <w:spacing w:line="360" w:lineRule="auto"/>
        <w:outlineLvl w:val="2"/>
        <w:rPr>
          <w:bCs w:val="0"/>
          <w:sz w:val="24"/>
          <w:szCs w:val="24"/>
        </w:rPr>
      </w:pPr>
      <w:r w:rsidRPr="000A5B5D">
        <w:rPr>
          <w:bCs w:val="0"/>
          <w:sz w:val="24"/>
          <w:szCs w:val="24"/>
        </w:rPr>
        <w:t>4</w:t>
      </w:r>
      <w:r w:rsidRPr="000A5B5D">
        <w:rPr>
          <w:rFonts w:hint="eastAsia"/>
          <w:bCs w:val="0"/>
          <w:sz w:val="24"/>
          <w:szCs w:val="24"/>
        </w:rPr>
        <w:t>、关联债权债务往来</w:t>
      </w:r>
    </w:p>
    <w:p w:rsidR="00BC4D56" w:rsidRPr="000A5B5D" w:rsidRDefault="00BC4D56" w:rsidP="00D40DD4">
      <w:pPr>
        <w:spacing w:line="360" w:lineRule="auto"/>
        <w:ind w:firstLineChars="200" w:firstLine="480"/>
        <w:jc w:val="left"/>
        <w:rPr>
          <w:sz w:val="24"/>
          <w:szCs w:val="24"/>
        </w:rPr>
      </w:pPr>
      <w:r w:rsidRPr="000A5B5D">
        <w:rPr>
          <w:rFonts w:hint="eastAsia"/>
          <w:sz w:val="24"/>
          <w:szCs w:val="24"/>
        </w:rPr>
        <w:t>公司报告期不存在关联债权债务往来。</w:t>
      </w:r>
    </w:p>
    <w:p w:rsidR="00BC4D56" w:rsidRPr="000A5B5D" w:rsidRDefault="00BC4D56" w:rsidP="00D40DD4">
      <w:pPr>
        <w:pStyle w:val="Section"/>
        <w:spacing w:line="360" w:lineRule="auto"/>
        <w:outlineLvl w:val="2"/>
        <w:rPr>
          <w:bCs w:val="0"/>
          <w:sz w:val="24"/>
          <w:szCs w:val="24"/>
        </w:rPr>
      </w:pPr>
      <w:r w:rsidRPr="000A5B5D">
        <w:rPr>
          <w:bCs w:val="0"/>
          <w:sz w:val="24"/>
          <w:szCs w:val="24"/>
        </w:rPr>
        <w:t>5</w:t>
      </w:r>
      <w:r w:rsidRPr="000A5B5D">
        <w:rPr>
          <w:rFonts w:hint="eastAsia"/>
          <w:bCs w:val="0"/>
          <w:sz w:val="24"/>
          <w:szCs w:val="24"/>
        </w:rPr>
        <w:t>、其他重大关联交易</w:t>
      </w:r>
    </w:p>
    <w:p w:rsidR="00BC4D56" w:rsidRPr="000A5B5D" w:rsidRDefault="00BC4D56" w:rsidP="00D40DD4">
      <w:pPr>
        <w:spacing w:line="360" w:lineRule="auto"/>
        <w:ind w:firstLineChars="200" w:firstLine="480"/>
        <w:jc w:val="left"/>
        <w:rPr>
          <w:sz w:val="24"/>
          <w:szCs w:val="24"/>
        </w:rPr>
      </w:pPr>
      <w:r w:rsidRPr="000A5B5D">
        <w:rPr>
          <w:rFonts w:hint="eastAsia"/>
          <w:sz w:val="24"/>
          <w:szCs w:val="24"/>
        </w:rPr>
        <w:t>公司报告期无其他重大关联交易。</w:t>
      </w:r>
    </w:p>
    <w:p w:rsidR="00BC4D56" w:rsidRPr="000A5B5D" w:rsidRDefault="00BC4D56" w:rsidP="00D40DD4">
      <w:pPr>
        <w:pStyle w:val="Chapter"/>
        <w:spacing w:line="360" w:lineRule="auto"/>
        <w:outlineLvl w:val="1"/>
        <w:rPr>
          <w:bCs w:val="0"/>
        </w:rPr>
      </w:pPr>
      <w:r w:rsidRPr="000A5B5D">
        <w:rPr>
          <w:rFonts w:hint="eastAsia"/>
          <w:bCs w:val="0"/>
        </w:rPr>
        <w:lastRenderedPageBreak/>
        <w:t>十七、重大合同及其履行情况</w:t>
      </w:r>
    </w:p>
    <w:p w:rsidR="00BC4D56" w:rsidRPr="000A5B5D" w:rsidRDefault="00BC4D56" w:rsidP="00D40DD4">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、托管、承包、租赁事项情况</w:t>
      </w:r>
    </w:p>
    <w:p w:rsidR="00BC4D56" w:rsidRPr="000A5B5D" w:rsidRDefault="00BC4D56" w:rsidP="00D40DD4">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1</w:t>
      </w:r>
      <w:r w:rsidRPr="000A5B5D">
        <w:rPr>
          <w:rFonts w:hint="eastAsia"/>
          <w:bCs w:val="0"/>
          <w:sz w:val="24"/>
          <w:szCs w:val="24"/>
        </w:rPr>
        <w:t>）托管情况</w:t>
      </w:r>
    </w:p>
    <w:p w:rsidR="00BC4D56" w:rsidRPr="000A5B5D" w:rsidRDefault="00BC4D56" w:rsidP="00D40DD4">
      <w:pPr>
        <w:spacing w:line="360" w:lineRule="auto"/>
        <w:ind w:firstLineChars="200" w:firstLine="480"/>
        <w:jc w:val="left"/>
        <w:rPr>
          <w:sz w:val="24"/>
          <w:szCs w:val="24"/>
        </w:rPr>
      </w:pPr>
      <w:r w:rsidRPr="000A5B5D">
        <w:rPr>
          <w:rFonts w:hint="eastAsia"/>
          <w:sz w:val="24"/>
          <w:szCs w:val="24"/>
        </w:rPr>
        <w:t>公司报告期不存在托管情况。</w:t>
      </w:r>
    </w:p>
    <w:p w:rsidR="00BC4D56" w:rsidRPr="000A5B5D" w:rsidRDefault="00BC4D56" w:rsidP="00D40DD4">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）承包情况</w:t>
      </w:r>
    </w:p>
    <w:p w:rsidR="00BC4D56" w:rsidRPr="000A5B5D" w:rsidRDefault="00BC4D56" w:rsidP="00D40DD4">
      <w:pPr>
        <w:spacing w:line="360" w:lineRule="auto"/>
        <w:ind w:firstLineChars="200" w:firstLine="480"/>
        <w:jc w:val="left"/>
        <w:rPr>
          <w:sz w:val="24"/>
          <w:szCs w:val="24"/>
        </w:rPr>
      </w:pPr>
      <w:r w:rsidRPr="000A5B5D">
        <w:rPr>
          <w:rFonts w:hint="eastAsia"/>
          <w:sz w:val="24"/>
          <w:szCs w:val="24"/>
        </w:rPr>
        <w:t>公司报告期不存在承包情况。</w:t>
      </w:r>
    </w:p>
    <w:p w:rsidR="00BC4D56" w:rsidRPr="000A5B5D" w:rsidRDefault="00BC4D56" w:rsidP="00D40DD4">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3</w:t>
      </w:r>
      <w:r w:rsidRPr="000A5B5D">
        <w:rPr>
          <w:rFonts w:hint="eastAsia"/>
          <w:bCs w:val="0"/>
          <w:sz w:val="24"/>
          <w:szCs w:val="24"/>
        </w:rPr>
        <w:t>）租赁情况</w:t>
      </w:r>
    </w:p>
    <w:p w:rsidR="00BC4D56" w:rsidRPr="000A5B5D" w:rsidRDefault="00BC4D56" w:rsidP="00D40DD4">
      <w:pPr>
        <w:spacing w:line="360" w:lineRule="auto"/>
        <w:ind w:firstLineChars="200" w:firstLine="480"/>
        <w:jc w:val="left"/>
        <w:rPr>
          <w:sz w:val="24"/>
          <w:szCs w:val="24"/>
        </w:rPr>
      </w:pPr>
      <w:r w:rsidRPr="000A5B5D">
        <w:rPr>
          <w:rFonts w:hint="eastAsia"/>
          <w:sz w:val="24"/>
          <w:szCs w:val="24"/>
        </w:rPr>
        <w:t>公司报告期不存在租赁情况。</w:t>
      </w:r>
    </w:p>
    <w:p w:rsidR="00BC4D56" w:rsidRPr="000A5B5D" w:rsidRDefault="00BC4D56" w:rsidP="00D40DD4">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、重大担保</w:t>
      </w:r>
    </w:p>
    <w:p w:rsidR="00BC4D56" w:rsidRPr="000A5B5D" w:rsidRDefault="00BC4D56" w:rsidP="00D40DD4">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1</w:t>
      </w:r>
      <w:r w:rsidRPr="000A5B5D">
        <w:rPr>
          <w:rFonts w:hint="eastAsia"/>
          <w:bCs w:val="0"/>
          <w:sz w:val="24"/>
          <w:szCs w:val="24"/>
        </w:rPr>
        <w:t>）担保情况</w:t>
      </w:r>
    </w:p>
    <w:p w:rsidR="00BC4D56" w:rsidRPr="000A5B5D" w:rsidRDefault="00BC4D56" w:rsidP="00D40DD4">
      <w:pPr>
        <w:wordWrap w:val="0"/>
        <w:spacing w:line="360" w:lineRule="auto"/>
        <w:jc w:val="right"/>
        <w:rPr>
          <w:sz w:val="24"/>
          <w:szCs w:val="24"/>
        </w:rPr>
      </w:pPr>
      <w:r w:rsidRPr="000A5B5D">
        <w:rPr>
          <w:rFonts w:hint="eastAsia"/>
          <w:sz w:val="24"/>
          <w:szCs w:val="24"/>
        </w:rPr>
        <w:t>单位：万元</w:t>
      </w:r>
      <w:r w:rsidR="00D40DD4" w:rsidRPr="000A5B5D">
        <w:rPr>
          <w:sz w:val="24"/>
          <w:szCs w:val="24"/>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750"/>
        <w:gridCol w:w="1518"/>
        <w:gridCol w:w="993"/>
        <w:gridCol w:w="1559"/>
        <w:gridCol w:w="992"/>
        <w:gridCol w:w="999"/>
        <w:gridCol w:w="1302"/>
        <w:gridCol w:w="6"/>
        <w:gridCol w:w="562"/>
        <w:gridCol w:w="284"/>
        <w:gridCol w:w="701"/>
      </w:tblGrid>
      <w:tr w:rsidR="00BC4D56" w:rsidRPr="000A5B5D" w:rsidTr="00C130E9">
        <w:tc>
          <w:tcPr>
            <w:tcW w:w="9666"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公司及其子公司对外担保情况（不包括对子公司的担保）</w:t>
            </w:r>
          </w:p>
        </w:tc>
      </w:tr>
      <w:tr w:rsidR="00BC4D56" w:rsidRPr="000A5B5D" w:rsidTr="00C130E9">
        <w:tc>
          <w:tcPr>
            <w:tcW w:w="7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担保对象名称</w:t>
            </w:r>
          </w:p>
        </w:tc>
        <w:tc>
          <w:tcPr>
            <w:tcW w:w="15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担保额度相关公告披露日期</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实际发生日期（协议签署日）</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实际担保金额</w:t>
            </w:r>
          </w:p>
        </w:tc>
        <w:tc>
          <w:tcPr>
            <w:tcW w:w="99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担保类型</w:t>
            </w:r>
          </w:p>
        </w:tc>
        <w:tc>
          <w:tcPr>
            <w:tcW w:w="130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担保期</w:t>
            </w:r>
          </w:p>
        </w:tc>
        <w:tc>
          <w:tcPr>
            <w:tcW w:w="84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是否履行完毕</w:t>
            </w:r>
          </w:p>
        </w:tc>
        <w:tc>
          <w:tcPr>
            <w:tcW w:w="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是否为关联方担保</w:t>
            </w:r>
          </w:p>
        </w:tc>
      </w:tr>
      <w:tr w:rsidR="00BC4D56" w:rsidRPr="000A5B5D" w:rsidTr="00C130E9">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己内酰胺公司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09</w:t>
            </w:r>
            <w:r w:rsidRPr="000A5B5D">
              <w:rPr>
                <w:rFonts w:hint="eastAsia"/>
                <w:szCs w:val="24"/>
              </w:rPr>
              <w:t>月</w:t>
            </w:r>
            <w:r w:rsidRPr="000A5B5D">
              <w:rPr>
                <w:szCs w:val="24"/>
              </w:rPr>
              <w:t>30</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55,819.79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11</w:t>
            </w:r>
            <w:r w:rsidRPr="000A5B5D">
              <w:rPr>
                <w:rFonts w:hint="eastAsia"/>
                <w:szCs w:val="24"/>
              </w:rPr>
              <w:t>月</w:t>
            </w:r>
            <w:r w:rsidRPr="000A5B5D">
              <w:rPr>
                <w:szCs w:val="24"/>
              </w:rPr>
              <w:t>04</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39,073.85</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一般保证</w:t>
            </w:r>
          </w:p>
        </w:tc>
        <w:tc>
          <w:tcPr>
            <w:tcW w:w="13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2011-11-10</w:t>
            </w:r>
            <w:r w:rsidRPr="000A5B5D">
              <w:rPr>
                <w:rFonts w:hint="eastAsia"/>
                <w:szCs w:val="24"/>
              </w:rPr>
              <w:t>至</w:t>
            </w:r>
            <w:r w:rsidRPr="000A5B5D">
              <w:rPr>
                <w:szCs w:val="24"/>
              </w:rPr>
              <w:t>2017-12-10</w:t>
            </w:r>
          </w:p>
        </w:tc>
        <w:tc>
          <w:tcPr>
            <w:tcW w:w="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c>
          <w:tcPr>
            <w:tcW w:w="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是</w:t>
            </w:r>
          </w:p>
        </w:tc>
      </w:tr>
      <w:tr w:rsidR="00BC4D56" w:rsidRPr="000A5B5D" w:rsidTr="00C130E9">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40DD4">
            <w:pPr>
              <w:jc w:val="left"/>
              <w:rPr>
                <w:szCs w:val="24"/>
              </w:rPr>
            </w:pPr>
            <w:r w:rsidRPr="000A5B5D">
              <w:rPr>
                <w:rFonts w:hint="eastAsia"/>
                <w:szCs w:val="24"/>
              </w:rPr>
              <w:t>海南逸盛</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w:t>
            </w:r>
            <w:r w:rsidRPr="000A5B5D">
              <w:rPr>
                <w:rFonts w:hint="eastAsia"/>
                <w:szCs w:val="24"/>
              </w:rPr>
              <w:t>年</w:t>
            </w:r>
            <w:r w:rsidRPr="000A5B5D">
              <w:rPr>
                <w:szCs w:val="24"/>
              </w:rPr>
              <w:t>03</w:t>
            </w:r>
            <w:r w:rsidRPr="000A5B5D">
              <w:rPr>
                <w:rFonts w:hint="eastAsia"/>
                <w:szCs w:val="24"/>
              </w:rPr>
              <w:t>月</w:t>
            </w:r>
            <w:r w:rsidRPr="000A5B5D">
              <w:rPr>
                <w:szCs w:val="24"/>
              </w:rPr>
              <w:t>23</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17,110.64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w:t>
            </w:r>
            <w:r w:rsidRPr="000A5B5D">
              <w:rPr>
                <w:rFonts w:hint="eastAsia"/>
                <w:szCs w:val="24"/>
              </w:rPr>
              <w:t>年</w:t>
            </w:r>
            <w:r w:rsidRPr="000A5B5D">
              <w:rPr>
                <w:szCs w:val="24"/>
              </w:rPr>
              <w:t>06</w:t>
            </w:r>
            <w:r w:rsidRPr="000A5B5D">
              <w:rPr>
                <w:rFonts w:hint="eastAsia"/>
                <w:szCs w:val="24"/>
              </w:rPr>
              <w:t>月</w:t>
            </w:r>
            <w:r w:rsidRPr="000A5B5D">
              <w:rPr>
                <w:szCs w:val="24"/>
              </w:rPr>
              <w:t>07</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11,977.45</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一般保证</w:t>
            </w:r>
          </w:p>
        </w:tc>
        <w:tc>
          <w:tcPr>
            <w:tcW w:w="13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2012-6-7</w:t>
            </w:r>
            <w:r w:rsidRPr="000A5B5D">
              <w:rPr>
                <w:rFonts w:hint="eastAsia"/>
                <w:szCs w:val="24"/>
              </w:rPr>
              <w:t>至</w:t>
            </w:r>
            <w:r w:rsidRPr="000A5B5D">
              <w:rPr>
                <w:szCs w:val="24"/>
              </w:rPr>
              <w:t>2020-6-6</w:t>
            </w:r>
          </w:p>
        </w:tc>
        <w:tc>
          <w:tcPr>
            <w:tcW w:w="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c>
          <w:tcPr>
            <w:tcW w:w="70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是</w:t>
            </w:r>
          </w:p>
        </w:tc>
      </w:tr>
      <w:tr w:rsidR="00BC4D56" w:rsidRPr="000A5B5D" w:rsidTr="00C130E9">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报告期内审批的对外担保额度合计（</w:t>
            </w:r>
            <w:r w:rsidRPr="000A5B5D">
              <w:rPr>
                <w:szCs w:val="24"/>
              </w:rPr>
              <w:t>A1</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9F6C8C">
            <w:pPr>
              <w:jc w:val="center"/>
              <w:rPr>
                <w:szCs w:val="24"/>
              </w:rPr>
            </w:pPr>
            <w:r w:rsidRPr="000A5B5D">
              <w:rPr>
                <w:szCs w:val="24"/>
              </w:rPr>
              <w:t>0</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报告期内对外担保实际发生额合计（</w:t>
            </w:r>
            <w:r w:rsidRPr="000A5B5D">
              <w:rPr>
                <w:szCs w:val="24"/>
              </w:rPr>
              <w:t>A2</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1572C" w:rsidP="00B1572C">
            <w:pPr>
              <w:jc w:val="center"/>
              <w:rPr>
                <w:szCs w:val="24"/>
              </w:rPr>
            </w:pPr>
            <w:r w:rsidRPr="000A5B5D">
              <w:rPr>
                <w:szCs w:val="24"/>
              </w:rPr>
              <w:t>0</w:t>
            </w:r>
          </w:p>
        </w:tc>
      </w:tr>
      <w:tr w:rsidR="00BC4D56" w:rsidRPr="000A5B5D" w:rsidTr="00C130E9">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报告期末已审批的对外担保额度合计（</w:t>
            </w:r>
            <w:r w:rsidRPr="000A5B5D">
              <w:rPr>
                <w:szCs w:val="24"/>
              </w:rPr>
              <w:t>A3</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9F6C8C" w:rsidP="009F6C8C">
            <w:pPr>
              <w:jc w:val="center"/>
              <w:rPr>
                <w:szCs w:val="24"/>
              </w:rPr>
            </w:pPr>
            <w:r w:rsidRPr="000A5B5D">
              <w:rPr>
                <w:szCs w:val="24"/>
              </w:rPr>
              <w:t>234,354.20</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报告期末实际对外担保余额合计（</w:t>
            </w:r>
            <w:r w:rsidRPr="000A5B5D">
              <w:rPr>
                <w:szCs w:val="24"/>
              </w:rPr>
              <w:t>A4</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997986" w:rsidP="00997986">
            <w:pPr>
              <w:jc w:val="center"/>
              <w:rPr>
                <w:szCs w:val="24"/>
              </w:rPr>
            </w:pPr>
            <w:r w:rsidRPr="000A5B5D">
              <w:rPr>
                <w:szCs w:val="24"/>
              </w:rPr>
              <w:t>51,051.3</w:t>
            </w:r>
            <w:r w:rsidR="00B1572C" w:rsidRPr="000A5B5D">
              <w:rPr>
                <w:szCs w:val="24"/>
              </w:rPr>
              <w:t>0</w:t>
            </w:r>
          </w:p>
        </w:tc>
      </w:tr>
      <w:tr w:rsidR="00BC4D56" w:rsidRPr="000A5B5D" w:rsidTr="00C130E9">
        <w:tc>
          <w:tcPr>
            <w:tcW w:w="9666"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公司与子公司之间担保情况</w:t>
            </w:r>
          </w:p>
        </w:tc>
      </w:tr>
      <w:tr w:rsidR="00BC4D56" w:rsidRPr="000A5B5D" w:rsidTr="00C130E9">
        <w:tc>
          <w:tcPr>
            <w:tcW w:w="7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担保对象名称</w:t>
            </w:r>
          </w:p>
        </w:tc>
        <w:tc>
          <w:tcPr>
            <w:tcW w:w="15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担保额度相关公告披露日期</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实际发生日期（协议签署日）</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实际担保金额</w:t>
            </w:r>
          </w:p>
        </w:tc>
        <w:tc>
          <w:tcPr>
            <w:tcW w:w="99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担保类型</w:t>
            </w:r>
          </w:p>
        </w:tc>
        <w:tc>
          <w:tcPr>
            <w:tcW w:w="13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担保期</w:t>
            </w:r>
          </w:p>
        </w:tc>
        <w:tc>
          <w:tcPr>
            <w:tcW w:w="85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是否履行完毕</w:t>
            </w:r>
          </w:p>
        </w:tc>
        <w:tc>
          <w:tcPr>
            <w:tcW w:w="7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是否为关联方担保</w:t>
            </w:r>
          </w:p>
        </w:tc>
      </w:tr>
      <w:tr w:rsidR="00BC4D56" w:rsidRPr="000A5B5D" w:rsidTr="00C130E9">
        <w:tc>
          <w:tcPr>
            <w:tcW w:w="9666"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lastRenderedPageBreak/>
              <w:t>子公司对子公司的担保情况</w:t>
            </w:r>
          </w:p>
        </w:tc>
      </w:tr>
      <w:tr w:rsidR="00BC4D56" w:rsidRPr="000A5B5D" w:rsidTr="00C130E9">
        <w:tc>
          <w:tcPr>
            <w:tcW w:w="7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担保对象名称</w:t>
            </w:r>
          </w:p>
        </w:tc>
        <w:tc>
          <w:tcPr>
            <w:tcW w:w="15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担保额度相关公告披露日期</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担保额度</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实际发生日期（协议签署日）</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实际担保金额</w:t>
            </w:r>
          </w:p>
        </w:tc>
        <w:tc>
          <w:tcPr>
            <w:tcW w:w="99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担保类型</w:t>
            </w:r>
          </w:p>
        </w:tc>
        <w:tc>
          <w:tcPr>
            <w:tcW w:w="13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担保期</w:t>
            </w:r>
          </w:p>
        </w:tc>
        <w:tc>
          <w:tcPr>
            <w:tcW w:w="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是否履行完毕</w:t>
            </w:r>
          </w:p>
        </w:tc>
        <w:tc>
          <w:tcPr>
            <w:tcW w:w="98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是否为关联方担保</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浙江恒逸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11,091.73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21</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7,764.21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2015-4-21</w:t>
            </w:r>
            <w:r w:rsidRPr="000A5B5D">
              <w:rPr>
                <w:rFonts w:hint="eastAsia"/>
                <w:szCs w:val="24"/>
              </w:rPr>
              <w:t>至</w:t>
            </w:r>
            <w:r w:rsidRPr="000A5B5D">
              <w:rPr>
                <w:szCs w:val="24"/>
              </w:rPr>
              <w:t>2015-9-21</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浙江恒逸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03</w:t>
            </w:r>
            <w:r w:rsidRPr="000A5B5D">
              <w:rPr>
                <w:rFonts w:hint="eastAsia"/>
                <w:szCs w:val="24"/>
              </w:rPr>
              <w:t>月</w:t>
            </w:r>
            <w:r w:rsidRPr="000A5B5D">
              <w:rPr>
                <w:szCs w:val="24"/>
              </w:rPr>
              <w:t>11</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1,743.53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12</w:t>
            </w:r>
            <w:r w:rsidRPr="000A5B5D">
              <w:rPr>
                <w:rFonts w:hint="eastAsia"/>
                <w:szCs w:val="24"/>
              </w:rPr>
              <w:t>月</w:t>
            </w:r>
            <w:r w:rsidRPr="000A5B5D">
              <w:rPr>
                <w:szCs w:val="24"/>
              </w:rPr>
              <w:t>16</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1,220.47</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2014/12/16</w:t>
            </w:r>
            <w:r w:rsidRPr="000A5B5D">
              <w:rPr>
                <w:rFonts w:hint="eastAsia"/>
                <w:szCs w:val="24"/>
              </w:rPr>
              <w:t>至</w:t>
            </w:r>
            <w:r w:rsidRPr="000A5B5D">
              <w:rPr>
                <w:szCs w:val="24"/>
              </w:rPr>
              <w:t>2015/3/16</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聚合物</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4,020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25</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4,020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2015-8-25</w:t>
            </w:r>
            <w:r w:rsidRPr="000A5B5D">
              <w:rPr>
                <w:rFonts w:hint="eastAsia"/>
                <w:szCs w:val="24"/>
              </w:rPr>
              <w:t>至</w:t>
            </w:r>
            <w:r w:rsidRPr="000A5B5D">
              <w:rPr>
                <w:szCs w:val="24"/>
              </w:rPr>
              <w:t>2016-4-24</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恒逸高新</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20,000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21</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14,000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2015-4-17</w:t>
            </w:r>
            <w:r w:rsidRPr="000A5B5D">
              <w:rPr>
                <w:rFonts w:hint="eastAsia"/>
                <w:szCs w:val="24"/>
              </w:rPr>
              <w:t>至</w:t>
            </w:r>
            <w:r w:rsidRPr="000A5B5D">
              <w:rPr>
                <w:szCs w:val="24"/>
              </w:rPr>
              <w:t>2016-12-18</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恒逸高新</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783.81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06</w:t>
            </w:r>
            <w:r w:rsidRPr="000A5B5D">
              <w:rPr>
                <w:rFonts w:hint="eastAsia"/>
                <w:szCs w:val="24"/>
              </w:rPr>
              <w:t>月</w:t>
            </w:r>
            <w:r w:rsidRPr="000A5B5D">
              <w:rPr>
                <w:szCs w:val="24"/>
              </w:rPr>
              <w:t>01</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548.67</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2015-6-1</w:t>
            </w:r>
            <w:r w:rsidRPr="000A5B5D">
              <w:rPr>
                <w:rFonts w:hint="eastAsia"/>
                <w:szCs w:val="24"/>
              </w:rPr>
              <w:t>至</w:t>
            </w:r>
            <w:r w:rsidRPr="000A5B5D">
              <w:rPr>
                <w:szCs w:val="24"/>
              </w:rPr>
              <w:t>2015-9-8</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恒逸高新</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w:t>
            </w:r>
            <w:r w:rsidRPr="000A5B5D">
              <w:rPr>
                <w:rFonts w:hint="eastAsia"/>
                <w:szCs w:val="24"/>
              </w:rPr>
              <w:t>年</w:t>
            </w:r>
            <w:r w:rsidRPr="000A5B5D">
              <w:rPr>
                <w:szCs w:val="24"/>
              </w:rPr>
              <w:t>02</w:t>
            </w:r>
            <w:r w:rsidRPr="000A5B5D">
              <w:rPr>
                <w:rFonts w:hint="eastAsia"/>
                <w:szCs w:val="24"/>
              </w:rPr>
              <w:t>月</w:t>
            </w:r>
            <w:r w:rsidRPr="000A5B5D">
              <w:rPr>
                <w:szCs w:val="24"/>
              </w:rPr>
              <w:t>20</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39,546.02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w:t>
            </w:r>
            <w:r w:rsidRPr="000A5B5D">
              <w:rPr>
                <w:rFonts w:hint="eastAsia"/>
                <w:szCs w:val="24"/>
              </w:rPr>
              <w:t>年</w:t>
            </w:r>
            <w:r w:rsidRPr="000A5B5D">
              <w:rPr>
                <w:szCs w:val="24"/>
              </w:rPr>
              <w:t>12</w:t>
            </w:r>
            <w:r w:rsidRPr="000A5B5D">
              <w:rPr>
                <w:rFonts w:hint="eastAsia"/>
                <w:szCs w:val="24"/>
              </w:rPr>
              <w:t>月</w:t>
            </w:r>
            <w:r w:rsidRPr="000A5B5D">
              <w:rPr>
                <w:szCs w:val="24"/>
              </w:rPr>
              <w:t>03</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39,546.02</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2012/12/3</w:t>
            </w:r>
            <w:r w:rsidRPr="000A5B5D">
              <w:rPr>
                <w:rFonts w:hint="eastAsia"/>
                <w:szCs w:val="24"/>
              </w:rPr>
              <w:t>至</w:t>
            </w:r>
            <w:r w:rsidRPr="000A5B5D">
              <w:rPr>
                <w:szCs w:val="24"/>
              </w:rPr>
              <w:t>2020/12/2</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恒逸高新</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w:t>
            </w:r>
            <w:r w:rsidRPr="000A5B5D">
              <w:rPr>
                <w:rFonts w:hint="eastAsia"/>
                <w:szCs w:val="24"/>
              </w:rPr>
              <w:t>年</w:t>
            </w:r>
            <w:r w:rsidRPr="000A5B5D">
              <w:rPr>
                <w:szCs w:val="24"/>
              </w:rPr>
              <w:t>02</w:t>
            </w:r>
            <w:r w:rsidRPr="000A5B5D">
              <w:rPr>
                <w:rFonts w:hint="eastAsia"/>
                <w:szCs w:val="24"/>
              </w:rPr>
              <w:t>月</w:t>
            </w:r>
            <w:r w:rsidRPr="000A5B5D">
              <w:rPr>
                <w:szCs w:val="24"/>
              </w:rPr>
              <w:t>20</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5,844.24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w:t>
            </w:r>
            <w:r w:rsidRPr="000A5B5D">
              <w:rPr>
                <w:rFonts w:hint="eastAsia"/>
                <w:szCs w:val="24"/>
              </w:rPr>
              <w:t>年</w:t>
            </w:r>
            <w:r w:rsidRPr="000A5B5D">
              <w:rPr>
                <w:szCs w:val="24"/>
              </w:rPr>
              <w:t>12</w:t>
            </w:r>
            <w:r w:rsidRPr="000A5B5D">
              <w:rPr>
                <w:rFonts w:hint="eastAsia"/>
                <w:szCs w:val="24"/>
              </w:rPr>
              <w:t>月</w:t>
            </w:r>
            <w:r w:rsidRPr="000A5B5D">
              <w:rPr>
                <w:szCs w:val="24"/>
              </w:rPr>
              <w:t>03</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5,844.24</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2012/12/3</w:t>
            </w:r>
            <w:r w:rsidRPr="000A5B5D">
              <w:rPr>
                <w:rFonts w:hint="eastAsia"/>
                <w:szCs w:val="24"/>
              </w:rPr>
              <w:t>至</w:t>
            </w:r>
            <w:r w:rsidRPr="000A5B5D">
              <w:rPr>
                <w:szCs w:val="24"/>
              </w:rPr>
              <w:t>2015-10-20</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浙江逸盛</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9,608.57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26</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9,608.57</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2015-8-26</w:t>
            </w:r>
            <w:r w:rsidRPr="000A5B5D">
              <w:rPr>
                <w:rFonts w:hint="eastAsia"/>
                <w:szCs w:val="24"/>
              </w:rPr>
              <w:t>至</w:t>
            </w:r>
            <w:r w:rsidRPr="000A5B5D">
              <w:rPr>
                <w:szCs w:val="24"/>
              </w:rPr>
              <w:t>2016-2-26</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浙江逸盛</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36,623.9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10</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36,623.9</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2015-3-10</w:t>
            </w:r>
            <w:r w:rsidRPr="000A5B5D">
              <w:rPr>
                <w:rFonts w:hint="eastAsia"/>
                <w:szCs w:val="24"/>
              </w:rPr>
              <w:t>至</w:t>
            </w:r>
            <w:r w:rsidRPr="000A5B5D">
              <w:rPr>
                <w:szCs w:val="24"/>
              </w:rPr>
              <w:t>2015-8-5</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浙江逸盛</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19</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45,000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29</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45,000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2015-10-29</w:t>
            </w:r>
            <w:r w:rsidRPr="000A5B5D">
              <w:rPr>
                <w:rFonts w:hint="eastAsia"/>
                <w:szCs w:val="24"/>
              </w:rPr>
              <w:t>至</w:t>
            </w:r>
            <w:r w:rsidRPr="000A5B5D">
              <w:rPr>
                <w:szCs w:val="24"/>
              </w:rPr>
              <w:t>2016-10-28</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香港天逸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22,629.21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07</w:t>
            </w:r>
            <w:r w:rsidRPr="000A5B5D">
              <w:rPr>
                <w:rFonts w:hint="eastAsia"/>
                <w:szCs w:val="24"/>
              </w:rPr>
              <w:t>月</w:t>
            </w:r>
            <w:r w:rsidRPr="000A5B5D">
              <w:rPr>
                <w:szCs w:val="24"/>
              </w:rPr>
              <w:t>22</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22,629.21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2014/7/22</w:t>
            </w:r>
            <w:r w:rsidRPr="000A5B5D">
              <w:rPr>
                <w:rFonts w:hint="eastAsia"/>
                <w:szCs w:val="24"/>
              </w:rPr>
              <w:t>至</w:t>
            </w:r>
            <w:r w:rsidRPr="000A5B5D">
              <w:rPr>
                <w:szCs w:val="24"/>
              </w:rPr>
              <w:t>2015/5/14</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香港天逸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1,517.46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07</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1,517.46</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2015-4-7</w:t>
            </w:r>
            <w:r w:rsidRPr="000A5B5D">
              <w:rPr>
                <w:rFonts w:hint="eastAsia"/>
                <w:szCs w:val="24"/>
              </w:rPr>
              <w:t>至</w:t>
            </w:r>
            <w:r w:rsidRPr="000A5B5D">
              <w:rPr>
                <w:szCs w:val="24"/>
              </w:rPr>
              <w:t>2015-9-14</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香港天逸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27,273.12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07</w:t>
            </w:r>
            <w:r w:rsidRPr="000A5B5D">
              <w:rPr>
                <w:rFonts w:hint="eastAsia"/>
                <w:szCs w:val="24"/>
              </w:rPr>
              <w:t>月</w:t>
            </w:r>
            <w:r w:rsidRPr="000A5B5D">
              <w:rPr>
                <w:szCs w:val="24"/>
              </w:rPr>
              <w:t>08</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27,273.12</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2014/7/8</w:t>
            </w:r>
            <w:r w:rsidRPr="000A5B5D">
              <w:rPr>
                <w:rFonts w:hint="eastAsia"/>
                <w:szCs w:val="24"/>
              </w:rPr>
              <w:t>至</w:t>
            </w:r>
            <w:r w:rsidRPr="000A5B5D">
              <w:rPr>
                <w:szCs w:val="24"/>
              </w:rPr>
              <w:t>2016/4/22</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香港天逸</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19,480.8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10</w:t>
            </w:r>
            <w:r w:rsidRPr="000A5B5D">
              <w:rPr>
                <w:rFonts w:hint="eastAsia"/>
                <w:szCs w:val="24"/>
              </w:rPr>
              <w:t>月</w:t>
            </w:r>
            <w:r w:rsidRPr="000A5B5D">
              <w:rPr>
                <w:szCs w:val="24"/>
              </w:rPr>
              <w:t>13</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11,688.48</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2014/10/13</w:t>
            </w:r>
            <w:r w:rsidRPr="000A5B5D">
              <w:rPr>
                <w:rFonts w:hint="eastAsia"/>
                <w:szCs w:val="24"/>
              </w:rPr>
              <w:t>至</w:t>
            </w:r>
            <w:r w:rsidRPr="000A5B5D">
              <w:rPr>
                <w:szCs w:val="24"/>
              </w:rPr>
              <w:t>2015/9/11</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B86921">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佳栢国际</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2014</w:t>
            </w:r>
            <w:r w:rsidRPr="000A5B5D">
              <w:rPr>
                <w:rFonts w:hint="eastAsia"/>
                <w:szCs w:val="24"/>
              </w:rPr>
              <w:t>年</w:t>
            </w:r>
            <w:r w:rsidRPr="000A5B5D">
              <w:rPr>
                <w:szCs w:val="24"/>
              </w:rPr>
              <w:t>03</w:t>
            </w:r>
            <w:r w:rsidRPr="000A5B5D">
              <w:rPr>
                <w:rFonts w:hint="eastAsia"/>
                <w:szCs w:val="24"/>
              </w:rPr>
              <w:t>月</w:t>
            </w:r>
            <w:r w:rsidRPr="000A5B5D">
              <w:rPr>
                <w:szCs w:val="24"/>
              </w:rPr>
              <w:t>11</w:t>
            </w:r>
            <w:r w:rsidRPr="000A5B5D">
              <w:rPr>
                <w:rFonts w:hint="eastAsia"/>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6,492.78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06</w:t>
            </w:r>
            <w:r w:rsidRPr="000A5B5D">
              <w:rPr>
                <w:rFonts w:hint="eastAsia"/>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right"/>
              <w:rPr>
                <w:szCs w:val="24"/>
              </w:rPr>
            </w:pPr>
            <w:r w:rsidRPr="000A5B5D">
              <w:rPr>
                <w:szCs w:val="24"/>
              </w:rPr>
              <w:t>6,492.78</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一般保证</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szCs w:val="24"/>
              </w:rPr>
              <w:t>2015/1/6</w:t>
            </w:r>
            <w:r w:rsidRPr="000A5B5D">
              <w:rPr>
                <w:rFonts w:hint="eastAsia"/>
                <w:szCs w:val="24"/>
              </w:rPr>
              <w:t>至</w:t>
            </w:r>
            <w:r w:rsidRPr="000A5B5D">
              <w:rPr>
                <w:szCs w:val="24"/>
              </w:rPr>
              <w:t>2015-10-7</w:t>
            </w:r>
          </w:p>
        </w:tc>
        <w:tc>
          <w:tcPr>
            <w:tcW w:w="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是</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131787">
            <w:pPr>
              <w:jc w:val="left"/>
              <w:rPr>
                <w:szCs w:val="24"/>
              </w:rPr>
            </w:pPr>
            <w:r w:rsidRPr="000A5B5D">
              <w:rPr>
                <w:rFonts w:hint="eastAsia"/>
                <w:szCs w:val="24"/>
              </w:rPr>
              <w:t>否</w:t>
            </w:r>
          </w:p>
        </w:tc>
      </w:tr>
      <w:tr w:rsidR="00131787" w:rsidRPr="000A5B5D" w:rsidTr="00716A2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596486">
            <w:pPr>
              <w:jc w:val="left"/>
              <w:rPr>
                <w:szCs w:val="24"/>
              </w:rPr>
            </w:pPr>
            <w:r w:rsidRPr="000A5B5D">
              <w:rPr>
                <w:rFonts w:hint="eastAsia"/>
                <w:szCs w:val="24"/>
              </w:rPr>
              <w:t>报告期内审批的对外担保额度合计（</w:t>
            </w:r>
            <w:r w:rsidR="00596486" w:rsidRPr="000A5B5D">
              <w:rPr>
                <w:szCs w:val="24"/>
              </w:rPr>
              <w:t>C</w:t>
            </w:r>
            <w:r w:rsidRPr="000A5B5D">
              <w:rPr>
                <w:szCs w:val="24"/>
              </w:rPr>
              <w:t>1</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D70BE3">
            <w:pPr>
              <w:jc w:val="center"/>
              <w:rPr>
                <w:szCs w:val="24"/>
              </w:rPr>
            </w:pPr>
            <w:r w:rsidRPr="000A5B5D">
              <w:rPr>
                <w:szCs w:val="24"/>
              </w:rPr>
              <w:t>950,000</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596486">
            <w:pPr>
              <w:jc w:val="left"/>
              <w:rPr>
                <w:szCs w:val="24"/>
              </w:rPr>
            </w:pPr>
            <w:r w:rsidRPr="000A5B5D">
              <w:rPr>
                <w:rFonts w:hint="eastAsia"/>
                <w:szCs w:val="24"/>
              </w:rPr>
              <w:t>报告期内对外担保实际发生额合计（</w:t>
            </w:r>
            <w:r w:rsidR="00596486" w:rsidRPr="000A5B5D">
              <w:rPr>
                <w:szCs w:val="24"/>
              </w:rPr>
              <w:t>C</w:t>
            </w:r>
            <w:r w:rsidRPr="000A5B5D">
              <w:rPr>
                <w:szCs w:val="24"/>
              </w:rPr>
              <w:t>2</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B1572C" w:rsidP="00D70BE3">
            <w:pPr>
              <w:jc w:val="center"/>
              <w:rPr>
                <w:szCs w:val="24"/>
              </w:rPr>
            </w:pPr>
            <w:r w:rsidRPr="000A5B5D">
              <w:rPr>
                <w:szCs w:val="24"/>
              </w:rPr>
              <w:t>125,575.59</w:t>
            </w:r>
          </w:p>
        </w:tc>
      </w:tr>
      <w:tr w:rsidR="00131787" w:rsidRPr="000A5B5D" w:rsidTr="00716A2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596486">
            <w:pPr>
              <w:jc w:val="left"/>
              <w:rPr>
                <w:szCs w:val="24"/>
              </w:rPr>
            </w:pPr>
            <w:r w:rsidRPr="000A5B5D">
              <w:rPr>
                <w:rFonts w:hint="eastAsia"/>
                <w:szCs w:val="24"/>
              </w:rPr>
              <w:t>报告期末已审批的对外担保额度合计（</w:t>
            </w:r>
            <w:r w:rsidR="00596486" w:rsidRPr="000A5B5D">
              <w:rPr>
                <w:szCs w:val="24"/>
              </w:rPr>
              <w:t>C</w:t>
            </w:r>
            <w:r w:rsidRPr="000A5B5D">
              <w:rPr>
                <w:szCs w:val="24"/>
              </w:rPr>
              <w:t>3</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9F6C8C" w:rsidP="00D70BE3">
            <w:pPr>
              <w:jc w:val="center"/>
              <w:rPr>
                <w:szCs w:val="24"/>
              </w:rPr>
            </w:pPr>
            <w:r w:rsidRPr="000A5B5D">
              <w:rPr>
                <w:szCs w:val="24"/>
              </w:rPr>
              <w:t>950,000</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596486">
            <w:pPr>
              <w:jc w:val="left"/>
              <w:rPr>
                <w:szCs w:val="24"/>
              </w:rPr>
            </w:pPr>
            <w:r w:rsidRPr="000A5B5D">
              <w:rPr>
                <w:rFonts w:hint="eastAsia"/>
                <w:szCs w:val="24"/>
              </w:rPr>
              <w:t>报告期末实际对外担保余额合计（</w:t>
            </w:r>
            <w:r w:rsidR="00596486" w:rsidRPr="000A5B5D">
              <w:rPr>
                <w:szCs w:val="24"/>
              </w:rPr>
              <w:t>C</w:t>
            </w:r>
            <w:r w:rsidRPr="000A5B5D">
              <w:rPr>
                <w:szCs w:val="24"/>
              </w:rPr>
              <w:t>4</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B1572C" w:rsidP="00D70BE3">
            <w:pPr>
              <w:jc w:val="center"/>
              <w:rPr>
                <w:szCs w:val="24"/>
              </w:rPr>
            </w:pPr>
            <w:r w:rsidRPr="000A5B5D">
              <w:rPr>
                <w:szCs w:val="24"/>
              </w:rPr>
              <w:t>139,447.71</w:t>
            </w:r>
          </w:p>
        </w:tc>
      </w:tr>
      <w:tr w:rsidR="00131787" w:rsidRPr="000A5B5D" w:rsidTr="00606390">
        <w:tc>
          <w:tcPr>
            <w:tcW w:w="9666"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center"/>
              <w:rPr>
                <w:szCs w:val="24"/>
              </w:rPr>
            </w:pPr>
            <w:r w:rsidRPr="000A5B5D">
              <w:rPr>
                <w:rFonts w:hint="eastAsia"/>
                <w:szCs w:val="24"/>
              </w:rPr>
              <w:lastRenderedPageBreak/>
              <w:t>公司担保总额（即前三大项的合计）</w:t>
            </w:r>
          </w:p>
        </w:tc>
      </w:tr>
      <w:tr w:rsidR="00131787" w:rsidRPr="000A5B5D" w:rsidTr="00C130E9">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报告期内审批担保额度合计（</w:t>
            </w:r>
            <w:r w:rsidRPr="000A5B5D">
              <w:rPr>
                <w:szCs w:val="24"/>
              </w:rPr>
              <w:t>A1+B1+C1</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D70BE3">
            <w:pPr>
              <w:jc w:val="center"/>
              <w:rPr>
                <w:szCs w:val="24"/>
              </w:rPr>
            </w:pPr>
            <w:r w:rsidRPr="000A5B5D">
              <w:rPr>
                <w:szCs w:val="24"/>
              </w:rPr>
              <w:t>950,000</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报告期内担保实际发生额合计（</w:t>
            </w:r>
            <w:r w:rsidRPr="000A5B5D">
              <w:rPr>
                <w:szCs w:val="24"/>
              </w:rPr>
              <w:t>A2+B2+C2</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D70BE3">
            <w:pPr>
              <w:jc w:val="center"/>
              <w:rPr>
                <w:szCs w:val="24"/>
              </w:rPr>
            </w:pPr>
            <w:r w:rsidRPr="000A5B5D">
              <w:rPr>
                <w:szCs w:val="24"/>
              </w:rPr>
              <w:t>125,575.59</w:t>
            </w:r>
          </w:p>
        </w:tc>
      </w:tr>
      <w:tr w:rsidR="00131787" w:rsidRPr="000A5B5D" w:rsidTr="00C130E9">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报告期末已审批的担保额度合计（</w:t>
            </w:r>
            <w:r w:rsidRPr="000A5B5D">
              <w:rPr>
                <w:szCs w:val="24"/>
              </w:rPr>
              <w:t>A3+B3+C3</w:t>
            </w:r>
            <w:r w:rsidRPr="000A5B5D">
              <w:rPr>
                <w:rFonts w:hint="eastAsia"/>
                <w:szCs w:val="24"/>
              </w:rPr>
              <w: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D70BE3">
            <w:pPr>
              <w:jc w:val="center"/>
              <w:rPr>
                <w:szCs w:val="24"/>
              </w:rPr>
            </w:pPr>
            <w:r w:rsidRPr="000A5B5D">
              <w:rPr>
                <w:szCs w:val="24"/>
              </w:rPr>
              <w:t>1,184,354.2</w:t>
            </w:r>
          </w:p>
        </w:tc>
        <w:tc>
          <w:tcPr>
            <w:tcW w:w="19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报告期末实际担保余额合计（</w:t>
            </w:r>
            <w:r w:rsidRPr="000A5B5D">
              <w:rPr>
                <w:szCs w:val="24"/>
              </w:rPr>
              <w:t>A4+B4+C4</w:t>
            </w:r>
            <w:r w:rsidRPr="000A5B5D">
              <w:rPr>
                <w:rFonts w:hint="eastAsia"/>
                <w:szCs w:val="24"/>
              </w:rPr>
              <w:t>）</w:t>
            </w:r>
          </w:p>
        </w:tc>
        <w:tc>
          <w:tcPr>
            <w:tcW w:w="285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CE665B" w:rsidP="00D70BE3">
            <w:pPr>
              <w:jc w:val="center"/>
              <w:rPr>
                <w:szCs w:val="24"/>
              </w:rPr>
            </w:pPr>
            <w:r w:rsidRPr="000A5B5D">
              <w:rPr>
                <w:szCs w:val="24"/>
              </w:rPr>
              <w:t>190,499.01</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实际担保总额（即</w:t>
            </w:r>
            <w:r w:rsidRPr="000A5B5D">
              <w:rPr>
                <w:szCs w:val="24"/>
              </w:rPr>
              <w:t>A4+B4+C4</w:t>
            </w:r>
            <w:r w:rsidRPr="000A5B5D">
              <w:rPr>
                <w:rFonts w:hint="eastAsia"/>
                <w:szCs w:val="24"/>
              </w:rPr>
              <w:t>）占公司净资产的比例</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CE665B" w:rsidP="00C5314C">
            <w:pPr>
              <w:jc w:val="center"/>
              <w:rPr>
                <w:szCs w:val="24"/>
              </w:rPr>
            </w:pPr>
            <w:r w:rsidRPr="000A5B5D">
              <w:rPr>
                <w:szCs w:val="24"/>
              </w:rPr>
              <w:t>30.47%</w:t>
            </w:r>
          </w:p>
        </w:tc>
      </w:tr>
      <w:tr w:rsidR="00131787" w:rsidRPr="000A5B5D" w:rsidTr="00C130E9">
        <w:tc>
          <w:tcPr>
            <w:tcW w:w="9666"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其中：</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为股东、实际控制人及其关联方提供担保的金额（</w:t>
            </w:r>
            <w:r w:rsidRPr="000A5B5D">
              <w:rPr>
                <w:szCs w:val="24"/>
              </w:rPr>
              <w:t>D</w:t>
            </w:r>
            <w:r w:rsidRPr="000A5B5D">
              <w:rPr>
                <w:rFonts w:hint="eastAsia"/>
                <w:szCs w:val="24"/>
              </w:rPr>
              <w:t>）</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F20FF6">
            <w:pPr>
              <w:jc w:val="center"/>
              <w:rPr>
                <w:szCs w:val="24"/>
              </w:rPr>
            </w:pPr>
            <w:r w:rsidRPr="000A5B5D">
              <w:rPr>
                <w:szCs w:val="24"/>
              </w:rPr>
              <w:t>75,516.3</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直接或间接为资产负债率超过</w:t>
            </w:r>
            <w:r w:rsidRPr="000A5B5D">
              <w:rPr>
                <w:szCs w:val="24"/>
              </w:rPr>
              <w:t>70%</w:t>
            </w:r>
            <w:r w:rsidRPr="000A5B5D">
              <w:rPr>
                <w:rFonts w:hint="eastAsia"/>
                <w:szCs w:val="24"/>
              </w:rPr>
              <w:t>的被担保对象提供的债务担保金额（</w:t>
            </w:r>
            <w:r w:rsidRPr="000A5B5D">
              <w:rPr>
                <w:szCs w:val="24"/>
              </w:rPr>
              <w:t>E</w:t>
            </w:r>
            <w:r w:rsidRPr="000A5B5D">
              <w:rPr>
                <w:rFonts w:hint="eastAsia"/>
                <w:szCs w:val="24"/>
              </w:rPr>
              <w:t>）</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B06B84" w:rsidP="00F20FF6">
            <w:pPr>
              <w:jc w:val="center"/>
              <w:rPr>
                <w:szCs w:val="24"/>
              </w:rPr>
            </w:pPr>
            <w:r w:rsidRPr="000A5B5D">
              <w:rPr>
                <w:szCs w:val="24"/>
              </w:rPr>
              <w:t>51,051.30</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担保总额超过净资产</w:t>
            </w:r>
            <w:r w:rsidRPr="000A5B5D">
              <w:rPr>
                <w:szCs w:val="24"/>
              </w:rPr>
              <w:t>50%</w:t>
            </w:r>
            <w:r w:rsidRPr="000A5B5D">
              <w:rPr>
                <w:rFonts w:hint="eastAsia"/>
                <w:szCs w:val="24"/>
              </w:rPr>
              <w:t>部分的金额（</w:t>
            </w:r>
            <w:r w:rsidRPr="000A5B5D">
              <w:rPr>
                <w:szCs w:val="24"/>
              </w:rPr>
              <w:t>F</w:t>
            </w:r>
            <w:r w:rsidRPr="000A5B5D">
              <w:rPr>
                <w:rFonts w:hint="eastAsia"/>
                <w:szCs w:val="24"/>
              </w:rPr>
              <w:t>）</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F20FF6">
            <w:pPr>
              <w:jc w:val="center"/>
              <w:rPr>
                <w:szCs w:val="24"/>
              </w:rPr>
            </w:pPr>
            <w:r w:rsidRPr="000A5B5D">
              <w:rPr>
                <w:szCs w:val="24"/>
              </w:rPr>
              <w:t>0</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上述三项担保金额合计（</w:t>
            </w:r>
            <w:r w:rsidRPr="000A5B5D">
              <w:rPr>
                <w:szCs w:val="24"/>
              </w:rPr>
              <w:t>D+E+F</w:t>
            </w:r>
            <w:r w:rsidRPr="000A5B5D">
              <w:rPr>
                <w:rFonts w:hint="eastAsia"/>
                <w:szCs w:val="24"/>
              </w:rPr>
              <w:t>）</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B06B84" w:rsidP="00F20FF6">
            <w:pPr>
              <w:jc w:val="center"/>
              <w:rPr>
                <w:szCs w:val="24"/>
              </w:rPr>
            </w:pPr>
            <w:r w:rsidRPr="000A5B5D">
              <w:rPr>
                <w:szCs w:val="24"/>
              </w:rPr>
              <w:t>114,766.87</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对未到期担保，报告期内已发生担保责任或可能承担连带清偿责任的情况说明（如有）</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F20FF6">
            <w:pPr>
              <w:jc w:val="center"/>
              <w:rPr>
                <w:szCs w:val="24"/>
              </w:rPr>
            </w:pPr>
            <w:r w:rsidRPr="000A5B5D">
              <w:rPr>
                <w:rFonts w:hint="eastAsia"/>
                <w:szCs w:val="24"/>
              </w:rPr>
              <w:t>无</w:t>
            </w:r>
          </w:p>
        </w:tc>
      </w:tr>
      <w:tr w:rsidR="00131787" w:rsidRPr="000A5B5D" w:rsidTr="00C130E9">
        <w:tc>
          <w:tcPr>
            <w:tcW w:w="482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31787" w:rsidRPr="000A5B5D" w:rsidRDefault="00131787" w:rsidP="00131787">
            <w:pPr>
              <w:jc w:val="left"/>
              <w:rPr>
                <w:szCs w:val="24"/>
              </w:rPr>
            </w:pPr>
            <w:r w:rsidRPr="000A5B5D">
              <w:rPr>
                <w:rFonts w:hint="eastAsia"/>
                <w:szCs w:val="24"/>
              </w:rPr>
              <w:t>违反规定程序对外提供担保的说明（如有）</w:t>
            </w:r>
          </w:p>
        </w:tc>
        <w:tc>
          <w:tcPr>
            <w:tcW w:w="48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31787" w:rsidRPr="000A5B5D" w:rsidRDefault="00131787" w:rsidP="00F20FF6">
            <w:pPr>
              <w:jc w:val="center"/>
              <w:rPr>
                <w:szCs w:val="24"/>
              </w:rPr>
            </w:pPr>
            <w:r w:rsidRPr="000A5B5D">
              <w:rPr>
                <w:rFonts w:hint="eastAsia"/>
                <w:szCs w:val="24"/>
              </w:rPr>
              <w:t>无</w:t>
            </w:r>
          </w:p>
        </w:tc>
      </w:tr>
    </w:tbl>
    <w:p w:rsidR="00BC4D56" w:rsidRPr="000A5B5D" w:rsidRDefault="00BC4D56" w:rsidP="00C130E9">
      <w:pPr>
        <w:spacing w:line="360" w:lineRule="auto"/>
        <w:jc w:val="left"/>
        <w:rPr>
          <w:sz w:val="24"/>
          <w:szCs w:val="24"/>
        </w:rPr>
      </w:pPr>
      <w:r w:rsidRPr="000A5B5D">
        <w:rPr>
          <w:rFonts w:hint="eastAsia"/>
          <w:sz w:val="24"/>
          <w:szCs w:val="24"/>
        </w:rPr>
        <w:t>采用复合方式担保的具体情况说明</w:t>
      </w:r>
    </w:p>
    <w:p w:rsidR="00BC4D56" w:rsidRPr="000A5B5D" w:rsidRDefault="00BC4D56" w:rsidP="00C130E9">
      <w:pPr>
        <w:spacing w:line="360" w:lineRule="auto"/>
        <w:jc w:val="left"/>
        <w:rPr>
          <w:sz w:val="24"/>
          <w:szCs w:val="24"/>
        </w:rPr>
      </w:pPr>
      <w:r w:rsidRPr="000A5B5D">
        <w:rPr>
          <w:rFonts w:hint="eastAsia"/>
          <w:sz w:val="24"/>
          <w:szCs w:val="24"/>
        </w:rPr>
        <w:t>不适用</w:t>
      </w:r>
    </w:p>
    <w:p w:rsidR="00BC4D56" w:rsidRPr="000A5B5D" w:rsidRDefault="00BC4D56" w:rsidP="00C130E9">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）违规对外担保情况</w:t>
      </w:r>
    </w:p>
    <w:p w:rsidR="00BC4D56" w:rsidRPr="000A5B5D" w:rsidRDefault="00BC4D56" w:rsidP="00C130E9">
      <w:pPr>
        <w:spacing w:line="360" w:lineRule="auto"/>
        <w:ind w:firstLineChars="200" w:firstLine="480"/>
        <w:jc w:val="left"/>
        <w:rPr>
          <w:sz w:val="24"/>
          <w:szCs w:val="24"/>
        </w:rPr>
      </w:pPr>
      <w:r w:rsidRPr="000A5B5D">
        <w:rPr>
          <w:rFonts w:hint="eastAsia"/>
          <w:sz w:val="24"/>
          <w:szCs w:val="24"/>
        </w:rPr>
        <w:t>公司报告期无违规对外担保情况。</w:t>
      </w:r>
    </w:p>
    <w:p w:rsidR="00BC4D56" w:rsidRPr="000A5B5D" w:rsidRDefault="00BC4D56" w:rsidP="00C130E9">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、委托他人进行现金资产管理情况</w:t>
      </w:r>
    </w:p>
    <w:p w:rsidR="00BC4D56" w:rsidRPr="000A5B5D" w:rsidRDefault="00BC4D56" w:rsidP="00C130E9">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1</w:t>
      </w:r>
      <w:r w:rsidRPr="000A5B5D">
        <w:rPr>
          <w:rFonts w:hint="eastAsia"/>
          <w:bCs w:val="0"/>
          <w:sz w:val="24"/>
          <w:szCs w:val="24"/>
        </w:rPr>
        <w:t>）委托理财情况</w:t>
      </w:r>
    </w:p>
    <w:p w:rsidR="00BC4D56" w:rsidRPr="000A5B5D" w:rsidRDefault="00C130E9" w:rsidP="00C130E9">
      <w:pPr>
        <w:spacing w:line="360" w:lineRule="auto"/>
        <w:jc w:val="left"/>
        <w:rPr>
          <w:sz w:val="24"/>
          <w:szCs w:val="24"/>
        </w:rPr>
      </w:pPr>
      <w:r w:rsidRPr="000A5B5D">
        <w:rPr>
          <w:sz w:val="24"/>
          <w:szCs w:val="24"/>
        </w:rPr>
        <w:t xml:space="preserve">    </w:t>
      </w:r>
      <w:r w:rsidR="00BC4D56" w:rsidRPr="000A5B5D">
        <w:rPr>
          <w:rFonts w:hint="eastAsia"/>
          <w:sz w:val="24"/>
          <w:szCs w:val="24"/>
        </w:rPr>
        <w:t>公司报告期不存在委托理财。</w:t>
      </w:r>
    </w:p>
    <w:p w:rsidR="00BC4D56" w:rsidRPr="000A5B5D" w:rsidRDefault="00BC4D56" w:rsidP="00C130E9">
      <w:pPr>
        <w:pStyle w:val="Section"/>
        <w:spacing w:line="360" w:lineRule="auto"/>
        <w:outlineLvl w:val="3"/>
        <w:rPr>
          <w:bCs w:val="0"/>
          <w:sz w:val="24"/>
          <w:szCs w:val="24"/>
        </w:rPr>
      </w:pPr>
      <w:r w:rsidRPr="000A5B5D">
        <w:rPr>
          <w:rFonts w:hint="eastAsia"/>
          <w:bCs w:val="0"/>
          <w:sz w:val="24"/>
          <w:szCs w:val="24"/>
        </w:rPr>
        <w:t>（</w:t>
      </w:r>
      <w:r w:rsidRPr="000A5B5D">
        <w:rPr>
          <w:bCs w:val="0"/>
          <w:sz w:val="24"/>
          <w:szCs w:val="24"/>
        </w:rPr>
        <w:t>2</w:t>
      </w:r>
      <w:r w:rsidRPr="000A5B5D">
        <w:rPr>
          <w:rFonts w:hint="eastAsia"/>
          <w:bCs w:val="0"/>
          <w:sz w:val="24"/>
          <w:szCs w:val="24"/>
        </w:rPr>
        <w:t>）委托贷款情况</w:t>
      </w:r>
    </w:p>
    <w:p w:rsidR="00BC4D56" w:rsidRPr="000A5B5D" w:rsidRDefault="00BC4D56" w:rsidP="00C130E9">
      <w:pPr>
        <w:spacing w:line="360" w:lineRule="auto"/>
        <w:ind w:firstLineChars="200" w:firstLine="480"/>
        <w:jc w:val="left"/>
        <w:rPr>
          <w:sz w:val="24"/>
          <w:szCs w:val="24"/>
        </w:rPr>
      </w:pPr>
      <w:r w:rsidRPr="000A5B5D">
        <w:rPr>
          <w:rFonts w:hint="eastAsia"/>
          <w:sz w:val="24"/>
          <w:szCs w:val="24"/>
        </w:rPr>
        <w:t>公司报告期不存在委托贷款。</w:t>
      </w:r>
    </w:p>
    <w:p w:rsidR="00BC4D56" w:rsidRPr="000A5B5D" w:rsidRDefault="00BC4D56" w:rsidP="00C130E9">
      <w:pPr>
        <w:pStyle w:val="Section"/>
        <w:spacing w:line="360" w:lineRule="auto"/>
        <w:outlineLvl w:val="2"/>
        <w:rPr>
          <w:bCs w:val="0"/>
          <w:sz w:val="24"/>
          <w:szCs w:val="24"/>
        </w:rPr>
      </w:pPr>
      <w:r w:rsidRPr="000A5B5D">
        <w:rPr>
          <w:bCs w:val="0"/>
          <w:sz w:val="24"/>
          <w:szCs w:val="24"/>
        </w:rPr>
        <w:t>4</w:t>
      </w:r>
      <w:r w:rsidRPr="000A5B5D">
        <w:rPr>
          <w:rFonts w:hint="eastAsia"/>
          <w:bCs w:val="0"/>
          <w:sz w:val="24"/>
          <w:szCs w:val="24"/>
        </w:rPr>
        <w:t>、其他重大合同</w:t>
      </w:r>
    </w:p>
    <w:p w:rsidR="00BC4D56" w:rsidRPr="000A5B5D" w:rsidRDefault="00BC4D56" w:rsidP="00C130E9">
      <w:pPr>
        <w:spacing w:line="360" w:lineRule="auto"/>
        <w:ind w:firstLineChars="200" w:firstLine="480"/>
        <w:jc w:val="left"/>
        <w:rPr>
          <w:sz w:val="24"/>
          <w:szCs w:val="24"/>
        </w:rPr>
      </w:pPr>
      <w:r w:rsidRPr="000A5B5D">
        <w:rPr>
          <w:rFonts w:hint="eastAsia"/>
          <w:sz w:val="24"/>
          <w:szCs w:val="24"/>
        </w:rPr>
        <w:t>公司报告期不存在其他重大合同。</w:t>
      </w:r>
    </w:p>
    <w:p w:rsidR="00BC4D56" w:rsidRPr="000A5B5D" w:rsidRDefault="00BC4D56" w:rsidP="00C130E9">
      <w:pPr>
        <w:pStyle w:val="Chapter"/>
        <w:spacing w:line="360" w:lineRule="auto"/>
        <w:outlineLvl w:val="1"/>
        <w:rPr>
          <w:bCs w:val="0"/>
        </w:rPr>
      </w:pPr>
      <w:r w:rsidRPr="000A5B5D">
        <w:rPr>
          <w:rFonts w:hint="eastAsia"/>
          <w:bCs w:val="0"/>
        </w:rPr>
        <w:lastRenderedPageBreak/>
        <w:t>十八、其他重大事项的说明</w:t>
      </w:r>
    </w:p>
    <w:p w:rsidR="00BC4D56" w:rsidRPr="000A5B5D" w:rsidRDefault="00BC4D56" w:rsidP="00C130E9">
      <w:pPr>
        <w:autoSpaceDE w:val="0"/>
        <w:autoSpaceDN w:val="0"/>
        <w:adjustRightInd w:val="0"/>
        <w:spacing w:before="0" w:after="0" w:line="360" w:lineRule="auto"/>
        <w:ind w:firstLine="480"/>
        <w:jc w:val="left"/>
        <w:rPr>
          <w:rFonts w:eastAsia="Times New Roman"/>
          <w:b/>
          <w:kern w:val="0"/>
          <w:sz w:val="24"/>
          <w:szCs w:val="24"/>
          <w:lang w:val="zh-CN"/>
        </w:rPr>
      </w:pPr>
      <w:r w:rsidRPr="000A5B5D">
        <w:rPr>
          <w:rFonts w:eastAsia="Times New Roman"/>
          <w:b/>
          <w:kern w:val="0"/>
          <w:sz w:val="24"/>
          <w:szCs w:val="24"/>
          <w:lang w:val="zh-CN"/>
        </w:rPr>
        <w:t>1</w:t>
      </w:r>
      <w:r w:rsidRPr="000A5B5D">
        <w:rPr>
          <w:rFonts w:ascii="宋体" w:hAnsi="宋体" w:cs="宋体" w:hint="eastAsia"/>
          <w:b/>
          <w:kern w:val="0"/>
          <w:sz w:val="24"/>
          <w:szCs w:val="24"/>
          <w:lang w:val="zh-CN"/>
        </w:rPr>
        <w:t>、公司</w:t>
      </w:r>
      <w:r w:rsidRPr="000A5B5D">
        <w:rPr>
          <w:rFonts w:eastAsia="Times New Roman"/>
          <w:b/>
          <w:kern w:val="0"/>
          <w:sz w:val="24"/>
          <w:szCs w:val="24"/>
          <w:lang w:val="zh-CN"/>
        </w:rPr>
        <w:t>2014</w:t>
      </w:r>
      <w:r w:rsidRPr="000A5B5D">
        <w:rPr>
          <w:rFonts w:ascii="宋体" w:hAnsi="宋体" w:cs="宋体" w:hint="eastAsia"/>
          <w:b/>
          <w:kern w:val="0"/>
          <w:sz w:val="24"/>
          <w:szCs w:val="24"/>
          <w:lang w:val="zh-CN"/>
        </w:rPr>
        <w:t>年度非公开发行股票项目进展</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1</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w:t>
      </w:r>
      <w:r w:rsidRPr="000A5B5D">
        <w:rPr>
          <w:rFonts w:eastAsia="Times New Roman"/>
          <w:kern w:val="0"/>
          <w:sz w:val="24"/>
          <w:szCs w:val="24"/>
          <w:lang w:val="zh-CN"/>
        </w:rPr>
        <w:t>15</w:t>
      </w:r>
      <w:r w:rsidRPr="000A5B5D">
        <w:rPr>
          <w:rFonts w:ascii="宋体" w:hAnsi="宋体" w:cs="宋体" w:hint="eastAsia"/>
          <w:kern w:val="0"/>
          <w:sz w:val="24"/>
          <w:szCs w:val="24"/>
          <w:lang w:val="zh-CN"/>
        </w:rPr>
        <w:t>日，公司发布</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年度非公开发行股票申请文件反馈意见有关问题补充披露的内容，详见公司于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w:t>
      </w:r>
      <w:r w:rsidRPr="000A5B5D">
        <w:rPr>
          <w:rFonts w:eastAsia="Times New Roman"/>
          <w:kern w:val="0"/>
          <w:sz w:val="24"/>
          <w:szCs w:val="24"/>
          <w:lang w:val="zh-CN"/>
        </w:rPr>
        <w:t>23</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关于公司非公开发行股票申请文件反馈意见有关问题补充披露内容的公告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2015-035</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2</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8</w:t>
      </w:r>
      <w:r w:rsidRPr="000A5B5D">
        <w:rPr>
          <w:rFonts w:ascii="宋体" w:hAnsi="宋体" w:cs="宋体" w:hint="eastAsia"/>
          <w:kern w:val="0"/>
          <w:sz w:val="24"/>
          <w:szCs w:val="24"/>
          <w:lang w:val="zh-CN"/>
        </w:rPr>
        <w:t>月</w:t>
      </w:r>
      <w:r w:rsidRPr="000A5B5D">
        <w:rPr>
          <w:rFonts w:eastAsia="Times New Roman"/>
          <w:kern w:val="0"/>
          <w:sz w:val="24"/>
          <w:szCs w:val="24"/>
          <w:lang w:val="zh-CN"/>
        </w:rPr>
        <w:t>12</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年度非公开发行股票申请获得无条件通过，详见公司于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8</w:t>
      </w:r>
      <w:r w:rsidRPr="000A5B5D">
        <w:rPr>
          <w:rFonts w:ascii="宋体" w:hAnsi="宋体" w:cs="宋体" w:hint="eastAsia"/>
          <w:kern w:val="0"/>
          <w:sz w:val="24"/>
          <w:szCs w:val="24"/>
          <w:lang w:val="zh-CN"/>
        </w:rPr>
        <w:t>月</w:t>
      </w:r>
      <w:r w:rsidRPr="000A5B5D">
        <w:rPr>
          <w:rFonts w:eastAsia="Times New Roman"/>
          <w:kern w:val="0"/>
          <w:sz w:val="24"/>
          <w:szCs w:val="24"/>
          <w:lang w:val="zh-CN"/>
        </w:rPr>
        <w:t>13</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w:t>
      </w:r>
      <w:r w:rsidRPr="000A5B5D">
        <w:rPr>
          <w:rFonts w:eastAsia="Times New Roman"/>
          <w:kern w:val="0"/>
          <w:sz w:val="24"/>
          <w:szCs w:val="24"/>
          <w:lang w:val="zh-CN"/>
        </w:rPr>
        <w:t>A</w:t>
      </w:r>
      <w:r w:rsidRPr="000A5B5D">
        <w:rPr>
          <w:rFonts w:ascii="宋体" w:hAnsi="宋体" w:cs="宋体" w:hint="eastAsia"/>
          <w:kern w:val="0"/>
          <w:sz w:val="24"/>
          <w:szCs w:val="24"/>
          <w:lang w:val="zh-CN"/>
        </w:rPr>
        <w:t>股股票获得中国证监会发审委无条件审核通过的公告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2015-051</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3</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11</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年度非公开发行股票方案获得证监会核准批复，详见公司于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12</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w:t>
      </w:r>
      <w:r w:rsidRPr="000A5B5D">
        <w:rPr>
          <w:rFonts w:eastAsia="Times New Roman"/>
          <w:kern w:val="0"/>
          <w:sz w:val="24"/>
          <w:szCs w:val="24"/>
          <w:lang w:val="zh-CN"/>
        </w:rPr>
        <w:t>A</w:t>
      </w:r>
      <w:r w:rsidRPr="000A5B5D">
        <w:rPr>
          <w:rFonts w:ascii="宋体" w:hAnsi="宋体" w:cs="宋体" w:hint="eastAsia"/>
          <w:kern w:val="0"/>
          <w:sz w:val="24"/>
          <w:szCs w:val="24"/>
          <w:lang w:val="zh-CN"/>
        </w:rPr>
        <w:t>股股票获得中国证监会核准批复的公告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2015-062</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4</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24</w:t>
      </w:r>
      <w:r w:rsidRPr="000A5B5D">
        <w:rPr>
          <w:rFonts w:ascii="宋体" w:hAnsi="宋体" w:cs="宋体" w:hint="eastAsia"/>
          <w:kern w:val="0"/>
          <w:sz w:val="24"/>
          <w:szCs w:val="24"/>
          <w:lang w:val="zh-CN"/>
        </w:rPr>
        <w:t>日，经</w:t>
      </w:r>
      <w:r w:rsidRPr="000A5B5D">
        <w:rPr>
          <w:rFonts w:eastAsia="Times New Roman"/>
          <w:kern w:val="0"/>
          <w:sz w:val="24"/>
          <w:szCs w:val="24"/>
          <w:lang w:val="zh-CN"/>
        </w:rPr>
        <w:t>2015</w:t>
      </w:r>
      <w:r w:rsidRPr="000A5B5D">
        <w:rPr>
          <w:rFonts w:ascii="宋体" w:hAnsi="宋体" w:cs="宋体" w:hint="eastAsia"/>
          <w:kern w:val="0"/>
          <w:sz w:val="24"/>
          <w:szCs w:val="24"/>
          <w:lang w:val="zh-CN"/>
        </w:rPr>
        <w:t>年第六次临时股东大会审议通过</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年度非公开发行股票相关事项，详见公司于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25</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“2015</w:t>
      </w:r>
      <w:r w:rsidRPr="000A5B5D">
        <w:rPr>
          <w:rFonts w:ascii="宋体" w:hAnsi="宋体" w:cs="宋体" w:hint="eastAsia"/>
          <w:kern w:val="0"/>
          <w:sz w:val="24"/>
          <w:szCs w:val="24"/>
          <w:lang w:val="zh-CN"/>
        </w:rPr>
        <w:t>年第六次临时股东大会决议公告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2015-066</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5</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10</w:t>
      </w:r>
      <w:r w:rsidRPr="000A5B5D">
        <w:rPr>
          <w:rFonts w:ascii="宋体" w:hAnsi="宋体" w:cs="宋体" w:hint="eastAsia"/>
          <w:kern w:val="0"/>
          <w:sz w:val="24"/>
          <w:szCs w:val="24"/>
          <w:lang w:val="zh-CN"/>
        </w:rPr>
        <w:t>月</w:t>
      </w:r>
      <w:r w:rsidRPr="000A5B5D">
        <w:rPr>
          <w:rFonts w:eastAsia="Times New Roman"/>
          <w:kern w:val="0"/>
          <w:sz w:val="24"/>
          <w:szCs w:val="24"/>
          <w:lang w:val="zh-CN"/>
        </w:rPr>
        <w:t>12</w:t>
      </w:r>
      <w:r w:rsidRPr="000A5B5D">
        <w:rPr>
          <w:rFonts w:ascii="宋体" w:hAnsi="宋体" w:cs="宋体" w:hint="eastAsia"/>
          <w:kern w:val="0"/>
          <w:sz w:val="24"/>
          <w:szCs w:val="24"/>
          <w:lang w:val="zh-CN"/>
        </w:rPr>
        <w:t>日，公司以非公开发行股票的方式向恒逸投资发行</w:t>
      </w:r>
      <w:r w:rsidRPr="000A5B5D">
        <w:rPr>
          <w:rFonts w:eastAsia="Times New Roman"/>
          <w:kern w:val="0"/>
          <w:sz w:val="24"/>
          <w:szCs w:val="24"/>
          <w:lang w:val="zh-CN"/>
        </w:rPr>
        <w:t>140,845,070</w:t>
      </w:r>
      <w:r w:rsidRPr="000A5B5D">
        <w:rPr>
          <w:rFonts w:ascii="宋体" w:hAnsi="宋体" w:cs="宋体" w:hint="eastAsia"/>
          <w:kern w:val="0"/>
          <w:sz w:val="24"/>
          <w:szCs w:val="24"/>
          <w:lang w:val="zh-CN"/>
        </w:rPr>
        <w:t>股人民币普通股（</w:t>
      </w:r>
      <w:r w:rsidRPr="000A5B5D">
        <w:rPr>
          <w:rFonts w:eastAsia="Times New Roman"/>
          <w:kern w:val="0"/>
          <w:sz w:val="24"/>
          <w:szCs w:val="24"/>
          <w:lang w:val="zh-CN"/>
        </w:rPr>
        <w:t>A</w:t>
      </w:r>
      <w:r w:rsidRPr="000A5B5D">
        <w:rPr>
          <w:rFonts w:ascii="宋体" w:hAnsi="宋体" w:cs="宋体" w:hint="eastAsia"/>
          <w:kern w:val="0"/>
          <w:sz w:val="24"/>
          <w:szCs w:val="24"/>
          <w:lang w:val="zh-CN"/>
        </w:rPr>
        <w:t>股）。根据会计师于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10</w:t>
      </w:r>
      <w:r w:rsidRPr="000A5B5D">
        <w:rPr>
          <w:rFonts w:ascii="宋体" w:hAnsi="宋体" w:cs="宋体" w:hint="eastAsia"/>
          <w:kern w:val="0"/>
          <w:sz w:val="24"/>
          <w:szCs w:val="24"/>
          <w:lang w:val="zh-CN"/>
        </w:rPr>
        <w:t>月</w:t>
      </w:r>
      <w:r w:rsidRPr="000A5B5D">
        <w:rPr>
          <w:rFonts w:eastAsia="Times New Roman"/>
          <w:kern w:val="0"/>
          <w:sz w:val="24"/>
          <w:szCs w:val="24"/>
          <w:lang w:val="zh-CN"/>
        </w:rPr>
        <w:t>13</w:t>
      </w:r>
      <w:r w:rsidRPr="000A5B5D">
        <w:rPr>
          <w:rFonts w:ascii="宋体" w:hAnsi="宋体" w:cs="宋体" w:hint="eastAsia"/>
          <w:kern w:val="0"/>
          <w:sz w:val="24"/>
          <w:szCs w:val="24"/>
          <w:lang w:val="zh-CN"/>
        </w:rPr>
        <w:t>日出具的《验资报告》（瑞华验字</w:t>
      </w:r>
      <w:r w:rsidRPr="000A5B5D">
        <w:rPr>
          <w:rFonts w:eastAsia="Times New Roman"/>
          <w:kern w:val="0"/>
          <w:sz w:val="24"/>
          <w:szCs w:val="24"/>
          <w:lang w:val="zh-CN"/>
        </w:rPr>
        <w:t>[2015]01970013</w:t>
      </w:r>
      <w:r w:rsidRPr="000A5B5D">
        <w:rPr>
          <w:rFonts w:ascii="宋体" w:hAnsi="宋体" w:cs="宋体" w:hint="eastAsia"/>
          <w:kern w:val="0"/>
          <w:sz w:val="24"/>
          <w:szCs w:val="24"/>
          <w:lang w:val="zh-CN"/>
        </w:rPr>
        <w:t>号），截至</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10</w:t>
      </w:r>
      <w:r w:rsidRPr="000A5B5D">
        <w:rPr>
          <w:rFonts w:ascii="宋体" w:hAnsi="宋体" w:cs="宋体" w:hint="eastAsia"/>
          <w:kern w:val="0"/>
          <w:sz w:val="24"/>
          <w:szCs w:val="24"/>
          <w:lang w:val="zh-CN"/>
        </w:rPr>
        <w:t>月</w:t>
      </w:r>
      <w:r w:rsidRPr="000A5B5D">
        <w:rPr>
          <w:rFonts w:eastAsia="Times New Roman"/>
          <w:kern w:val="0"/>
          <w:sz w:val="24"/>
          <w:szCs w:val="24"/>
          <w:lang w:val="zh-CN"/>
        </w:rPr>
        <w:t>13</w:t>
      </w:r>
      <w:r w:rsidRPr="000A5B5D">
        <w:rPr>
          <w:rFonts w:ascii="宋体" w:hAnsi="宋体" w:cs="宋体" w:hint="eastAsia"/>
          <w:kern w:val="0"/>
          <w:sz w:val="24"/>
          <w:szCs w:val="24"/>
          <w:lang w:val="zh-CN"/>
        </w:rPr>
        <w:t>日止，本次发行募集资金总额为</w:t>
      </w:r>
      <w:r w:rsidRPr="000A5B5D">
        <w:rPr>
          <w:rFonts w:eastAsia="Times New Roman"/>
          <w:kern w:val="0"/>
          <w:sz w:val="24"/>
          <w:szCs w:val="24"/>
          <w:lang w:val="zh-CN"/>
        </w:rPr>
        <w:t>999,999,997.00</w:t>
      </w:r>
      <w:r w:rsidRPr="000A5B5D">
        <w:rPr>
          <w:rFonts w:ascii="宋体" w:hAnsi="宋体" w:cs="宋体" w:hint="eastAsia"/>
          <w:kern w:val="0"/>
          <w:sz w:val="24"/>
          <w:szCs w:val="24"/>
          <w:lang w:val="zh-CN"/>
        </w:rPr>
        <w:t>元，扣除发行费用</w:t>
      </w:r>
      <w:r w:rsidRPr="000A5B5D">
        <w:rPr>
          <w:rFonts w:eastAsia="Times New Roman"/>
          <w:kern w:val="0"/>
          <w:sz w:val="24"/>
          <w:szCs w:val="24"/>
          <w:lang w:val="zh-CN"/>
        </w:rPr>
        <w:t>4,620,845.07</w:t>
      </w:r>
      <w:r w:rsidRPr="000A5B5D">
        <w:rPr>
          <w:rFonts w:ascii="宋体" w:hAnsi="宋体" w:cs="宋体" w:hint="eastAsia"/>
          <w:kern w:val="0"/>
          <w:sz w:val="24"/>
          <w:szCs w:val="24"/>
          <w:lang w:val="zh-CN"/>
        </w:rPr>
        <w:t>元后，募集资金净额为</w:t>
      </w:r>
      <w:r w:rsidRPr="000A5B5D">
        <w:rPr>
          <w:rFonts w:eastAsia="Times New Roman"/>
          <w:kern w:val="0"/>
          <w:sz w:val="24"/>
          <w:szCs w:val="24"/>
          <w:lang w:val="zh-CN"/>
        </w:rPr>
        <w:t>995,379,151.93</w:t>
      </w:r>
      <w:r w:rsidRPr="000A5B5D">
        <w:rPr>
          <w:rFonts w:ascii="宋体" w:hAnsi="宋体" w:cs="宋体" w:hint="eastAsia"/>
          <w:kern w:val="0"/>
          <w:sz w:val="24"/>
          <w:szCs w:val="24"/>
          <w:lang w:val="zh-CN"/>
        </w:rPr>
        <w:t>元，其中：新增注册资本（股本）人民币</w:t>
      </w:r>
      <w:r w:rsidRPr="000A5B5D">
        <w:rPr>
          <w:rFonts w:eastAsia="Times New Roman"/>
          <w:kern w:val="0"/>
          <w:sz w:val="24"/>
          <w:szCs w:val="24"/>
          <w:lang w:val="zh-CN"/>
        </w:rPr>
        <w:t>140,845,070.00</w:t>
      </w:r>
      <w:r w:rsidRPr="000A5B5D">
        <w:rPr>
          <w:rFonts w:ascii="宋体" w:hAnsi="宋体" w:cs="宋体" w:hint="eastAsia"/>
          <w:kern w:val="0"/>
          <w:sz w:val="24"/>
          <w:szCs w:val="24"/>
          <w:lang w:val="zh-CN"/>
        </w:rPr>
        <w:t>元，新增资本公积人民币</w:t>
      </w:r>
      <w:r w:rsidRPr="000A5B5D">
        <w:rPr>
          <w:rFonts w:eastAsia="Times New Roman"/>
          <w:kern w:val="0"/>
          <w:sz w:val="24"/>
          <w:szCs w:val="24"/>
          <w:lang w:val="zh-CN"/>
        </w:rPr>
        <w:t>854,534,081.93</w:t>
      </w:r>
      <w:r w:rsidRPr="000A5B5D">
        <w:rPr>
          <w:rFonts w:ascii="宋体" w:hAnsi="宋体" w:cs="宋体" w:hint="eastAsia"/>
          <w:kern w:val="0"/>
          <w:sz w:val="24"/>
          <w:szCs w:val="24"/>
          <w:lang w:val="zh-CN"/>
        </w:rPr>
        <w:t>元。详见公司于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10</w:t>
      </w:r>
      <w:r w:rsidRPr="000A5B5D">
        <w:rPr>
          <w:rFonts w:ascii="宋体" w:hAnsi="宋体" w:cs="宋体" w:hint="eastAsia"/>
          <w:kern w:val="0"/>
          <w:sz w:val="24"/>
          <w:szCs w:val="24"/>
          <w:lang w:val="zh-CN"/>
        </w:rPr>
        <w:t>月</w:t>
      </w:r>
      <w:r w:rsidRPr="000A5B5D">
        <w:rPr>
          <w:rFonts w:eastAsia="Times New Roman"/>
          <w:kern w:val="0"/>
          <w:sz w:val="24"/>
          <w:szCs w:val="24"/>
          <w:lang w:val="zh-CN"/>
        </w:rPr>
        <w:t>20</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关于签订募集资金三方监管协议的公告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2015-067</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6</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11</w:t>
      </w:r>
      <w:r w:rsidRPr="000A5B5D">
        <w:rPr>
          <w:rFonts w:ascii="宋体" w:hAnsi="宋体" w:cs="宋体" w:hint="eastAsia"/>
          <w:kern w:val="0"/>
          <w:sz w:val="24"/>
          <w:szCs w:val="24"/>
          <w:lang w:val="zh-CN"/>
        </w:rPr>
        <w:t>月</w:t>
      </w:r>
      <w:r w:rsidRPr="000A5B5D">
        <w:rPr>
          <w:rFonts w:eastAsia="Times New Roman"/>
          <w:kern w:val="0"/>
          <w:sz w:val="24"/>
          <w:szCs w:val="24"/>
          <w:lang w:val="zh-CN"/>
        </w:rPr>
        <w:t>3</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年度非公开发行股票上市，详见公司于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11</w:t>
      </w:r>
      <w:r w:rsidRPr="000A5B5D">
        <w:rPr>
          <w:rFonts w:ascii="宋体" w:hAnsi="宋体" w:cs="宋体" w:hint="eastAsia"/>
          <w:kern w:val="0"/>
          <w:sz w:val="24"/>
          <w:szCs w:val="24"/>
          <w:lang w:val="zh-CN"/>
        </w:rPr>
        <w:t>月</w:t>
      </w:r>
      <w:r w:rsidRPr="000A5B5D">
        <w:rPr>
          <w:rFonts w:eastAsia="Times New Roman"/>
          <w:kern w:val="0"/>
          <w:sz w:val="24"/>
          <w:szCs w:val="24"/>
          <w:lang w:val="zh-CN"/>
        </w:rPr>
        <w:t>4</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关于非公开发行股票相关承诺的公告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2015-079</w:t>
      </w:r>
      <w:r w:rsidRPr="000A5B5D">
        <w:rPr>
          <w:rFonts w:ascii="宋体" w:hAnsi="宋体" w:cs="宋体" w:hint="eastAsia"/>
          <w:kern w:val="0"/>
          <w:sz w:val="24"/>
          <w:szCs w:val="24"/>
          <w:lang w:val="zh-CN"/>
        </w:rPr>
        <w:t>）。</w:t>
      </w:r>
    </w:p>
    <w:p w:rsidR="00BC4D56" w:rsidRPr="000A5B5D" w:rsidRDefault="00BC4D56" w:rsidP="00C130E9">
      <w:pPr>
        <w:autoSpaceDE w:val="0"/>
        <w:autoSpaceDN w:val="0"/>
        <w:adjustRightInd w:val="0"/>
        <w:spacing w:before="0" w:after="0" w:line="360" w:lineRule="auto"/>
        <w:ind w:firstLine="480"/>
        <w:jc w:val="left"/>
        <w:rPr>
          <w:rFonts w:eastAsia="Times New Roman"/>
          <w:b/>
          <w:kern w:val="0"/>
          <w:sz w:val="24"/>
          <w:szCs w:val="24"/>
          <w:lang w:val="zh-CN"/>
        </w:rPr>
      </w:pPr>
      <w:r w:rsidRPr="000A5B5D">
        <w:rPr>
          <w:rFonts w:eastAsia="Times New Roman"/>
          <w:b/>
          <w:kern w:val="0"/>
          <w:sz w:val="24"/>
          <w:szCs w:val="24"/>
          <w:lang w:val="zh-CN"/>
        </w:rPr>
        <w:t>2</w:t>
      </w:r>
      <w:r w:rsidRPr="000A5B5D">
        <w:rPr>
          <w:rFonts w:ascii="宋体" w:hAnsi="宋体" w:cs="宋体" w:hint="eastAsia"/>
          <w:b/>
          <w:kern w:val="0"/>
          <w:sz w:val="24"/>
          <w:szCs w:val="24"/>
          <w:lang w:val="zh-CN"/>
        </w:rPr>
        <w:t>、公司</w:t>
      </w:r>
      <w:r w:rsidRPr="000A5B5D">
        <w:rPr>
          <w:rFonts w:eastAsia="Times New Roman"/>
          <w:b/>
          <w:kern w:val="0"/>
          <w:sz w:val="24"/>
          <w:szCs w:val="24"/>
          <w:lang w:val="zh-CN"/>
        </w:rPr>
        <w:t>2015</w:t>
      </w:r>
      <w:r w:rsidRPr="000A5B5D">
        <w:rPr>
          <w:rFonts w:ascii="宋体" w:hAnsi="宋体" w:cs="宋体" w:hint="eastAsia"/>
          <w:b/>
          <w:kern w:val="0"/>
          <w:sz w:val="24"/>
          <w:szCs w:val="24"/>
          <w:lang w:val="zh-CN"/>
        </w:rPr>
        <w:t>年度非公开发行股票项目进展</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1</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日，公司非公开发行股票方案经公司第九届董事会第十八次会议审议通过，详见公司于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日在巨潮资讯网上的公告“第九届董事会第十八次会议决议公告”</w:t>
      </w: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（公告编号：</w:t>
      </w:r>
      <w:r w:rsidRPr="000A5B5D">
        <w:rPr>
          <w:rFonts w:ascii="宋体" w:hAnsi="宋体" w:cs="宋体"/>
          <w:kern w:val="0"/>
          <w:sz w:val="24"/>
          <w:szCs w:val="24"/>
          <w:lang w:val="zh-CN"/>
        </w:rPr>
        <w:t>2015-083</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26</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年第九次临时股东大会审议通过本次非公开发行股票方案，详见公司于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27</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年第九次临时股东大会决议公告”</w:t>
      </w: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（公告编号：</w:t>
      </w:r>
      <w:r w:rsidRPr="000A5B5D">
        <w:rPr>
          <w:rFonts w:ascii="宋体" w:hAnsi="宋体" w:cs="宋体"/>
          <w:kern w:val="0"/>
          <w:sz w:val="24"/>
          <w:szCs w:val="24"/>
          <w:lang w:val="zh-CN"/>
        </w:rPr>
        <w:t>2015-095</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lastRenderedPageBreak/>
        <w:t>（</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日，公司调整非公开发行股票方案经公司第九届董事会第十九次会议审议通过，详见公司于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5</w:t>
      </w:r>
      <w:r w:rsidRPr="000A5B5D">
        <w:rPr>
          <w:rFonts w:ascii="宋体" w:hAnsi="宋体" w:cs="宋体" w:hint="eastAsia"/>
          <w:kern w:val="0"/>
          <w:sz w:val="24"/>
          <w:szCs w:val="24"/>
          <w:lang w:val="zh-CN"/>
        </w:rPr>
        <w:t>日在巨潮资讯网上的公告“第九届董事会第十九次会议决议公告”（公告编号：</w:t>
      </w:r>
      <w:r w:rsidRPr="000A5B5D">
        <w:rPr>
          <w:rFonts w:ascii="宋体" w:hAnsi="宋体" w:cs="宋体"/>
          <w:kern w:val="0"/>
          <w:sz w:val="24"/>
          <w:szCs w:val="24"/>
          <w:lang w:val="zh-CN"/>
        </w:rPr>
        <w:t>2015-096</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21</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年第十次临时股东大会审议通过本次非公开发行股票调整方案，详见公司于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22</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年第十次临时股东大会决议公告”（公告编号：</w:t>
      </w:r>
      <w:r w:rsidRPr="000A5B5D">
        <w:rPr>
          <w:rFonts w:ascii="宋体" w:hAnsi="宋体" w:cs="宋体"/>
          <w:kern w:val="0"/>
          <w:sz w:val="24"/>
          <w:szCs w:val="24"/>
          <w:lang w:val="zh-CN"/>
        </w:rPr>
        <w:t>2015-100</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5</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13</w:t>
      </w:r>
      <w:r w:rsidRPr="000A5B5D">
        <w:rPr>
          <w:rFonts w:ascii="宋体" w:hAnsi="宋体" w:cs="宋体" w:hint="eastAsia"/>
          <w:kern w:val="0"/>
          <w:sz w:val="24"/>
          <w:szCs w:val="24"/>
          <w:lang w:val="zh-CN"/>
        </w:rPr>
        <w:t>日，公司本次非公开发行股票方案获得证监会的受理通知，详见公司于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14</w:t>
      </w:r>
      <w:r w:rsidRPr="000A5B5D">
        <w:rPr>
          <w:rFonts w:ascii="宋体" w:hAnsi="宋体" w:cs="宋体" w:hint="eastAsia"/>
          <w:kern w:val="0"/>
          <w:sz w:val="24"/>
          <w:szCs w:val="24"/>
          <w:lang w:val="zh-CN"/>
        </w:rPr>
        <w:t>日在巨潮资讯网上的公告“关于非公开发行股票申请获得中国证监会受理的公告”（公告编号：</w:t>
      </w:r>
      <w:r w:rsidRPr="000A5B5D">
        <w:rPr>
          <w:rFonts w:ascii="宋体" w:hAnsi="宋体" w:cs="宋体"/>
          <w:kern w:val="0"/>
          <w:sz w:val="24"/>
          <w:szCs w:val="24"/>
          <w:lang w:val="zh-CN"/>
        </w:rPr>
        <w:t>2016-002</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6</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16</w:t>
      </w:r>
      <w:r w:rsidRPr="000A5B5D">
        <w:rPr>
          <w:rFonts w:ascii="宋体" w:hAnsi="宋体" w:cs="宋体" w:hint="eastAsia"/>
          <w:kern w:val="0"/>
          <w:sz w:val="24"/>
          <w:szCs w:val="24"/>
          <w:lang w:val="zh-CN"/>
        </w:rPr>
        <w:t>日，公司非公开发行补充事项经公司第九届董事会第二十一次会议审议通过，详见公司于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17</w:t>
      </w:r>
      <w:r w:rsidRPr="000A5B5D">
        <w:rPr>
          <w:rFonts w:ascii="宋体" w:hAnsi="宋体" w:cs="宋体" w:hint="eastAsia"/>
          <w:kern w:val="0"/>
          <w:sz w:val="24"/>
          <w:szCs w:val="24"/>
          <w:lang w:val="zh-CN"/>
        </w:rPr>
        <w:t>日在巨潮资讯网上的公告“第九届董事会第二十一次会议决议公告”（公告编号：</w:t>
      </w:r>
      <w:r w:rsidRPr="000A5B5D">
        <w:rPr>
          <w:rFonts w:ascii="宋体" w:hAnsi="宋体" w:cs="宋体"/>
          <w:kern w:val="0"/>
          <w:sz w:val="24"/>
          <w:szCs w:val="24"/>
          <w:lang w:val="zh-CN"/>
        </w:rPr>
        <w:t>2016-004</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7</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年第一次临时股东大会审议通过了本次非公开发行补充事项，详见公司于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年第一次临时股东大会决议公告”</w:t>
      </w: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（公告编号：</w:t>
      </w:r>
      <w:r w:rsidRPr="000A5B5D">
        <w:rPr>
          <w:rFonts w:ascii="宋体" w:hAnsi="宋体" w:cs="宋体"/>
          <w:kern w:val="0"/>
          <w:sz w:val="24"/>
          <w:szCs w:val="24"/>
          <w:lang w:val="zh-CN"/>
        </w:rPr>
        <w:t>2016-014</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日，公司本次非公开发行股票收到中国证监会的反馈意见并就相关意见进行回复，详见公司于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日在巨潮资讯网上的公告“关于非公开发行股票申请文件反馈意见回复的公告”（公告编号：</w:t>
      </w:r>
      <w:r w:rsidRPr="000A5B5D">
        <w:rPr>
          <w:rFonts w:ascii="宋体" w:hAnsi="宋体" w:cs="宋体"/>
          <w:kern w:val="0"/>
          <w:sz w:val="24"/>
          <w:szCs w:val="24"/>
          <w:lang w:val="zh-CN"/>
        </w:rPr>
        <w:t>2016-015</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20</w:t>
      </w:r>
      <w:r w:rsidRPr="000A5B5D">
        <w:rPr>
          <w:rFonts w:ascii="宋体" w:hAnsi="宋体" w:cs="宋体" w:hint="eastAsia"/>
          <w:kern w:val="0"/>
          <w:sz w:val="24"/>
          <w:szCs w:val="24"/>
          <w:lang w:val="zh-CN"/>
        </w:rPr>
        <w:t>日，公司非公开发行股票调整方案经公司第九届董事会第二十四次会议审议通过，详见公司于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21</w:t>
      </w:r>
      <w:r w:rsidRPr="000A5B5D">
        <w:rPr>
          <w:rFonts w:ascii="宋体" w:hAnsi="宋体" w:cs="宋体" w:hint="eastAsia"/>
          <w:kern w:val="0"/>
          <w:sz w:val="24"/>
          <w:szCs w:val="24"/>
          <w:lang w:val="zh-CN"/>
        </w:rPr>
        <w:t>日在巨潮资讯网上的公告“第九届董事会第二十四次会议决议公告”（公告编号：</w:t>
      </w:r>
      <w:r w:rsidRPr="000A5B5D">
        <w:rPr>
          <w:rFonts w:ascii="宋体" w:hAnsi="宋体" w:cs="宋体"/>
          <w:kern w:val="0"/>
          <w:sz w:val="24"/>
          <w:szCs w:val="24"/>
          <w:lang w:val="zh-CN"/>
        </w:rPr>
        <w:t>2016-021</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5</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年第四次临时股东大会审议通过本次非公开发行股票调整方案，详见公司于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6</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年第四次临时股东大会决议公告”（公告编号：</w:t>
      </w:r>
      <w:r w:rsidRPr="000A5B5D">
        <w:rPr>
          <w:rFonts w:ascii="宋体" w:hAnsi="宋体" w:cs="宋体"/>
          <w:kern w:val="0"/>
          <w:sz w:val="24"/>
          <w:szCs w:val="24"/>
          <w:lang w:val="zh-CN"/>
        </w:rPr>
        <w:t>2016-035</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354"/>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15</w:t>
      </w:r>
      <w:r w:rsidRPr="000A5B5D">
        <w:rPr>
          <w:rFonts w:ascii="宋体" w:hAnsi="宋体" w:cs="宋体" w:hint="eastAsia"/>
          <w:kern w:val="0"/>
          <w:sz w:val="24"/>
          <w:szCs w:val="24"/>
          <w:lang w:val="zh-CN"/>
        </w:rPr>
        <w:t>日，公司本次非公开发行股票方案获中国证监会发审会审核通过，详见公司于</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16</w:t>
      </w:r>
      <w:r w:rsidRPr="000A5B5D">
        <w:rPr>
          <w:rFonts w:ascii="宋体" w:hAnsi="宋体" w:cs="宋体" w:hint="eastAsia"/>
          <w:kern w:val="0"/>
          <w:sz w:val="24"/>
          <w:szCs w:val="24"/>
          <w:lang w:val="zh-CN"/>
        </w:rPr>
        <w:t>日在巨潮资讯网上的公告“关于非公开发行股票申请获得中国证监会发审会审核通过的公告”（公告编号：</w:t>
      </w:r>
      <w:r w:rsidRPr="000A5B5D">
        <w:rPr>
          <w:rFonts w:ascii="宋体" w:hAnsi="宋体" w:cs="宋体"/>
          <w:kern w:val="0"/>
          <w:sz w:val="24"/>
          <w:szCs w:val="24"/>
          <w:lang w:val="zh-CN"/>
        </w:rPr>
        <w:t>2016-038</w:t>
      </w:r>
      <w:r w:rsidRPr="000A5B5D">
        <w:rPr>
          <w:rFonts w:ascii="宋体" w:hAnsi="宋体" w:cs="宋体" w:hint="eastAsia"/>
          <w:kern w:val="0"/>
          <w:sz w:val="24"/>
          <w:szCs w:val="24"/>
          <w:lang w:val="zh-CN"/>
        </w:rPr>
        <w:t>）。</w:t>
      </w:r>
    </w:p>
    <w:p w:rsidR="00BC4D56" w:rsidRPr="000A5B5D" w:rsidRDefault="00BC4D56" w:rsidP="00D85930">
      <w:pPr>
        <w:autoSpaceDE w:val="0"/>
        <w:autoSpaceDN w:val="0"/>
        <w:adjustRightInd w:val="0"/>
        <w:spacing w:before="0" w:after="0" w:line="360" w:lineRule="auto"/>
        <w:ind w:firstLine="354"/>
        <w:jc w:val="left"/>
        <w:rPr>
          <w:rFonts w:eastAsia="Times New Roman"/>
          <w:b/>
          <w:kern w:val="0"/>
          <w:sz w:val="24"/>
          <w:szCs w:val="24"/>
          <w:lang w:val="zh-CN"/>
        </w:rPr>
      </w:pPr>
      <w:r w:rsidRPr="000A5B5D">
        <w:rPr>
          <w:rFonts w:eastAsia="Times New Roman"/>
          <w:b/>
          <w:kern w:val="0"/>
          <w:sz w:val="24"/>
          <w:szCs w:val="24"/>
          <w:lang w:val="zh-CN"/>
        </w:rPr>
        <w:t>3</w:t>
      </w:r>
      <w:r w:rsidRPr="000A5B5D">
        <w:rPr>
          <w:rFonts w:ascii="宋体" w:hAnsi="宋体" w:cs="宋体" w:hint="eastAsia"/>
          <w:b/>
          <w:kern w:val="0"/>
          <w:sz w:val="24"/>
          <w:szCs w:val="24"/>
          <w:lang w:val="zh-CN"/>
        </w:rPr>
        <w:t>、浙商银行相关事项进展</w:t>
      </w:r>
    </w:p>
    <w:p w:rsidR="00D85930" w:rsidRPr="000A5B5D" w:rsidRDefault="00D85930" w:rsidP="00D85930">
      <w:pPr>
        <w:autoSpaceDE w:val="0"/>
        <w:autoSpaceDN w:val="0"/>
        <w:adjustRightInd w:val="0"/>
        <w:spacing w:before="0" w:after="0" w:line="360" w:lineRule="auto"/>
        <w:ind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1</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日，公司参与浙商银行股份有限公司增资扩股计划，详见公司于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lastRenderedPageBreak/>
        <w:t>年</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日在巨潮资讯网上的公告“关于参与浙商银行股份有限公司增资扩股计划的关联交易公告”（公告编号：</w:t>
      </w:r>
      <w:r w:rsidRPr="000A5B5D">
        <w:rPr>
          <w:rFonts w:ascii="宋体" w:hAnsi="宋体" w:cs="宋体"/>
          <w:kern w:val="0"/>
          <w:sz w:val="24"/>
          <w:szCs w:val="24"/>
          <w:lang w:val="zh-CN"/>
        </w:rPr>
        <w:t>2016-019</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26</w:t>
      </w:r>
      <w:r w:rsidRPr="000A5B5D">
        <w:rPr>
          <w:rFonts w:ascii="宋体" w:hAnsi="宋体" w:cs="宋体" w:hint="eastAsia"/>
          <w:kern w:val="0"/>
          <w:sz w:val="24"/>
          <w:szCs w:val="24"/>
          <w:lang w:val="zh-CN"/>
        </w:rPr>
        <w:t>日，公司关于浙商银行股权转让事项经公司第九届董事会第十六次会议审议通过，详见公司于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27</w:t>
      </w:r>
      <w:r w:rsidRPr="000A5B5D">
        <w:rPr>
          <w:rFonts w:ascii="宋体" w:hAnsi="宋体" w:cs="宋体" w:hint="eastAsia"/>
          <w:kern w:val="0"/>
          <w:sz w:val="24"/>
          <w:szCs w:val="24"/>
          <w:lang w:val="zh-CN"/>
        </w:rPr>
        <w:t>日在巨潮资讯网上的公告“第九届董事会第十六次会议决议公告”</w:t>
      </w: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（公告编号：</w:t>
      </w:r>
      <w:r w:rsidRPr="000A5B5D">
        <w:rPr>
          <w:rFonts w:ascii="宋体" w:hAnsi="宋体" w:cs="宋体"/>
          <w:kern w:val="0"/>
          <w:sz w:val="24"/>
          <w:szCs w:val="24"/>
          <w:lang w:val="zh-CN"/>
        </w:rPr>
        <w:t>2015-072</w:t>
      </w:r>
      <w:r w:rsidRPr="000A5B5D">
        <w:rPr>
          <w:rFonts w:ascii="宋体" w:hAnsi="宋体" w:cs="宋体" w:hint="eastAsia"/>
          <w:kern w:val="0"/>
          <w:sz w:val="24"/>
          <w:szCs w:val="24"/>
          <w:lang w:val="zh-CN"/>
        </w:rPr>
        <w:t>）。</w:t>
      </w:r>
    </w:p>
    <w:p w:rsidR="00D85930" w:rsidRPr="000A5B5D" w:rsidRDefault="00D85930" w:rsidP="00D85930">
      <w:pPr>
        <w:autoSpaceDE w:val="0"/>
        <w:autoSpaceDN w:val="0"/>
        <w:adjustRightInd w:val="0"/>
        <w:spacing w:before="0" w:after="0" w:line="360" w:lineRule="auto"/>
        <w:ind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年第八次临时股东大会审议通过本次股权转让事项，详见公司于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11</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年第八次临时股东大会决议公告”。</w:t>
      </w:r>
    </w:p>
    <w:p w:rsidR="00BC4D56" w:rsidRPr="000A5B5D" w:rsidRDefault="00D85930" w:rsidP="00D85930">
      <w:pPr>
        <w:autoSpaceDE w:val="0"/>
        <w:autoSpaceDN w:val="0"/>
        <w:adjustRightInd w:val="0"/>
        <w:spacing w:before="0" w:after="0" w:line="360" w:lineRule="auto"/>
        <w:ind w:firstLine="480"/>
        <w:jc w:val="left"/>
        <w:rPr>
          <w:rFonts w:eastAsia="Times New Roman"/>
          <w:kern w:val="0"/>
          <w:sz w:val="24"/>
          <w:szCs w:val="24"/>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2016</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30</w:t>
      </w:r>
      <w:r w:rsidRPr="000A5B5D">
        <w:rPr>
          <w:rFonts w:ascii="宋体" w:hAnsi="宋体" w:cs="宋体" w:hint="eastAsia"/>
          <w:kern w:val="0"/>
          <w:sz w:val="24"/>
          <w:szCs w:val="24"/>
          <w:lang w:val="zh-CN"/>
        </w:rPr>
        <w:t>日，浙商银行股份有限公司在香港联交所上市，股份代码：</w:t>
      </w:r>
      <w:r w:rsidRPr="000A5B5D">
        <w:rPr>
          <w:rFonts w:ascii="宋体" w:hAnsi="宋体" w:cs="宋体"/>
          <w:kern w:val="0"/>
          <w:sz w:val="24"/>
          <w:szCs w:val="24"/>
          <w:lang w:val="zh-CN"/>
        </w:rPr>
        <w:t>02016</w:t>
      </w:r>
      <w:r w:rsidRPr="000A5B5D">
        <w:rPr>
          <w:rFonts w:ascii="宋体" w:hAnsi="宋体" w:cs="宋体" w:hint="eastAsia"/>
          <w:kern w:val="0"/>
          <w:sz w:val="24"/>
          <w:szCs w:val="24"/>
          <w:lang w:val="zh-CN"/>
        </w:rPr>
        <w:t>。</w:t>
      </w:r>
    </w:p>
    <w:p w:rsidR="00BC4D56" w:rsidRPr="000A5B5D" w:rsidRDefault="00BC4D56">
      <w:pPr>
        <w:pStyle w:val="Chapter"/>
        <w:outlineLvl w:val="1"/>
        <w:rPr>
          <w:bCs w:val="0"/>
        </w:rPr>
      </w:pPr>
      <w:r w:rsidRPr="000A5B5D">
        <w:rPr>
          <w:rFonts w:hint="eastAsia"/>
          <w:bCs w:val="0"/>
        </w:rPr>
        <w:t>十九、公司子公司重大事项</w:t>
      </w:r>
    </w:p>
    <w:p w:rsidR="00BC4D56" w:rsidRPr="000A5B5D" w:rsidRDefault="00BC4D56" w:rsidP="00D85930">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pPr>
        <w:pStyle w:val="Chapter"/>
        <w:outlineLvl w:val="1"/>
        <w:rPr>
          <w:bCs w:val="0"/>
        </w:rPr>
      </w:pPr>
      <w:r w:rsidRPr="000A5B5D">
        <w:rPr>
          <w:rFonts w:hint="eastAsia"/>
          <w:bCs w:val="0"/>
        </w:rPr>
        <w:t>二十、社会责任情况</w:t>
      </w:r>
    </w:p>
    <w:p w:rsidR="00BC4D56" w:rsidRPr="000A5B5D" w:rsidRDefault="00BC4D56" w:rsidP="00D85930">
      <w:pPr>
        <w:autoSpaceDE w:val="0"/>
        <w:autoSpaceDN w:val="0"/>
        <w:adjustRightInd w:val="0"/>
        <w:spacing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一向重视履行社会责任，大力支持地方经济建设，积极回报社会，为当地经济和社会发展做出了杰出贡献。公司在兼顾经济效益与社会效益、短期利益与长期利益、自身发展与社会发展相互协调的同时，实现了公司与股东、消费者、员工、环境、社会的健康和谐发展。</w:t>
      </w:r>
      <w:r w:rsidRPr="000A5B5D">
        <w:rPr>
          <w:rFonts w:eastAsia="Times New Roman"/>
          <w:kern w:val="0"/>
          <w:sz w:val="24"/>
          <w:szCs w:val="24"/>
          <w:lang w:val="zh-CN"/>
        </w:rPr>
        <w:t>2015</w:t>
      </w:r>
      <w:r w:rsidRPr="000A5B5D">
        <w:rPr>
          <w:rFonts w:ascii="宋体" w:hAnsi="宋体" w:cs="宋体" w:hint="eastAsia"/>
          <w:kern w:val="0"/>
          <w:sz w:val="24"/>
          <w:szCs w:val="24"/>
          <w:lang w:val="zh-CN"/>
        </w:rPr>
        <w:t>年公司社会责任履行如下：</w:t>
      </w:r>
      <w:r w:rsidRPr="000A5B5D">
        <w:rPr>
          <w:rFonts w:eastAsia="Times New Roman"/>
          <w:kern w:val="0"/>
          <w:sz w:val="24"/>
          <w:szCs w:val="24"/>
          <w:lang w:val="zh-CN"/>
        </w:rPr>
        <w:t xml:space="preserve"> </w:t>
      </w:r>
    </w:p>
    <w:p w:rsidR="00BC4D56" w:rsidRPr="000A5B5D" w:rsidRDefault="00BC4D56" w:rsidP="00D85930">
      <w:pPr>
        <w:autoSpaceDE w:val="0"/>
        <w:autoSpaceDN w:val="0"/>
        <w:adjustRightInd w:val="0"/>
        <w:spacing w:line="360" w:lineRule="auto"/>
        <w:ind w:firstLine="360"/>
        <w:jc w:val="left"/>
        <w:rPr>
          <w:rFonts w:eastAsia="Times New Roman"/>
          <w:b/>
          <w:kern w:val="0"/>
          <w:sz w:val="24"/>
          <w:szCs w:val="24"/>
          <w:lang w:val="zh-CN"/>
        </w:rPr>
      </w:pPr>
      <w:r w:rsidRPr="000A5B5D">
        <w:rPr>
          <w:rFonts w:ascii="宋体" w:hAnsi="宋体" w:cs="宋体" w:hint="eastAsia"/>
          <w:b/>
          <w:kern w:val="0"/>
          <w:sz w:val="24"/>
          <w:szCs w:val="24"/>
          <w:lang w:val="zh-CN"/>
        </w:rPr>
        <w:t>（一）股东及投资者权益保护</w:t>
      </w:r>
    </w:p>
    <w:p w:rsidR="00BC4D56" w:rsidRPr="000A5B5D" w:rsidRDefault="00BC4D56" w:rsidP="00D85930">
      <w:pPr>
        <w:autoSpaceDE w:val="0"/>
        <w:autoSpaceDN w:val="0"/>
        <w:adjustRightInd w:val="0"/>
        <w:spacing w:line="360" w:lineRule="auto"/>
        <w:ind w:firstLine="425"/>
        <w:rPr>
          <w:rFonts w:eastAsia="Times New Roman"/>
          <w:kern w:val="0"/>
          <w:sz w:val="24"/>
          <w:szCs w:val="24"/>
          <w:lang w:val="zh-CN"/>
        </w:rPr>
      </w:pPr>
      <w:r w:rsidRPr="000A5B5D">
        <w:rPr>
          <w:rFonts w:ascii="宋体" w:hAnsi="宋体" w:cs="宋体" w:hint="eastAsia"/>
          <w:kern w:val="0"/>
          <w:sz w:val="24"/>
          <w:szCs w:val="24"/>
          <w:lang w:val="zh-CN"/>
        </w:rPr>
        <w:t>自重组上市以来，公司修改公司章程，完善利润分配政策。在完成送红股、股本转增的同时，累计现金分红达</w:t>
      </w:r>
      <w:r w:rsidRPr="000A5B5D">
        <w:rPr>
          <w:rFonts w:eastAsia="Times New Roman"/>
          <w:kern w:val="0"/>
          <w:sz w:val="24"/>
          <w:szCs w:val="24"/>
          <w:lang w:val="zh-CN"/>
        </w:rPr>
        <w:t>8.08</w:t>
      </w:r>
      <w:r w:rsidRPr="000A5B5D">
        <w:rPr>
          <w:rFonts w:ascii="宋体" w:hAnsi="宋体" w:cs="宋体" w:hint="eastAsia"/>
          <w:kern w:val="0"/>
          <w:sz w:val="24"/>
          <w:szCs w:val="24"/>
          <w:lang w:val="zh-CN"/>
        </w:rPr>
        <w:t>亿元。正是由于良好的公司治理，领先同行的公司业绩以及持续的现金分红、高比例的送股、转增等投资回报，吸引着众多机构、普通投资者。</w:t>
      </w:r>
    </w:p>
    <w:p w:rsidR="00BC4D56" w:rsidRPr="000A5B5D" w:rsidRDefault="00BC4D56" w:rsidP="00D85930">
      <w:pPr>
        <w:autoSpaceDE w:val="0"/>
        <w:autoSpaceDN w:val="0"/>
        <w:adjustRightInd w:val="0"/>
        <w:spacing w:line="360" w:lineRule="auto"/>
        <w:ind w:firstLine="425"/>
        <w:rPr>
          <w:rFonts w:eastAsia="Times New Roman"/>
          <w:kern w:val="0"/>
          <w:sz w:val="24"/>
          <w:szCs w:val="24"/>
          <w:lang w:val="zh-CN"/>
        </w:rPr>
      </w:pPr>
      <w:r w:rsidRPr="000A5B5D">
        <w:rPr>
          <w:rFonts w:ascii="宋体" w:hAnsi="宋体" w:cs="宋体" w:hint="eastAsia"/>
          <w:kern w:val="0"/>
          <w:sz w:val="24"/>
          <w:szCs w:val="24"/>
          <w:lang w:val="zh-CN"/>
        </w:rPr>
        <w:t>公司高度注重投资者权益保护工作，积极研究投资者的真实需求，整合内、外资源，建立以投资者需求为导向的信息披露体系；多渠道、多层次的建立投资者互动机制，健全投资者互动与服务体系。报告期内，公司举办了年度业绩说明会以及年中的网上集中答疑，针对投资者关心的公司战略、经营管理、重大项目进展等问题进行高效沟通。公司通过深交所的互动易、热线电话与邮箱等方式与投资者保持及时、有效的良好沟通，有效保护了投资者的知情权，提高了投资者公司管理的参与度，将投资者权益保护工作切实落到实处。</w:t>
      </w:r>
      <w:r w:rsidRPr="000A5B5D">
        <w:rPr>
          <w:rFonts w:eastAsia="Times New Roman"/>
          <w:kern w:val="0"/>
          <w:sz w:val="24"/>
          <w:szCs w:val="24"/>
          <w:lang w:val="zh-CN"/>
        </w:rPr>
        <w:t xml:space="preserve"> </w:t>
      </w:r>
    </w:p>
    <w:p w:rsidR="00BC4D56" w:rsidRPr="000A5B5D" w:rsidRDefault="00BC4D56" w:rsidP="00D85930">
      <w:pPr>
        <w:autoSpaceDE w:val="0"/>
        <w:autoSpaceDN w:val="0"/>
        <w:adjustRightInd w:val="0"/>
        <w:spacing w:line="360" w:lineRule="auto"/>
        <w:ind w:firstLine="360"/>
        <w:jc w:val="left"/>
        <w:rPr>
          <w:rFonts w:eastAsia="Times New Roman"/>
          <w:b/>
          <w:kern w:val="0"/>
          <w:sz w:val="24"/>
          <w:szCs w:val="24"/>
          <w:lang w:val="zh-CN"/>
        </w:rPr>
      </w:pPr>
      <w:r w:rsidRPr="000A5B5D">
        <w:rPr>
          <w:rFonts w:ascii="宋体" w:hAnsi="宋体" w:cs="宋体" w:hint="eastAsia"/>
          <w:b/>
          <w:kern w:val="0"/>
          <w:sz w:val="24"/>
          <w:szCs w:val="24"/>
          <w:lang w:val="zh-CN"/>
        </w:rPr>
        <w:t>（二）供应商、客户和消费者权益保护</w:t>
      </w:r>
    </w:p>
    <w:p w:rsidR="00BC4D56" w:rsidRPr="000A5B5D" w:rsidRDefault="00BC4D56" w:rsidP="00D85930">
      <w:pPr>
        <w:autoSpaceDE w:val="0"/>
        <w:autoSpaceDN w:val="0"/>
        <w:adjustRightInd w:val="0"/>
        <w:spacing w:line="360" w:lineRule="auto"/>
        <w:ind w:firstLine="360"/>
        <w:jc w:val="left"/>
        <w:rPr>
          <w:rFonts w:eastAsia="Times New Roman"/>
          <w:kern w:val="0"/>
          <w:sz w:val="24"/>
          <w:szCs w:val="24"/>
          <w:lang w:val="zh-CN"/>
        </w:rPr>
      </w:pPr>
      <w:r w:rsidRPr="000A5B5D">
        <w:rPr>
          <w:rFonts w:ascii="宋体" w:hAnsi="宋体" w:cs="宋体" w:hint="eastAsia"/>
          <w:kern w:val="0"/>
          <w:sz w:val="24"/>
          <w:szCs w:val="24"/>
          <w:lang w:val="zh-CN"/>
        </w:rPr>
        <w:lastRenderedPageBreak/>
        <w:t>公司始终以振兴民族产业为己任，在持续发展壮大的同时，不断满足客户和消费者日益多元化的需求，为千家万户提供值得信赖绿色产品。公司在同行中率先通过了</w:t>
      </w:r>
      <w:r w:rsidRPr="000A5B5D">
        <w:rPr>
          <w:rFonts w:eastAsia="Times New Roman"/>
          <w:kern w:val="0"/>
          <w:sz w:val="24"/>
          <w:szCs w:val="24"/>
          <w:lang w:val="zh-CN"/>
        </w:rPr>
        <w:t>ISO 9001</w:t>
      </w:r>
      <w:r w:rsidRPr="000A5B5D">
        <w:rPr>
          <w:rFonts w:ascii="宋体" w:hAnsi="宋体" w:cs="宋体" w:hint="eastAsia"/>
          <w:kern w:val="0"/>
          <w:sz w:val="24"/>
          <w:szCs w:val="24"/>
          <w:lang w:val="zh-CN"/>
        </w:rPr>
        <w:t>质量体系认证、</w:t>
      </w:r>
      <w:r w:rsidRPr="000A5B5D">
        <w:rPr>
          <w:rFonts w:eastAsia="Times New Roman"/>
          <w:kern w:val="0"/>
          <w:sz w:val="24"/>
          <w:szCs w:val="24"/>
          <w:lang w:val="zh-CN"/>
        </w:rPr>
        <w:t>ISO 14001</w:t>
      </w:r>
      <w:r w:rsidRPr="000A5B5D">
        <w:rPr>
          <w:rFonts w:ascii="宋体" w:hAnsi="宋体" w:cs="宋体" w:hint="eastAsia"/>
          <w:kern w:val="0"/>
          <w:sz w:val="24"/>
          <w:szCs w:val="24"/>
          <w:lang w:val="zh-CN"/>
        </w:rPr>
        <w:t>环境体系认证、测量管理体系认证、标准化良好行为</w:t>
      </w:r>
      <w:r w:rsidRPr="000A5B5D">
        <w:rPr>
          <w:rFonts w:eastAsia="Times New Roman"/>
          <w:kern w:val="0"/>
          <w:sz w:val="24"/>
          <w:szCs w:val="24"/>
          <w:lang w:val="zh-CN"/>
        </w:rPr>
        <w:t>AAA</w:t>
      </w:r>
      <w:r w:rsidRPr="000A5B5D">
        <w:rPr>
          <w:rFonts w:ascii="宋体" w:hAnsi="宋体" w:cs="宋体" w:hint="eastAsia"/>
          <w:kern w:val="0"/>
          <w:sz w:val="24"/>
          <w:szCs w:val="24"/>
          <w:lang w:val="zh-CN"/>
        </w:rPr>
        <w:t>级认证等，按照国际化、标准化要求管理生产、经营各个环节，保持产品质量稳定和顾客高满意度。同时，依托公司的技术优势，有效提高了产品的内在品质，并通过快速反应的售后互动服务体系，强化了以市场为导向进行产品结构调整与优化的水平和效率，切实提高了消费者的满意度。</w:t>
      </w:r>
    </w:p>
    <w:p w:rsidR="00BC4D56" w:rsidRPr="000A5B5D" w:rsidRDefault="00BC4D56" w:rsidP="00D85930">
      <w:pPr>
        <w:autoSpaceDE w:val="0"/>
        <w:autoSpaceDN w:val="0"/>
        <w:adjustRightInd w:val="0"/>
        <w:spacing w:line="360" w:lineRule="auto"/>
        <w:ind w:firstLine="360"/>
        <w:jc w:val="left"/>
        <w:rPr>
          <w:rFonts w:eastAsia="Times New Roman"/>
          <w:b/>
          <w:kern w:val="0"/>
          <w:sz w:val="24"/>
          <w:szCs w:val="24"/>
          <w:lang w:val="zh-CN"/>
        </w:rPr>
      </w:pPr>
      <w:r w:rsidRPr="000A5B5D">
        <w:rPr>
          <w:rFonts w:ascii="宋体" w:hAnsi="宋体" w:cs="宋体" w:hint="eastAsia"/>
          <w:b/>
          <w:kern w:val="0"/>
          <w:sz w:val="24"/>
          <w:szCs w:val="24"/>
          <w:lang w:val="zh-CN"/>
        </w:rPr>
        <w:t>（三）员工权益保护</w:t>
      </w:r>
    </w:p>
    <w:p w:rsidR="00BC4D56" w:rsidRPr="000A5B5D" w:rsidRDefault="00BC4D56" w:rsidP="00D85930">
      <w:pPr>
        <w:autoSpaceDE w:val="0"/>
        <w:autoSpaceDN w:val="0"/>
        <w:adjustRightInd w:val="0"/>
        <w:spacing w:line="360" w:lineRule="auto"/>
        <w:ind w:firstLine="360"/>
        <w:jc w:val="left"/>
        <w:rPr>
          <w:rFonts w:eastAsia="Times New Roman"/>
          <w:kern w:val="0"/>
          <w:sz w:val="24"/>
          <w:szCs w:val="24"/>
          <w:lang w:val="zh-CN"/>
        </w:rPr>
      </w:pPr>
      <w:r w:rsidRPr="000A5B5D">
        <w:rPr>
          <w:rFonts w:ascii="宋体" w:hAnsi="宋体" w:cs="宋体" w:hint="eastAsia"/>
          <w:kern w:val="0"/>
          <w:sz w:val="24"/>
          <w:szCs w:val="24"/>
          <w:lang w:val="zh-CN"/>
        </w:rPr>
        <w:t>公司长期秉承</w:t>
      </w:r>
      <w:r w:rsidRPr="000A5B5D">
        <w:rPr>
          <w:rFonts w:eastAsia="Times New Roman"/>
          <w:kern w:val="0"/>
          <w:sz w:val="24"/>
          <w:szCs w:val="24"/>
          <w:lang w:val="zh-CN"/>
        </w:rPr>
        <w:t>“</w:t>
      </w:r>
      <w:r w:rsidRPr="000A5B5D">
        <w:rPr>
          <w:rFonts w:ascii="宋体" w:hAnsi="宋体" w:cs="宋体" w:hint="eastAsia"/>
          <w:kern w:val="0"/>
          <w:sz w:val="24"/>
          <w:szCs w:val="24"/>
          <w:lang w:val="zh-CN"/>
        </w:rPr>
        <w:t>同创共享、快乐发展</w:t>
      </w:r>
      <w:r w:rsidRPr="000A5B5D">
        <w:rPr>
          <w:rFonts w:eastAsia="Times New Roman"/>
          <w:kern w:val="0"/>
          <w:sz w:val="24"/>
          <w:szCs w:val="24"/>
          <w:lang w:val="zh-CN"/>
        </w:rPr>
        <w:t>”</w:t>
      </w:r>
      <w:r w:rsidRPr="000A5B5D">
        <w:rPr>
          <w:rFonts w:ascii="宋体" w:hAnsi="宋体" w:cs="宋体" w:hint="eastAsia"/>
          <w:kern w:val="0"/>
          <w:sz w:val="24"/>
          <w:szCs w:val="24"/>
          <w:lang w:val="zh-CN"/>
        </w:rPr>
        <w:t>的企业员工观，打造</w:t>
      </w:r>
      <w:r w:rsidRPr="000A5B5D">
        <w:rPr>
          <w:rFonts w:eastAsia="Times New Roman"/>
          <w:kern w:val="0"/>
          <w:sz w:val="24"/>
          <w:szCs w:val="24"/>
          <w:lang w:val="zh-CN"/>
        </w:rPr>
        <w:t>“</w:t>
      </w:r>
      <w:r w:rsidRPr="000A5B5D">
        <w:rPr>
          <w:rFonts w:ascii="宋体" w:hAnsi="宋体" w:cs="宋体" w:hint="eastAsia"/>
          <w:kern w:val="0"/>
          <w:sz w:val="24"/>
          <w:szCs w:val="24"/>
          <w:lang w:val="zh-CN"/>
        </w:rPr>
        <w:t>执著恒逸，和谐家园</w:t>
      </w:r>
      <w:r w:rsidRPr="000A5B5D">
        <w:rPr>
          <w:rFonts w:eastAsia="Times New Roman"/>
          <w:kern w:val="0"/>
          <w:sz w:val="24"/>
          <w:szCs w:val="24"/>
          <w:lang w:val="zh-CN"/>
        </w:rPr>
        <w:t>”</w:t>
      </w:r>
      <w:r w:rsidRPr="000A5B5D">
        <w:rPr>
          <w:rFonts w:ascii="宋体" w:hAnsi="宋体" w:cs="宋体" w:hint="eastAsia"/>
          <w:kern w:val="0"/>
          <w:sz w:val="24"/>
          <w:szCs w:val="24"/>
          <w:lang w:val="zh-CN"/>
        </w:rPr>
        <w:t>品牌文化，践行</w:t>
      </w:r>
      <w:r w:rsidRPr="000A5B5D">
        <w:rPr>
          <w:rFonts w:eastAsia="Times New Roman"/>
          <w:kern w:val="0"/>
          <w:sz w:val="24"/>
          <w:szCs w:val="24"/>
          <w:lang w:val="zh-CN"/>
        </w:rPr>
        <w:t>“</w:t>
      </w:r>
      <w:r w:rsidRPr="000A5B5D">
        <w:rPr>
          <w:rFonts w:ascii="宋体" w:hAnsi="宋体" w:cs="宋体" w:hint="eastAsia"/>
          <w:kern w:val="0"/>
          <w:sz w:val="24"/>
          <w:szCs w:val="24"/>
          <w:lang w:val="zh-CN"/>
        </w:rPr>
        <w:t>让员工与企业共同发展</w:t>
      </w:r>
      <w:r w:rsidRPr="000A5B5D">
        <w:rPr>
          <w:rFonts w:eastAsia="Times New Roman"/>
          <w:kern w:val="0"/>
          <w:sz w:val="24"/>
          <w:szCs w:val="24"/>
          <w:lang w:val="zh-CN"/>
        </w:rPr>
        <w:t>”</w:t>
      </w:r>
      <w:r w:rsidRPr="000A5B5D">
        <w:rPr>
          <w:rFonts w:ascii="宋体" w:hAnsi="宋体" w:cs="宋体" w:hint="eastAsia"/>
          <w:kern w:val="0"/>
          <w:sz w:val="24"/>
          <w:szCs w:val="24"/>
          <w:lang w:val="zh-CN"/>
        </w:rPr>
        <w:t>的治企路线，积极保护员工的合法权益，重视员工职业发展，关注员工健康安全，关心员工文化生活，努力实现企业与员工共同进步，共享成果。公司通过管理人员再学习、岗位技能培训等手段培养了一批战略人才、技术人才。公司建立了完善的社会保障体系和困难职工救助机制，员工满意度和幸福指数切实提高。</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年度底，公司现有员工</w:t>
      </w:r>
      <w:r w:rsidRPr="000A5B5D">
        <w:rPr>
          <w:rFonts w:eastAsia="Times New Roman"/>
          <w:kern w:val="0"/>
          <w:sz w:val="24"/>
          <w:szCs w:val="24"/>
          <w:lang w:val="zh-CN"/>
        </w:rPr>
        <w:t>7000</w:t>
      </w:r>
      <w:r w:rsidRPr="000A5B5D">
        <w:rPr>
          <w:rFonts w:ascii="宋体" w:hAnsi="宋体" w:cs="宋体" w:hint="eastAsia"/>
          <w:kern w:val="0"/>
          <w:sz w:val="24"/>
          <w:szCs w:val="24"/>
          <w:lang w:val="zh-CN"/>
        </w:rPr>
        <w:t>人，为社会就业做出重大贡献。</w:t>
      </w:r>
    </w:p>
    <w:p w:rsidR="00BC4D56" w:rsidRPr="000A5B5D" w:rsidRDefault="00BC4D56" w:rsidP="00D85930">
      <w:pPr>
        <w:autoSpaceDE w:val="0"/>
        <w:autoSpaceDN w:val="0"/>
        <w:adjustRightInd w:val="0"/>
        <w:spacing w:line="360" w:lineRule="auto"/>
        <w:ind w:firstLine="360"/>
        <w:jc w:val="left"/>
        <w:rPr>
          <w:rFonts w:eastAsia="Times New Roman"/>
          <w:b/>
          <w:kern w:val="0"/>
          <w:sz w:val="24"/>
          <w:szCs w:val="24"/>
          <w:lang w:val="zh-CN"/>
        </w:rPr>
      </w:pPr>
      <w:r w:rsidRPr="000A5B5D">
        <w:rPr>
          <w:rFonts w:ascii="宋体" w:hAnsi="宋体" w:cs="宋体" w:hint="eastAsia"/>
          <w:b/>
          <w:kern w:val="0"/>
          <w:sz w:val="24"/>
          <w:szCs w:val="24"/>
          <w:lang w:val="zh-CN"/>
        </w:rPr>
        <w:t>（四）环境保护与可持续发展</w:t>
      </w:r>
    </w:p>
    <w:p w:rsidR="00BC4D56" w:rsidRPr="000A5B5D" w:rsidRDefault="00BC4D56" w:rsidP="00D85930">
      <w:pPr>
        <w:autoSpaceDE w:val="0"/>
        <w:autoSpaceDN w:val="0"/>
        <w:adjustRightInd w:val="0"/>
        <w:spacing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企业不仅是赢取利益最大化的经济体，更是经济财富积累、社会文明进步、环境可持续发展的重要推动者。公司紧跟低碳经济发展趋势，倡导绿色环保理念，全面推行清洁生产，大力推进节能减排，不断加大对安全环保的投入力度，切实提升生态文明水平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公司继续把降低能源消耗作为核心工作，公司一方面对生产装置实施尾气互供、水资源循环利用等节能改造技术，有效地降低了水、电、蒸汽等能耗。另一方面，强化环境保护的社会责任意识，进一步提升管理水平，通过工艺优化、技术改造，提高装置治理效率，全面推行清洁生产，切实提升生态文明水平。</w:t>
      </w:r>
    </w:p>
    <w:p w:rsidR="00BC4D56" w:rsidRPr="000A5B5D" w:rsidRDefault="00BC4D56" w:rsidP="00D85930">
      <w:pPr>
        <w:autoSpaceDE w:val="0"/>
        <w:autoSpaceDN w:val="0"/>
        <w:adjustRightInd w:val="0"/>
        <w:spacing w:line="360" w:lineRule="auto"/>
        <w:ind w:firstLine="360"/>
        <w:jc w:val="left"/>
        <w:rPr>
          <w:rFonts w:eastAsia="Times New Roman"/>
          <w:b/>
          <w:kern w:val="0"/>
          <w:sz w:val="24"/>
          <w:szCs w:val="24"/>
          <w:lang w:val="zh-CN"/>
        </w:rPr>
      </w:pPr>
      <w:r w:rsidRPr="000A5B5D">
        <w:rPr>
          <w:rFonts w:ascii="宋体" w:hAnsi="宋体" w:cs="宋体" w:hint="eastAsia"/>
          <w:b/>
          <w:kern w:val="0"/>
          <w:sz w:val="24"/>
          <w:szCs w:val="24"/>
          <w:lang w:val="zh-CN"/>
        </w:rPr>
        <w:t>（五）社会公益事业</w:t>
      </w:r>
    </w:p>
    <w:p w:rsidR="00BC4D56" w:rsidRPr="000A5B5D" w:rsidRDefault="00BC4D56" w:rsidP="00D85930">
      <w:pPr>
        <w:autoSpaceDE w:val="0"/>
        <w:autoSpaceDN w:val="0"/>
        <w:adjustRightInd w:val="0"/>
        <w:spacing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公司具有强烈的社会责任感，热心捐资助学、扶危济困以及赈灾救危、支持贫困乡建设等社会公益活动。公司十分重视对教育事业的支持，启动了</w:t>
      </w:r>
      <w:r w:rsidRPr="000A5B5D">
        <w:rPr>
          <w:rFonts w:eastAsia="Times New Roman"/>
          <w:kern w:val="0"/>
          <w:sz w:val="24"/>
          <w:szCs w:val="24"/>
          <w:lang w:val="zh-CN"/>
        </w:rPr>
        <w:t>“</w:t>
      </w:r>
      <w:r w:rsidRPr="000A5B5D">
        <w:rPr>
          <w:rFonts w:ascii="宋体" w:hAnsi="宋体" w:cs="宋体" w:hint="eastAsia"/>
          <w:kern w:val="0"/>
          <w:sz w:val="24"/>
          <w:szCs w:val="24"/>
          <w:lang w:val="zh-CN"/>
        </w:rPr>
        <w:t>爱心助学工程</w:t>
      </w:r>
      <w:r w:rsidRPr="000A5B5D">
        <w:rPr>
          <w:rFonts w:eastAsia="Times New Roman"/>
          <w:kern w:val="0"/>
          <w:sz w:val="24"/>
          <w:szCs w:val="24"/>
          <w:lang w:val="zh-CN"/>
        </w:rPr>
        <w:t>”</w:t>
      </w:r>
      <w:r w:rsidRPr="000A5B5D">
        <w:rPr>
          <w:rFonts w:ascii="宋体" w:hAnsi="宋体" w:cs="宋体" w:hint="eastAsia"/>
          <w:kern w:val="0"/>
          <w:sz w:val="24"/>
          <w:szCs w:val="24"/>
          <w:lang w:val="zh-CN"/>
        </w:rPr>
        <w:t>，积极向高校捐资，扶持高校学术研究。长期以来，公司持续为患病、受灾和家庭困难职工捐款，为解决外来职工子女入学难提供帮助，参与实施结对子扶贫工程、支开展员工无偿献血等多项公益活动</w:t>
      </w:r>
      <w:r w:rsidR="00D85930" w:rsidRPr="000A5B5D">
        <w:rPr>
          <w:rFonts w:ascii="宋体" w:hAnsi="宋体" w:cs="宋体" w:hint="eastAsia"/>
          <w:kern w:val="0"/>
          <w:sz w:val="24"/>
          <w:szCs w:val="24"/>
          <w:lang w:val="zh-CN"/>
        </w:rPr>
        <w:t>。</w:t>
      </w:r>
      <w:r w:rsidRPr="000A5B5D">
        <w:rPr>
          <w:rFonts w:ascii="宋体" w:hAnsi="宋体" w:cs="宋体" w:hint="eastAsia"/>
          <w:kern w:val="0"/>
          <w:sz w:val="24"/>
          <w:szCs w:val="24"/>
          <w:lang w:val="zh-CN"/>
        </w:rPr>
        <w:t>同时，公司支持残疾人事业发展，解决近千人残疾人就业，推动企业和社会的和谐发展。</w:t>
      </w:r>
    </w:p>
    <w:p w:rsidR="00BC4D56" w:rsidRPr="000A5B5D" w:rsidRDefault="00BC4D56" w:rsidP="00D85930">
      <w:pPr>
        <w:spacing w:line="360" w:lineRule="auto"/>
        <w:jc w:val="left"/>
        <w:rPr>
          <w:sz w:val="24"/>
          <w:szCs w:val="24"/>
        </w:rPr>
      </w:pPr>
      <w:r w:rsidRPr="000A5B5D">
        <w:rPr>
          <w:rFonts w:hint="eastAsia"/>
          <w:sz w:val="24"/>
          <w:szCs w:val="24"/>
        </w:rPr>
        <w:lastRenderedPageBreak/>
        <w:t>上市公司及其子公司是否属于国家环境保护部门规定的重污染行业</w:t>
      </w:r>
    </w:p>
    <w:p w:rsidR="00BC4D56" w:rsidRPr="000A5B5D" w:rsidRDefault="00BC4D56" w:rsidP="00D85930">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公司控股子公司浙江逸盛石化有限公司、参股公司浙江巴陵恒逸己内酰胺有限责任公司及海南逸盛石化有限公司属于国家环境保护部门规定的重污染行业。</w:t>
      </w:r>
      <w:r w:rsidRPr="000A5B5D">
        <w:rPr>
          <w:rFonts w:eastAsia="Times New Roman"/>
          <w:kern w:val="0"/>
          <w:sz w:val="24"/>
          <w:szCs w:val="24"/>
          <w:lang w:val="zh-CN"/>
        </w:rPr>
        <w:t>2015</w:t>
      </w:r>
      <w:r w:rsidRPr="000A5B5D">
        <w:rPr>
          <w:rFonts w:ascii="宋体" w:hAnsi="宋体" w:cs="宋体" w:hint="eastAsia"/>
          <w:kern w:val="0"/>
          <w:sz w:val="24"/>
          <w:szCs w:val="24"/>
          <w:lang w:val="zh-CN"/>
        </w:rPr>
        <w:t>年度，上述公司均未发生重大环境污染事故，各项污染物全部达标排放，环保设施一直连续运行，且处理效率逐步提高。</w:t>
      </w:r>
    </w:p>
    <w:p w:rsidR="00BC4D56" w:rsidRPr="000A5B5D" w:rsidRDefault="00BC4D56">
      <w:pPr>
        <w:pStyle w:val="Chapter"/>
        <w:outlineLvl w:val="1"/>
        <w:rPr>
          <w:bCs w:val="0"/>
        </w:rPr>
      </w:pPr>
      <w:r w:rsidRPr="000A5B5D">
        <w:rPr>
          <w:rFonts w:hint="eastAsia"/>
          <w:bCs w:val="0"/>
        </w:rPr>
        <w:t>二十一、公司债券相关情况</w:t>
      </w:r>
    </w:p>
    <w:p w:rsidR="00BC4D56" w:rsidRPr="000A5B5D" w:rsidRDefault="00BC4D56" w:rsidP="00D85930">
      <w:pPr>
        <w:spacing w:line="360" w:lineRule="auto"/>
        <w:jc w:val="left"/>
        <w:rPr>
          <w:sz w:val="24"/>
          <w:szCs w:val="24"/>
        </w:rPr>
      </w:pPr>
      <w:r w:rsidRPr="000A5B5D">
        <w:rPr>
          <w:rFonts w:hint="eastAsia"/>
          <w:sz w:val="24"/>
          <w:szCs w:val="24"/>
        </w:rPr>
        <w:t>公司是否存在公开发行并在证券交易所上市，且在年度报告批准报出日未到期或到期未能全额兑付的公司债券</w:t>
      </w:r>
    </w:p>
    <w:p w:rsidR="00BC4D56" w:rsidRPr="000A5B5D" w:rsidRDefault="00BC4D56" w:rsidP="00D85930">
      <w:pPr>
        <w:spacing w:line="360" w:lineRule="auto"/>
        <w:jc w:val="left"/>
        <w:rPr>
          <w:sz w:val="24"/>
          <w:szCs w:val="24"/>
        </w:rPr>
      </w:pPr>
      <w:r w:rsidRPr="000A5B5D">
        <w:rPr>
          <w:rFonts w:hint="eastAsia"/>
          <w:sz w:val="24"/>
          <w:szCs w:val="24"/>
        </w:rPr>
        <w:t>否</w:t>
      </w:r>
    </w:p>
    <w:p w:rsidR="00BC4D56" w:rsidRPr="000A5B5D" w:rsidRDefault="00BC4D56" w:rsidP="00D85930">
      <w:pPr>
        <w:spacing w:line="360" w:lineRule="auto"/>
        <w:jc w:val="left"/>
        <w:rPr>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7" w:name="_Toc449101530"/>
      <w:r w:rsidRPr="000A5B5D">
        <w:rPr>
          <w:rFonts w:hint="eastAsia"/>
          <w:bCs w:val="0"/>
          <w:szCs w:val="24"/>
        </w:rPr>
        <w:lastRenderedPageBreak/>
        <w:t>第六节</w:t>
      </w:r>
      <w:r w:rsidRPr="000A5B5D">
        <w:rPr>
          <w:bCs w:val="0"/>
          <w:szCs w:val="24"/>
        </w:rPr>
        <w:t xml:space="preserve"> </w:t>
      </w:r>
      <w:r w:rsidRPr="000A5B5D">
        <w:rPr>
          <w:rFonts w:hint="eastAsia"/>
          <w:bCs w:val="0"/>
          <w:szCs w:val="24"/>
        </w:rPr>
        <w:t>股份变动及股东情况</w:t>
      </w:r>
      <w:bookmarkEnd w:id="7"/>
    </w:p>
    <w:p w:rsidR="00BC4D56" w:rsidRPr="000A5B5D" w:rsidRDefault="00BC4D56" w:rsidP="00D85930">
      <w:pPr>
        <w:pStyle w:val="Chapter"/>
        <w:spacing w:line="360" w:lineRule="auto"/>
        <w:outlineLvl w:val="1"/>
        <w:rPr>
          <w:bCs w:val="0"/>
        </w:rPr>
      </w:pPr>
      <w:r w:rsidRPr="000A5B5D">
        <w:rPr>
          <w:rFonts w:hint="eastAsia"/>
          <w:bCs w:val="0"/>
        </w:rPr>
        <w:t>一、股份变动情况</w:t>
      </w:r>
    </w:p>
    <w:p w:rsidR="00BC4D56" w:rsidRPr="000A5B5D" w:rsidRDefault="00BC4D56" w:rsidP="00D85930">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、股份变动情况</w:t>
      </w:r>
    </w:p>
    <w:p w:rsidR="00BC4D56" w:rsidRPr="000A5B5D" w:rsidRDefault="00BC4D56" w:rsidP="00D85930">
      <w:pPr>
        <w:wordWrap w:val="0"/>
        <w:spacing w:line="360" w:lineRule="auto"/>
        <w:jc w:val="right"/>
        <w:rPr>
          <w:szCs w:val="24"/>
        </w:rPr>
      </w:pPr>
      <w:r w:rsidRPr="000A5B5D">
        <w:rPr>
          <w:rFonts w:hint="eastAsia"/>
          <w:sz w:val="24"/>
          <w:szCs w:val="24"/>
        </w:rPr>
        <w:t>单位：股</w:t>
      </w:r>
      <w:r w:rsidR="00D85930" w:rsidRPr="000A5B5D">
        <w:rPr>
          <w:sz w:val="24"/>
          <w:szCs w:val="24"/>
        </w:rPr>
        <w:t xml:space="preserve">   </w:t>
      </w:r>
      <w:r w:rsidR="00D85930" w:rsidRPr="000A5B5D">
        <w:rPr>
          <w:szCs w:val="24"/>
        </w:rPr>
        <w:t xml:space="preserve"> </w:t>
      </w:r>
    </w:p>
    <w:tbl>
      <w:tblPr>
        <w:tblW w:w="9781" w:type="dxa"/>
        <w:jc w:val="center"/>
        <w:tblLayout w:type="fixed"/>
        <w:tblCellMar>
          <w:left w:w="28" w:type="dxa"/>
          <w:right w:w="28" w:type="dxa"/>
        </w:tblCellMar>
        <w:tblLook w:val="0000" w:firstRow="0" w:lastRow="0" w:firstColumn="0" w:lastColumn="0" w:noHBand="0" w:noVBand="0"/>
      </w:tblPr>
      <w:tblGrid>
        <w:gridCol w:w="1915"/>
        <w:gridCol w:w="1134"/>
        <w:gridCol w:w="709"/>
        <w:gridCol w:w="1134"/>
        <w:gridCol w:w="567"/>
        <w:gridCol w:w="992"/>
        <w:gridCol w:w="425"/>
        <w:gridCol w:w="993"/>
        <w:gridCol w:w="1203"/>
        <w:gridCol w:w="709"/>
      </w:tblGrid>
      <w:tr w:rsidR="00BC4D56" w:rsidRPr="000A5B5D" w:rsidTr="008C6844">
        <w:trPr>
          <w:jc w:val="center"/>
        </w:trPr>
        <w:tc>
          <w:tcPr>
            <w:tcW w:w="191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本次变动前</w:t>
            </w:r>
          </w:p>
        </w:tc>
        <w:tc>
          <w:tcPr>
            <w:tcW w:w="4111"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本次变动增减（＋，－）</w:t>
            </w:r>
          </w:p>
        </w:tc>
        <w:tc>
          <w:tcPr>
            <w:tcW w:w="191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本次变动后</w:t>
            </w:r>
          </w:p>
        </w:tc>
      </w:tr>
      <w:tr w:rsidR="00BC4D56" w:rsidRPr="000A5B5D" w:rsidTr="008C6844">
        <w:trPr>
          <w:jc w:val="center"/>
        </w:trPr>
        <w:tc>
          <w:tcPr>
            <w:tcW w:w="1915"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数量</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比例</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发行新股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送股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公积金转股</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其他</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小计</w:t>
            </w:r>
          </w:p>
        </w:tc>
        <w:tc>
          <w:tcPr>
            <w:tcW w:w="120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数量</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85930">
            <w:pPr>
              <w:jc w:val="center"/>
              <w:rPr>
                <w:szCs w:val="24"/>
              </w:rPr>
            </w:pPr>
            <w:r w:rsidRPr="000A5B5D">
              <w:rPr>
                <w:rFonts w:hint="eastAsia"/>
                <w:szCs w:val="24"/>
              </w:rPr>
              <w:t>比例</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一、有限售条件股份</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11.68%</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szCs w:val="24"/>
              </w:rPr>
              <w:t>3</w:t>
            </w:r>
            <w:r w:rsidRPr="000A5B5D">
              <w:rPr>
                <w:rFonts w:hint="eastAsia"/>
                <w:szCs w:val="24"/>
              </w:rPr>
              <w:t>、其他内资持股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11.68%</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其中：境内法人持股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140,845,070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140,845,070</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140,845,070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10.78%</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 xml:space="preserve">　　　境内自然人持股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11,700,000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11,700,000</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11,700,000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0.90%</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二、无限售条件股份</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1,153,587,626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1,153,587,626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88.32%</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szCs w:val="24"/>
              </w:rPr>
              <w:t>1</w:t>
            </w:r>
            <w:r w:rsidRPr="000A5B5D">
              <w:rPr>
                <w:rFonts w:hint="eastAsia"/>
                <w:szCs w:val="24"/>
              </w:rPr>
              <w:t>、人民币普通股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1,153,587,626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1,153,587,626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88.32%</w:t>
            </w:r>
          </w:p>
        </w:tc>
      </w:tr>
      <w:tr w:rsidR="00BC4D56" w:rsidRPr="000A5B5D" w:rsidTr="008C6844">
        <w:trPr>
          <w:jc w:val="center"/>
        </w:trPr>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三、股份总数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1,153,587,626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152,545,070</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1,306,132,696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85930">
            <w:pPr>
              <w:jc w:val="center"/>
              <w:rPr>
                <w:szCs w:val="24"/>
              </w:rPr>
            </w:pPr>
            <w:r w:rsidRPr="000A5B5D">
              <w:rPr>
                <w:szCs w:val="24"/>
              </w:rPr>
              <w:t>100.00%</w:t>
            </w:r>
          </w:p>
        </w:tc>
      </w:tr>
    </w:tbl>
    <w:p w:rsidR="00BC4D56" w:rsidRPr="000A5B5D" w:rsidRDefault="00BC4D56" w:rsidP="008C6844">
      <w:pPr>
        <w:spacing w:line="360" w:lineRule="auto"/>
        <w:jc w:val="left"/>
        <w:rPr>
          <w:sz w:val="24"/>
          <w:szCs w:val="24"/>
        </w:rPr>
      </w:pPr>
      <w:r w:rsidRPr="000A5B5D">
        <w:rPr>
          <w:rFonts w:hint="eastAsia"/>
          <w:sz w:val="24"/>
          <w:szCs w:val="24"/>
        </w:rPr>
        <w:t>股份变动的原因</w:t>
      </w:r>
    </w:p>
    <w:p w:rsidR="00BC4D56" w:rsidRPr="000A5B5D" w:rsidRDefault="00BC4D56" w:rsidP="008C6844">
      <w:pPr>
        <w:autoSpaceDE w:val="0"/>
        <w:autoSpaceDN w:val="0"/>
        <w:adjustRightInd w:val="0"/>
        <w:spacing w:before="0" w:after="0" w:line="360" w:lineRule="auto"/>
        <w:rPr>
          <w:rFonts w:eastAsia="Times New Roman"/>
          <w:kern w:val="0"/>
          <w:sz w:val="24"/>
          <w:szCs w:val="24"/>
          <w:lang w:val="zh-CN"/>
        </w:rPr>
      </w:pPr>
      <w:r w:rsidRPr="000A5B5D">
        <w:rPr>
          <w:rFonts w:ascii="宋体" w:hAnsi="宋体" w:cs="宋体" w:hint="eastAsia"/>
          <w:kern w:val="0"/>
          <w:sz w:val="24"/>
          <w:szCs w:val="24"/>
          <w:lang w:val="zh-CN"/>
        </w:rPr>
        <w:t>报告期内</w:t>
      </w:r>
      <w:r w:rsidR="00BF252E" w:rsidRPr="000A5B5D">
        <w:rPr>
          <w:rFonts w:ascii="宋体" w:hAnsi="宋体" w:cs="宋体" w:hint="eastAsia"/>
          <w:kern w:val="0"/>
          <w:sz w:val="24"/>
          <w:szCs w:val="24"/>
          <w:lang w:val="zh-CN"/>
        </w:rPr>
        <w:t>，公司实施了第一期限制性股票激励计划和向特定对象非公开发行股票</w:t>
      </w:r>
    </w:p>
    <w:p w:rsidR="00BC4D56" w:rsidRPr="000A5B5D" w:rsidRDefault="00BC4D56" w:rsidP="008C6844">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1</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8</w:t>
      </w:r>
      <w:r w:rsidRPr="000A5B5D">
        <w:rPr>
          <w:rFonts w:ascii="宋体" w:hAnsi="宋体" w:cs="宋体" w:hint="eastAsia"/>
          <w:kern w:val="0"/>
          <w:sz w:val="24"/>
          <w:szCs w:val="24"/>
          <w:lang w:val="zh-CN"/>
        </w:rPr>
        <w:t>月，公司实施第一期限制性股票激励计划。向目前公司的董事、高级管理人员、核心管理人员以及子公司总经理共</w:t>
      </w:r>
      <w:r w:rsidRPr="000A5B5D">
        <w:rPr>
          <w:rFonts w:eastAsia="Times New Roman"/>
          <w:kern w:val="0"/>
          <w:sz w:val="24"/>
          <w:szCs w:val="24"/>
          <w:lang w:val="zh-CN"/>
        </w:rPr>
        <w:t>15</w:t>
      </w:r>
      <w:r w:rsidRPr="000A5B5D">
        <w:rPr>
          <w:rFonts w:ascii="宋体" w:hAnsi="宋体" w:cs="宋体" w:hint="eastAsia"/>
          <w:kern w:val="0"/>
          <w:sz w:val="24"/>
          <w:szCs w:val="24"/>
          <w:lang w:val="zh-CN"/>
        </w:rPr>
        <w:t>人授予限制性股票</w:t>
      </w:r>
      <w:r w:rsidRPr="000A5B5D">
        <w:rPr>
          <w:rFonts w:eastAsia="Times New Roman"/>
          <w:kern w:val="0"/>
          <w:sz w:val="24"/>
          <w:szCs w:val="24"/>
          <w:lang w:val="zh-CN"/>
        </w:rPr>
        <w:t>1,170</w:t>
      </w:r>
      <w:r w:rsidRPr="000A5B5D">
        <w:rPr>
          <w:rFonts w:ascii="宋体" w:hAnsi="宋体" w:cs="宋体" w:hint="eastAsia"/>
          <w:kern w:val="0"/>
          <w:sz w:val="24"/>
          <w:szCs w:val="24"/>
          <w:lang w:val="zh-CN"/>
        </w:rPr>
        <w:t>万股，占总股本比例为</w:t>
      </w:r>
      <w:r w:rsidRPr="000A5B5D">
        <w:rPr>
          <w:rFonts w:eastAsia="Times New Roman"/>
          <w:kern w:val="0"/>
          <w:sz w:val="24"/>
          <w:szCs w:val="24"/>
          <w:lang w:val="zh-CN"/>
        </w:rPr>
        <w:t>1.01%</w:t>
      </w:r>
      <w:r w:rsidRPr="000A5B5D">
        <w:rPr>
          <w:rFonts w:ascii="宋体" w:hAnsi="宋体" w:cs="宋体" w:hint="eastAsia"/>
          <w:kern w:val="0"/>
          <w:sz w:val="24"/>
          <w:szCs w:val="24"/>
          <w:lang w:val="zh-CN"/>
        </w:rPr>
        <w:t>。</w:t>
      </w:r>
    </w:p>
    <w:p w:rsidR="00BC4D56" w:rsidRPr="000A5B5D" w:rsidRDefault="00BC4D56" w:rsidP="008C6844">
      <w:pPr>
        <w:autoSpaceDE w:val="0"/>
        <w:autoSpaceDN w:val="0"/>
        <w:adjustRightInd w:val="0"/>
        <w:spacing w:before="0" w:after="0" w:line="360" w:lineRule="auto"/>
        <w:ind w:firstLine="480"/>
        <w:rPr>
          <w:rFonts w:eastAsia="Times New Roman"/>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11</w:t>
      </w:r>
      <w:r w:rsidRPr="000A5B5D">
        <w:rPr>
          <w:rFonts w:ascii="宋体" w:hAnsi="宋体" w:cs="宋体" w:hint="eastAsia"/>
          <w:kern w:val="0"/>
          <w:sz w:val="24"/>
          <w:szCs w:val="24"/>
          <w:lang w:val="zh-CN"/>
        </w:rPr>
        <w:t>月，公司向控股股东恒逸集团的全资子公司恒逸投资发行</w:t>
      </w:r>
      <w:r w:rsidRPr="000A5B5D">
        <w:rPr>
          <w:rFonts w:eastAsia="Times New Roman"/>
          <w:kern w:val="0"/>
          <w:sz w:val="24"/>
          <w:szCs w:val="24"/>
          <w:lang w:val="zh-CN"/>
        </w:rPr>
        <w:t>140,845,070</w:t>
      </w:r>
      <w:r w:rsidRPr="000A5B5D">
        <w:rPr>
          <w:rFonts w:ascii="宋体" w:hAnsi="宋体" w:cs="宋体" w:hint="eastAsia"/>
          <w:kern w:val="0"/>
          <w:sz w:val="24"/>
          <w:szCs w:val="24"/>
          <w:lang w:val="zh-CN"/>
        </w:rPr>
        <w:t>股。本次非公开发行后，恒逸集团及恒逸投资合计持股</w:t>
      </w:r>
      <w:r w:rsidRPr="000A5B5D">
        <w:rPr>
          <w:rFonts w:eastAsia="Times New Roman"/>
          <w:kern w:val="0"/>
          <w:sz w:val="24"/>
          <w:szCs w:val="24"/>
          <w:lang w:val="zh-CN"/>
        </w:rPr>
        <w:t>948,665,300</w:t>
      </w:r>
      <w:r w:rsidRPr="000A5B5D">
        <w:rPr>
          <w:rFonts w:ascii="宋体" w:hAnsi="宋体" w:cs="宋体" w:hint="eastAsia"/>
          <w:kern w:val="0"/>
          <w:sz w:val="24"/>
          <w:szCs w:val="24"/>
          <w:lang w:val="zh-CN"/>
        </w:rPr>
        <w:t>股，占公司总股本的</w:t>
      </w:r>
      <w:r w:rsidRPr="000A5B5D">
        <w:rPr>
          <w:rFonts w:eastAsia="Times New Roman"/>
          <w:kern w:val="0"/>
          <w:sz w:val="24"/>
          <w:szCs w:val="24"/>
          <w:lang w:val="zh-CN"/>
        </w:rPr>
        <w:t>72.63%</w:t>
      </w:r>
      <w:r w:rsidRPr="000A5B5D">
        <w:rPr>
          <w:rFonts w:ascii="宋体" w:hAnsi="宋体" w:cs="宋体" w:hint="eastAsia"/>
          <w:kern w:val="0"/>
          <w:sz w:val="24"/>
          <w:szCs w:val="24"/>
          <w:lang w:val="zh-CN"/>
        </w:rPr>
        <w:t>，仍为公司的控股股东。</w:t>
      </w:r>
    </w:p>
    <w:p w:rsidR="00BC4D56" w:rsidRPr="000A5B5D" w:rsidRDefault="00BC4D56" w:rsidP="008C6844">
      <w:pPr>
        <w:spacing w:line="360" w:lineRule="auto"/>
        <w:jc w:val="left"/>
        <w:rPr>
          <w:sz w:val="24"/>
          <w:szCs w:val="24"/>
        </w:rPr>
      </w:pPr>
      <w:r w:rsidRPr="000A5B5D">
        <w:rPr>
          <w:rFonts w:hint="eastAsia"/>
          <w:sz w:val="24"/>
          <w:szCs w:val="24"/>
        </w:rPr>
        <w:t>股份变动的批准情况</w:t>
      </w:r>
    </w:p>
    <w:p w:rsidR="00BC4D56" w:rsidRPr="000A5B5D" w:rsidRDefault="00BC4D56" w:rsidP="008C6844">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1</w:t>
      </w:r>
      <w:r w:rsidRPr="000A5B5D">
        <w:rPr>
          <w:rFonts w:ascii="宋体" w:hAnsi="宋体" w:cs="宋体" w:hint="eastAsia"/>
          <w:kern w:val="0"/>
          <w:sz w:val="24"/>
          <w:szCs w:val="24"/>
          <w:lang w:val="zh-CN"/>
        </w:rPr>
        <w:t>、公司股权激励项目批准情况</w:t>
      </w:r>
    </w:p>
    <w:p w:rsidR="008C6844" w:rsidRPr="000A5B5D" w:rsidRDefault="00BC4D56" w:rsidP="008C6844">
      <w:pPr>
        <w:autoSpaceDE w:val="0"/>
        <w:autoSpaceDN w:val="0"/>
        <w:adjustRightInd w:val="0"/>
        <w:spacing w:before="0" w:after="0" w:line="360" w:lineRule="auto"/>
        <w:jc w:val="left"/>
        <w:rPr>
          <w:rFonts w:ascii="宋体" w:cs="宋体"/>
          <w:kern w:val="0"/>
          <w:sz w:val="24"/>
          <w:szCs w:val="24"/>
          <w:lang w:val="zh-CN"/>
        </w:rPr>
      </w:pPr>
      <w:r w:rsidRPr="000A5B5D">
        <w:rPr>
          <w:rFonts w:eastAsia="Times New Roman"/>
          <w:kern w:val="0"/>
          <w:sz w:val="24"/>
          <w:szCs w:val="24"/>
          <w:lang w:val="zh-CN"/>
        </w:rPr>
        <w:t xml:space="preserve">    </w:t>
      </w:r>
      <w:r w:rsidR="008C6844" w:rsidRPr="000A5B5D">
        <w:rPr>
          <w:rFonts w:ascii="宋体" w:hAnsi="宋体" w:cs="宋体" w:hint="eastAsia"/>
          <w:kern w:val="0"/>
          <w:sz w:val="24"/>
          <w:szCs w:val="24"/>
          <w:lang w:val="zh-CN"/>
        </w:rPr>
        <w:t>（</w:t>
      </w:r>
      <w:r w:rsidR="008C6844" w:rsidRPr="000A5B5D">
        <w:rPr>
          <w:rFonts w:ascii="宋体" w:hAnsi="宋体" w:cs="宋体"/>
          <w:kern w:val="0"/>
          <w:sz w:val="24"/>
          <w:szCs w:val="24"/>
          <w:lang w:val="zh-CN"/>
        </w:rPr>
        <w:t>1</w:t>
      </w:r>
      <w:r w:rsidR="008C6844" w:rsidRPr="000A5B5D">
        <w:rPr>
          <w:rFonts w:ascii="宋体" w:hAnsi="宋体" w:cs="宋体" w:hint="eastAsia"/>
          <w:kern w:val="0"/>
          <w:sz w:val="24"/>
          <w:szCs w:val="24"/>
          <w:lang w:val="zh-CN"/>
        </w:rPr>
        <w:t>）</w:t>
      </w:r>
      <w:r w:rsidR="008C6844" w:rsidRPr="000A5B5D">
        <w:rPr>
          <w:rFonts w:ascii="宋体" w:hAnsi="宋体" w:cs="宋体"/>
          <w:kern w:val="0"/>
          <w:sz w:val="24"/>
          <w:szCs w:val="24"/>
          <w:lang w:val="zh-CN"/>
        </w:rPr>
        <w:t>2015</w:t>
      </w:r>
      <w:r w:rsidR="008C6844" w:rsidRPr="000A5B5D">
        <w:rPr>
          <w:rFonts w:ascii="宋体" w:hAnsi="宋体" w:cs="宋体" w:hint="eastAsia"/>
          <w:kern w:val="0"/>
          <w:sz w:val="24"/>
          <w:szCs w:val="24"/>
          <w:lang w:val="zh-CN"/>
        </w:rPr>
        <w:t>年</w:t>
      </w:r>
      <w:r w:rsidR="008C6844" w:rsidRPr="000A5B5D">
        <w:rPr>
          <w:rFonts w:ascii="宋体" w:hAnsi="宋体" w:cs="宋体"/>
          <w:kern w:val="0"/>
          <w:sz w:val="24"/>
          <w:szCs w:val="24"/>
          <w:lang w:val="zh-CN"/>
        </w:rPr>
        <w:t>8</w:t>
      </w:r>
      <w:r w:rsidR="008C6844" w:rsidRPr="000A5B5D">
        <w:rPr>
          <w:rFonts w:ascii="宋体" w:hAnsi="宋体" w:cs="宋体" w:hint="eastAsia"/>
          <w:kern w:val="0"/>
          <w:sz w:val="24"/>
          <w:szCs w:val="24"/>
          <w:lang w:val="zh-CN"/>
        </w:rPr>
        <w:t>月</w:t>
      </w:r>
      <w:r w:rsidR="008C6844" w:rsidRPr="000A5B5D">
        <w:rPr>
          <w:rFonts w:ascii="宋体" w:hAnsi="宋体" w:cs="宋体"/>
          <w:kern w:val="0"/>
          <w:sz w:val="24"/>
          <w:szCs w:val="24"/>
          <w:lang w:val="zh-CN"/>
        </w:rPr>
        <w:t>5</w:t>
      </w:r>
      <w:r w:rsidR="008C6844" w:rsidRPr="000A5B5D">
        <w:rPr>
          <w:rFonts w:ascii="宋体" w:hAnsi="宋体" w:cs="宋体" w:hint="eastAsia"/>
          <w:kern w:val="0"/>
          <w:sz w:val="24"/>
          <w:szCs w:val="24"/>
          <w:lang w:val="zh-CN"/>
        </w:rPr>
        <w:t>日，公司第一期限制性股票激励计划（草案）及相关事项经公司第九届董事会第十二次会议审议通过，并经第九届监事会第六次会议审议通过，详见公司于</w:t>
      </w:r>
      <w:r w:rsidR="008C6844" w:rsidRPr="000A5B5D">
        <w:rPr>
          <w:rFonts w:ascii="宋体" w:hAnsi="宋体" w:cs="宋体"/>
          <w:kern w:val="0"/>
          <w:sz w:val="24"/>
          <w:szCs w:val="24"/>
          <w:lang w:val="zh-CN"/>
        </w:rPr>
        <w:t>2015</w:t>
      </w:r>
      <w:r w:rsidR="008C6844" w:rsidRPr="000A5B5D">
        <w:rPr>
          <w:rFonts w:ascii="宋体" w:hAnsi="宋体" w:cs="宋体" w:hint="eastAsia"/>
          <w:kern w:val="0"/>
          <w:sz w:val="24"/>
          <w:szCs w:val="24"/>
          <w:lang w:val="zh-CN"/>
        </w:rPr>
        <w:t>年</w:t>
      </w:r>
      <w:r w:rsidR="008C6844" w:rsidRPr="000A5B5D">
        <w:rPr>
          <w:rFonts w:ascii="宋体" w:hAnsi="宋体" w:cs="宋体"/>
          <w:kern w:val="0"/>
          <w:sz w:val="24"/>
          <w:szCs w:val="24"/>
          <w:lang w:val="zh-CN"/>
        </w:rPr>
        <w:t>8</w:t>
      </w:r>
      <w:r w:rsidR="008C6844" w:rsidRPr="000A5B5D">
        <w:rPr>
          <w:rFonts w:ascii="宋体" w:hAnsi="宋体" w:cs="宋体" w:hint="eastAsia"/>
          <w:kern w:val="0"/>
          <w:sz w:val="24"/>
          <w:szCs w:val="24"/>
          <w:lang w:val="zh-CN"/>
        </w:rPr>
        <w:t>月</w:t>
      </w:r>
      <w:r w:rsidR="008C6844" w:rsidRPr="000A5B5D">
        <w:rPr>
          <w:rFonts w:ascii="宋体" w:hAnsi="宋体" w:cs="宋体"/>
          <w:kern w:val="0"/>
          <w:sz w:val="24"/>
          <w:szCs w:val="24"/>
          <w:lang w:val="zh-CN"/>
        </w:rPr>
        <w:t>6</w:t>
      </w:r>
      <w:r w:rsidR="008C6844" w:rsidRPr="000A5B5D">
        <w:rPr>
          <w:rFonts w:ascii="宋体" w:hAnsi="宋体" w:cs="宋体" w:hint="eastAsia"/>
          <w:kern w:val="0"/>
          <w:sz w:val="24"/>
          <w:szCs w:val="24"/>
          <w:lang w:val="zh-CN"/>
        </w:rPr>
        <w:t>日在巨潮资讯网上的公告“第九届董事会第十二次会议决议公告”（公告编号：</w:t>
      </w:r>
      <w:r w:rsidR="008C6844" w:rsidRPr="000A5B5D">
        <w:rPr>
          <w:rFonts w:ascii="宋体" w:hAnsi="宋体" w:cs="宋体"/>
          <w:kern w:val="0"/>
          <w:sz w:val="24"/>
          <w:szCs w:val="24"/>
          <w:lang w:val="zh-CN"/>
        </w:rPr>
        <w:t>2015-045</w:t>
      </w:r>
      <w:r w:rsidR="008C6844" w:rsidRPr="000A5B5D">
        <w:rPr>
          <w:rFonts w:ascii="宋体" w:hAnsi="宋体" w:cs="宋体" w:hint="eastAsia"/>
          <w:kern w:val="0"/>
          <w:sz w:val="24"/>
          <w:szCs w:val="24"/>
          <w:lang w:val="zh-CN"/>
        </w:rPr>
        <w:t>）、“第九届监事会第六次会议决议公告”（公告编号：</w:t>
      </w:r>
      <w:r w:rsidR="008C6844" w:rsidRPr="000A5B5D">
        <w:rPr>
          <w:rFonts w:ascii="宋体" w:hAnsi="宋体" w:cs="宋体"/>
          <w:kern w:val="0"/>
          <w:sz w:val="24"/>
          <w:szCs w:val="24"/>
          <w:lang w:val="zh-CN"/>
        </w:rPr>
        <w:t>2015-046</w:t>
      </w:r>
      <w:r w:rsidR="008C6844" w:rsidRPr="000A5B5D">
        <w:rPr>
          <w:rFonts w:ascii="宋体" w:hAnsi="宋体" w:cs="宋体" w:hint="eastAsia"/>
          <w:kern w:val="0"/>
          <w:sz w:val="24"/>
          <w:szCs w:val="24"/>
          <w:lang w:val="zh-CN"/>
        </w:rPr>
        <w:t>）。</w:t>
      </w:r>
    </w:p>
    <w:p w:rsidR="008C6844" w:rsidRPr="000A5B5D" w:rsidRDefault="008C6844" w:rsidP="008C6844">
      <w:pPr>
        <w:autoSpaceDE w:val="0"/>
        <w:autoSpaceDN w:val="0"/>
        <w:adjustRightInd w:val="0"/>
        <w:spacing w:before="0" w:after="0" w:line="360" w:lineRule="auto"/>
        <w:jc w:val="left"/>
        <w:rPr>
          <w:rFonts w:ascii="宋体" w:cs="宋体"/>
          <w:kern w:val="0"/>
          <w:sz w:val="24"/>
          <w:szCs w:val="24"/>
          <w:lang w:val="zh-CN"/>
        </w:rPr>
      </w:pP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21</w:t>
      </w:r>
      <w:r w:rsidRPr="000A5B5D">
        <w:rPr>
          <w:rFonts w:ascii="宋体" w:hAnsi="宋体" w:cs="宋体" w:hint="eastAsia"/>
          <w:kern w:val="0"/>
          <w:sz w:val="24"/>
          <w:szCs w:val="24"/>
          <w:lang w:val="zh-CN"/>
        </w:rPr>
        <w:t>日，公司</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年第五次临时股东大会审议通过本次股票激励计划及相</w:t>
      </w:r>
      <w:r w:rsidRPr="000A5B5D">
        <w:rPr>
          <w:rFonts w:ascii="宋体" w:hAnsi="宋体" w:cs="宋体" w:hint="eastAsia"/>
          <w:kern w:val="0"/>
          <w:sz w:val="24"/>
          <w:szCs w:val="24"/>
          <w:lang w:val="zh-CN"/>
        </w:rPr>
        <w:lastRenderedPageBreak/>
        <w:t>关事项，详见公司于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22</w:t>
      </w:r>
      <w:r w:rsidRPr="000A5B5D">
        <w:rPr>
          <w:rFonts w:ascii="宋体" w:hAnsi="宋体" w:cs="宋体" w:hint="eastAsia"/>
          <w:kern w:val="0"/>
          <w:sz w:val="24"/>
          <w:szCs w:val="24"/>
          <w:lang w:val="zh-CN"/>
        </w:rPr>
        <w:t>日在巨潮资讯网上的公告“</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年第五次临时股东大会决议公告”（公告编号：</w:t>
      </w:r>
      <w:r w:rsidRPr="000A5B5D">
        <w:rPr>
          <w:rFonts w:ascii="宋体" w:hAnsi="宋体" w:cs="宋体"/>
          <w:kern w:val="0"/>
          <w:sz w:val="24"/>
          <w:szCs w:val="24"/>
          <w:lang w:val="zh-CN"/>
        </w:rPr>
        <w:t>2015-053</w:t>
      </w:r>
      <w:r w:rsidRPr="000A5B5D">
        <w:rPr>
          <w:rFonts w:ascii="宋体" w:hAnsi="宋体" w:cs="宋体" w:hint="eastAsia"/>
          <w:kern w:val="0"/>
          <w:sz w:val="24"/>
          <w:szCs w:val="24"/>
          <w:lang w:val="zh-CN"/>
        </w:rPr>
        <w:t>）。</w:t>
      </w:r>
    </w:p>
    <w:p w:rsidR="008C6844" w:rsidRPr="000A5B5D" w:rsidRDefault="008C6844" w:rsidP="008C6844">
      <w:pPr>
        <w:autoSpaceDE w:val="0"/>
        <w:autoSpaceDN w:val="0"/>
        <w:adjustRightInd w:val="0"/>
        <w:spacing w:before="0" w:after="0" w:line="360" w:lineRule="auto"/>
        <w:jc w:val="left"/>
        <w:rPr>
          <w:rFonts w:ascii="宋体" w:cs="宋体"/>
          <w:kern w:val="0"/>
          <w:sz w:val="24"/>
          <w:szCs w:val="24"/>
          <w:lang w:val="zh-CN"/>
        </w:rPr>
      </w:pPr>
      <w:r w:rsidRPr="000A5B5D">
        <w:rPr>
          <w:rFonts w:ascii="宋体" w:hAnsi="宋体" w:cs="宋体"/>
          <w:kern w:val="0"/>
          <w:sz w:val="24"/>
          <w:szCs w:val="24"/>
          <w:lang w:val="zh-CN"/>
        </w:rPr>
        <w:t xml:space="preserve">    </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3</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25</w:t>
      </w:r>
      <w:r w:rsidRPr="000A5B5D">
        <w:rPr>
          <w:rFonts w:ascii="宋体" w:hAnsi="宋体" w:cs="宋体" w:hint="eastAsia"/>
          <w:kern w:val="0"/>
          <w:sz w:val="24"/>
          <w:szCs w:val="24"/>
          <w:lang w:val="zh-CN"/>
        </w:rPr>
        <w:t>日，关于对公司第一期限制性股票激励计划进行调整的议案经公司第九届董事会第十三次会议审议通过，并经第九届监事会第七次会议审议通过，详见公司于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26</w:t>
      </w:r>
      <w:r w:rsidRPr="000A5B5D">
        <w:rPr>
          <w:rFonts w:ascii="宋体" w:hAnsi="宋体" w:cs="宋体" w:hint="eastAsia"/>
          <w:kern w:val="0"/>
          <w:sz w:val="24"/>
          <w:szCs w:val="24"/>
          <w:lang w:val="zh-CN"/>
        </w:rPr>
        <w:t>日在巨潮资讯网上的公告“第九届董事会第十三次会议决议公告”（公告编号：</w:t>
      </w:r>
      <w:r w:rsidRPr="000A5B5D">
        <w:rPr>
          <w:rFonts w:ascii="宋体" w:hAnsi="宋体" w:cs="宋体"/>
          <w:kern w:val="0"/>
          <w:sz w:val="24"/>
          <w:szCs w:val="24"/>
          <w:lang w:val="zh-CN"/>
        </w:rPr>
        <w:t>2015-054</w:t>
      </w:r>
      <w:r w:rsidRPr="000A5B5D">
        <w:rPr>
          <w:rFonts w:ascii="宋体" w:hAnsi="宋体" w:cs="宋体" w:hint="eastAsia"/>
          <w:kern w:val="0"/>
          <w:sz w:val="24"/>
          <w:szCs w:val="24"/>
          <w:lang w:val="zh-CN"/>
        </w:rPr>
        <w:t>）、“第九届监事会第七次会议决议公告”（公告编号：</w:t>
      </w:r>
      <w:r w:rsidRPr="000A5B5D">
        <w:rPr>
          <w:rFonts w:ascii="宋体" w:hAnsi="宋体" w:cs="宋体"/>
          <w:kern w:val="0"/>
          <w:sz w:val="24"/>
          <w:szCs w:val="24"/>
          <w:lang w:val="zh-CN"/>
        </w:rPr>
        <w:t>2015-055</w:t>
      </w:r>
      <w:r w:rsidRPr="000A5B5D">
        <w:rPr>
          <w:rFonts w:ascii="宋体" w:hAnsi="宋体" w:cs="宋体" w:hint="eastAsia"/>
          <w:kern w:val="0"/>
          <w:sz w:val="24"/>
          <w:szCs w:val="24"/>
          <w:lang w:val="zh-CN"/>
        </w:rPr>
        <w:t>）。</w:t>
      </w:r>
    </w:p>
    <w:p w:rsidR="008C6844" w:rsidRPr="000A5B5D" w:rsidRDefault="008C6844" w:rsidP="008C6844">
      <w:pPr>
        <w:autoSpaceDE w:val="0"/>
        <w:autoSpaceDN w:val="0"/>
        <w:adjustRightInd w:val="0"/>
        <w:spacing w:before="0" w:after="0" w:line="360" w:lineRule="auto"/>
        <w:ind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4</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15</w:t>
      </w:r>
      <w:r w:rsidRPr="000A5B5D">
        <w:rPr>
          <w:rFonts w:ascii="宋体" w:hAnsi="宋体" w:cs="宋体" w:hint="eastAsia"/>
          <w:kern w:val="0"/>
          <w:sz w:val="24"/>
          <w:szCs w:val="24"/>
          <w:lang w:val="zh-CN"/>
        </w:rPr>
        <w:t>日，本次限制性股票激励计划授予登记完成，详见公司与</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16</w:t>
      </w:r>
      <w:r w:rsidRPr="000A5B5D">
        <w:rPr>
          <w:rFonts w:ascii="宋体" w:hAnsi="宋体" w:cs="宋体" w:hint="eastAsia"/>
          <w:kern w:val="0"/>
          <w:sz w:val="24"/>
          <w:szCs w:val="24"/>
          <w:lang w:val="zh-CN"/>
        </w:rPr>
        <w:t>日在巨潮资讯网上的公告“关于限制性股票激励计划授予登记完成的公告”（公告编号：</w:t>
      </w:r>
      <w:r w:rsidRPr="000A5B5D">
        <w:rPr>
          <w:rFonts w:ascii="宋体" w:hAnsi="宋体" w:cs="宋体"/>
          <w:kern w:val="0"/>
          <w:sz w:val="24"/>
          <w:szCs w:val="24"/>
          <w:lang w:val="zh-CN"/>
        </w:rPr>
        <w:t>2015-063</w:t>
      </w:r>
      <w:r w:rsidRPr="000A5B5D">
        <w:rPr>
          <w:rFonts w:ascii="宋体" w:hAnsi="宋体" w:cs="宋体" w:hint="eastAsia"/>
          <w:kern w:val="0"/>
          <w:sz w:val="24"/>
          <w:szCs w:val="24"/>
          <w:lang w:val="zh-CN"/>
        </w:rPr>
        <w:t>）。</w:t>
      </w:r>
    </w:p>
    <w:p w:rsidR="00BC4D56" w:rsidRPr="000A5B5D" w:rsidRDefault="00BC4D56" w:rsidP="007E585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年度非公开发行股票项目</w:t>
      </w:r>
      <w:r w:rsidR="007E5851" w:rsidRPr="000A5B5D">
        <w:rPr>
          <w:rFonts w:ascii="宋体" w:hAnsi="宋体" w:cs="宋体" w:hint="eastAsia"/>
          <w:kern w:val="0"/>
          <w:sz w:val="24"/>
          <w:szCs w:val="24"/>
          <w:lang w:val="zh-CN"/>
        </w:rPr>
        <w:t>批准</w:t>
      </w:r>
    </w:p>
    <w:p w:rsidR="00BC4D56" w:rsidRPr="000A5B5D" w:rsidRDefault="00BC4D56" w:rsidP="008C6844">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1</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8</w:t>
      </w:r>
      <w:r w:rsidRPr="000A5B5D">
        <w:rPr>
          <w:rFonts w:ascii="宋体" w:hAnsi="宋体" w:cs="宋体" w:hint="eastAsia"/>
          <w:kern w:val="0"/>
          <w:sz w:val="24"/>
          <w:szCs w:val="24"/>
          <w:lang w:val="zh-CN"/>
        </w:rPr>
        <w:t>月</w:t>
      </w:r>
      <w:r w:rsidRPr="000A5B5D">
        <w:rPr>
          <w:rFonts w:eastAsia="Times New Roman"/>
          <w:kern w:val="0"/>
          <w:sz w:val="24"/>
          <w:szCs w:val="24"/>
          <w:lang w:val="zh-CN"/>
        </w:rPr>
        <w:t>12</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年度非公开发行股票申请获得无条件通过，详见公司于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8</w:t>
      </w:r>
      <w:r w:rsidRPr="000A5B5D">
        <w:rPr>
          <w:rFonts w:ascii="宋体" w:hAnsi="宋体" w:cs="宋体" w:hint="eastAsia"/>
          <w:kern w:val="0"/>
          <w:sz w:val="24"/>
          <w:szCs w:val="24"/>
          <w:lang w:val="zh-CN"/>
        </w:rPr>
        <w:t>月</w:t>
      </w:r>
      <w:r w:rsidRPr="000A5B5D">
        <w:rPr>
          <w:rFonts w:eastAsia="Times New Roman"/>
          <w:kern w:val="0"/>
          <w:sz w:val="24"/>
          <w:szCs w:val="24"/>
          <w:lang w:val="zh-CN"/>
        </w:rPr>
        <w:t>13</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w:t>
      </w:r>
      <w:r w:rsidRPr="000A5B5D">
        <w:rPr>
          <w:rFonts w:eastAsia="Times New Roman"/>
          <w:kern w:val="0"/>
          <w:sz w:val="24"/>
          <w:szCs w:val="24"/>
          <w:lang w:val="zh-CN"/>
        </w:rPr>
        <w:t>A</w:t>
      </w:r>
      <w:r w:rsidRPr="000A5B5D">
        <w:rPr>
          <w:rFonts w:ascii="宋体" w:hAnsi="宋体" w:cs="宋体" w:hint="eastAsia"/>
          <w:kern w:val="0"/>
          <w:sz w:val="24"/>
          <w:szCs w:val="24"/>
          <w:lang w:val="zh-CN"/>
        </w:rPr>
        <w:t>股股票获得中国证监会发审委无条件审核通过的公告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2015-051</w:t>
      </w:r>
      <w:r w:rsidRPr="000A5B5D">
        <w:rPr>
          <w:rFonts w:ascii="宋体" w:hAnsi="宋体" w:cs="宋体" w:hint="eastAsia"/>
          <w:kern w:val="0"/>
          <w:sz w:val="24"/>
          <w:szCs w:val="24"/>
          <w:lang w:val="zh-CN"/>
        </w:rPr>
        <w:t>）。</w:t>
      </w:r>
    </w:p>
    <w:p w:rsidR="00BC4D56" w:rsidRPr="000A5B5D" w:rsidRDefault="00BC4D56" w:rsidP="008C6844">
      <w:pPr>
        <w:autoSpaceDE w:val="0"/>
        <w:autoSpaceDN w:val="0"/>
        <w:adjustRightInd w:val="0"/>
        <w:spacing w:before="0" w:after="0" w:line="360" w:lineRule="auto"/>
        <w:rPr>
          <w:rFonts w:eastAsiaTheme="minorEastAsia"/>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w:t>
      </w:r>
      <w:r w:rsidRPr="000A5B5D">
        <w:rPr>
          <w:rFonts w:eastAsia="Times New Roman"/>
          <w:kern w:val="0"/>
          <w:sz w:val="24"/>
          <w:szCs w:val="24"/>
          <w:lang w:val="zh-CN"/>
        </w:rPr>
        <w:t>3</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11</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年度非公开发行股票方案获得证监会核准批复，详见公司于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w:t>
      </w:r>
      <w:r w:rsidRPr="000A5B5D">
        <w:rPr>
          <w:rFonts w:eastAsia="Times New Roman"/>
          <w:kern w:val="0"/>
          <w:sz w:val="24"/>
          <w:szCs w:val="24"/>
          <w:lang w:val="zh-CN"/>
        </w:rPr>
        <w:t>12</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w:t>
      </w:r>
      <w:r w:rsidRPr="000A5B5D">
        <w:rPr>
          <w:rFonts w:eastAsia="Times New Roman"/>
          <w:kern w:val="0"/>
          <w:sz w:val="24"/>
          <w:szCs w:val="24"/>
          <w:lang w:val="zh-CN"/>
        </w:rPr>
        <w:t>A</w:t>
      </w:r>
      <w:r w:rsidRPr="000A5B5D">
        <w:rPr>
          <w:rFonts w:ascii="宋体" w:hAnsi="宋体" w:cs="宋体" w:hint="eastAsia"/>
          <w:kern w:val="0"/>
          <w:sz w:val="24"/>
          <w:szCs w:val="24"/>
          <w:lang w:val="zh-CN"/>
        </w:rPr>
        <w:t>股股票获得中国证监会核准批复的公告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2015-062</w:t>
      </w:r>
      <w:r w:rsidRPr="000A5B5D">
        <w:rPr>
          <w:rFonts w:ascii="宋体" w:hAnsi="宋体" w:cs="宋体" w:hint="eastAsia"/>
          <w:kern w:val="0"/>
          <w:sz w:val="24"/>
          <w:szCs w:val="24"/>
          <w:lang w:val="zh-CN"/>
        </w:rPr>
        <w:t>）。</w:t>
      </w:r>
    </w:p>
    <w:p w:rsidR="00BC4D56" w:rsidRPr="000A5B5D" w:rsidRDefault="00BC4D56" w:rsidP="008C6844">
      <w:pPr>
        <w:spacing w:line="360" w:lineRule="auto"/>
        <w:jc w:val="left"/>
        <w:rPr>
          <w:sz w:val="24"/>
          <w:szCs w:val="24"/>
        </w:rPr>
      </w:pPr>
      <w:r w:rsidRPr="000A5B5D">
        <w:rPr>
          <w:rFonts w:hint="eastAsia"/>
          <w:sz w:val="24"/>
          <w:szCs w:val="24"/>
        </w:rPr>
        <w:t>股份变动的过户情况</w:t>
      </w:r>
    </w:p>
    <w:p w:rsidR="009A4AB1" w:rsidRPr="000A5B5D" w:rsidRDefault="007603A2" w:rsidP="007603A2">
      <w:pPr>
        <w:autoSpaceDE w:val="0"/>
        <w:autoSpaceDN w:val="0"/>
        <w:adjustRightInd w:val="0"/>
        <w:spacing w:before="0" w:after="0" w:line="360" w:lineRule="auto"/>
        <w:jc w:val="left"/>
        <w:rPr>
          <w:rFonts w:ascii="宋体" w:cs="宋体"/>
          <w:kern w:val="0"/>
          <w:sz w:val="24"/>
          <w:szCs w:val="24"/>
          <w:lang w:val="zh-CN"/>
        </w:rPr>
      </w:pPr>
      <w:r w:rsidRPr="000A5B5D">
        <w:rPr>
          <w:rFonts w:ascii="宋体" w:cs="宋体"/>
          <w:kern w:val="0"/>
          <w:sz w:val="24"/>
          <w:szCs w:val="24"/>
          <w:lang w:val="zh-CN"/>
        </w:rPr>
        <w:t>1</w:t>
      </w:r>
      <w:r w:rsidRPr="000A5B5D">
        <w:rPr>
          <w:rFonts w:ascii="宋体" w:hAnsi="宋体" w:cs="宋体" w:hint="eastAsia"/>
          <w:kern w:val="0"/>
          <w:sz w:val="24"/>
          <w:szCs w:val="24"/>
          <w:lang w:val="zh-CN"/>
        </w:rPr>
        <w:t>、</w:t>
      </w:r>
      <w:r w:rsidR="009A4AB1" w:rsidRPr="000A5B5D">
        <w:rPr>
          <w:rFonts w:ascii="宋体" w:hAnsi="宋体" w:cs="宋体" w:hint="eastAsia"/>
          <w:kern w:val="0"/>
          <w:sz w:val="24"/>
          <w:szCs w:val="24"/>
          <w:lang w:val="zh-CN"/>
        </w:rPr>
        <w:t>公司股权激励项目过户情况</w:t>
      </w:r>
    </w:p>
    <w:p w:rsidR="007603A2" w:rsidRPr="000A5B5D" w:rsidRDefault="00B216A4" w:rsidP="007603A2">
      <w:pPr>
        <w:autoSpaceDE w:val="0"/>
        <w:autoSpaceDN w:val="0"/>
        <w:adjustRightInd w:val="0"/>
        <w:spacing w:before="0" w:after="0" w:line="360" w:lineRule="auto"/>
        <w:jc w:val="left"/>
        <w:rPr>
          <w:rFonts w:eastAsiaTheme="minorEastAsia"/>
          <w:kern w:val="0"/>
          <w:sz w:val="24"/>
          <w:szCs w:val="24"/>
          <w:lang w:val="zh-CN"/>
        </w:rPr>
      </w:pPr>
      <w:r w:rsidRPr="000A5B5D">
        <w:rPr>
          <w:rFonts w:eastAsiaTheme="minorEastAsia"/>
          <w:kern w:val="0"/>
          <w:sz w:val="24"/>
          <w:szCs w:val="24"/>
          <w:lang w:val="zh-CN"/>
        </w:rPr>
        <w:t xml:space="preserve">    2015</w:t>
      </w:r>
      <w:r w:rsidRPr="000A5B5D">
        <w:rPr>
          <w:rFonts w:eastAsiaTheme="minorEastAsia" w:hint="eastAsia"/>
          <w:kern w:val="0"/>
          <w:sz w:val="24"/>
          <w:szCs w:val="24"/>
          <w:lang w:val="zh-CN"/>
        </w:rPr>
        <w:t>年</w:t>
      </w:r>
      <w:r w:rsidR="009456CE" w:rsidRPr="000A5B5D">
        <w:rPr>
          <w:rFonts w:eastAsiaTheme="minorEastAsia"/>
          <w:kern w:val="0"/>
          <w:sz w:val="24"/>
          <w:szCs w:val="24"/>
          <w:lang w:val="zh-CN"/>
        </w:rPr>
        <w:t>9</w:t>
      </w:r>
      <w:r w:rsidR="009456CE" w:rsidRPr="000A5B5D">
        <w:rPr>
          <w:rFonts w:eastAsiaTheme="minorEastAsia" w:hint="eastAsia"/>
          <w:kern w:val="0"/>
          <w:sz w:val="24"/>
          <w:szCs w:val="24"/>
          <w:lang w:val="zh-CN"/>
        </w:rPr>
        <w:t>月</w:t>
      </w:r>
      <w:r w:rsidR="009456CE" w:rsidRPr="000A5B5D">
        <w:rPr>
          <w:rFonts w:eastAsiaTheme="minorEastAsia"/>
          <w:kern w:val="0"/>
          <w:sz w:val="24"/>
          <w:szCs w:val="24"/>
          <w:lang w:val="zh-CN"/>
        </w:rPr>
        <w:t>15</w:t>
      </w:r>
      <w:r w:rsidR="009456CE" w:rsidRPr="000A5B5D">
        <w:rPr>
          <w:rFonts w:eastAsiaTheme="minorEastAsia" w:hint="eastAsia"/>
          <w:kern w:val="0"/>
          <w:sz w:val="24"/>
          <w:szCs w:val="24"/>
          <w:lang w:val="zh-CN"/>
        </w:rPr>
        <w:t>日，公司发</w:t>
      </w:r>
      <w:r w:rsidR="009456CE" w:rsidRPr="000A5B5D">
        <w:rPr>
          <w:rFonts w:asciiTheme="minorEastAsia" w:eastAsiaTheme="minorEastAsia" w:hAnsiTheme="minorEastAsia" w:hint="eastAsia"/>
          <w:kern w:val="0"/>
          <w:sz w:val="24"/>
          <w:szCs w:val="24"/>
          <w:lang w:val="zh-CN"/>
        </w:rPr>
        <w:t>布</w:t>
      </w:r>
      <w:r w:rsidR="009456CE" w:rsidRPr="000A5B5D">
        <w:rPr>
          <w:rFonts w:asciiTheme="minorEastAsia" w:eastAsiaTheme="minorEastAsia" w:hAnsiTheme="minorEastAsia"/>
          <w:kern w:val="0"/>
          <w:sz w:val="24"/>
          <w:szCs w:val="24"/>
          <w:lang w:val="zh-CN"/>
        </w:rPr>
        <w:t>“</w:t>
      </w:r>
      <w:r w:rsidR="009456CE" w:rsidRPr="000A5B5D">
        <w:rPr>
          <w:rFonts w:asciiTheme="minorEastAsia" w:eastAsiaTheme="minorEastAsia" w:hAnsiTheme="minorEastAsia" w:hint="eastAsia"/>
          <w:kern w:val="0"/>
          <w:sz w:val="24"/>
          <w:szCs w:val="24"/>
          <w:lang w:val="zh-CN"/>
        </w:rPr>
        <w:t>关于限制性股票激励计划授予登记完成的公告</w:t>
      </w:r>
      <w:r w:rsidR="009456CE" w:rsidRPr="000A5B5D">
        <w:rPr>
          <w:rFonts w:asciiTheme="minorEastAsia" w:eastAsiaTheme="minorEastAsia" w:hAnsiTheme="minorEastAsia"/>
          <w:kern w:val="0"/>
          <w:sz w:val="24"/>
          <w:szCs w:val="24"/>
          <w:lang w:val="zh-CN"/>
        </w:rPr>
        <w:t>”</w:t>
      </w:r>
      <w:r w:rsidR="002E3E28" w:rsidRPr="000A5B5D">
        <w:rPr>
          <w:rFonts w:asciiTheme="minorEastAsia" w:eastAsiaTheme="minorEastAsia" w:hAnsiTheme="minorEastAsia" w:hint="eastAsia"/>
          <w:kern w:val="0"/>
          <w:sz w:val="24"/>
          <w:szCs w:val="24"/>
          <w:lang w:val="zh-CN"/>
        </w:rPr>
        <w:t>（公告编号：</w:t>
      </w:r>
      <w:r w:rsidR="002E3E28" w:rsidRPr="000A5B5D">
        <w:rPr>
          <w:rFonts w:eastAsia="Times New Roman"/>
          <w:kern w:val="0"/>
          <w:sz w:val="24"/>
          <w:szCs w:val="24"/>
          <w:lang w:val="zh-CN"/>
        </w:rPr>
        <w:t>2015-063</w:t>
      </w:r>
      <w:r w:rsidR="002E3E28" w:rsidRPr="000A5B5D">
        <w:rPr>
          <w:rFonts w:asciiTheme="minorEastAsia" w:eastAsiaTheme="minorEastAsia" w:hAnsiTheme="minorEastAsia" w:hint="eastAsia"/>
          <w:kern w:val="0"/>
          <w:sz w:val="24"/>
          <w:szCs w:val="24"/>
          <w:lang w:val="zh-CN"/>
        </w:rPr>
        <w:t>），完成</w:t>
      </w:r>
      <w:r w:rsidR="009456CE" w:rsidRPr="000A5B5D">
        <w:rPr>
          <w:rFonts w:asciiTheme="minorEastAsia" w:eastAsiaTheme="minorEastAsia" w:hAnsiTheme="minorEastAsia" w:hint="eastAsia"/>
          <w:kern w:val="0"/>
          <w:sz w:val="24"/>
          <w:szCs w:val="24"/>
          <w:lang w:val="zh-CN"/>
        </w:rPr>
        <w:t>《恒逸石化股份有限公司第一期限制性股票激励计划（草案）》</w:t>
      </w:r>
      <w:r w:rsidR="009456CE" w:rsidRPr="000A5B5D">
        <w:rPr>
          <w:rFonts w:hint="eastAsia"/>
          <w:kern w:val="0"/>
          <w:sz w:val="24"/>
          <w:szCs w:val="24"/>
          <w:lang w:val="zh-CN"/>
        </w:rPr>
        <w:t>限制性股票首次授予登记工作。</w:t>
      </w:r>
    </w:p>
    <w:p w:rsidR="009A4AB1" w:rsidRPr="000A5B5D" w:rsidRDefault="009A4AB1" w:rsidP="009A4AB1">
      <w:pPr>
        <w:autoSpaceDE w:val="0"/>
        <w:autoSpaceDN w:val="0"/>
        <w:adjustRightInd w:val="0"/>
        <w:spacing w:before="0" w:after="0" w:line="360" w:lineRule="auto"/>
        <w:jc w:val="left"/>
        <w:rPr>
          <w:rFonts w:ascii="宋体" w:cs="宋体"/>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年度非公开发行股票项目过户情况</w:t>
      </w:r>
    </w:p>
    <w:p w:rsidR="007603A2" w:rsidRPr="000A5B5D" w:rsidRDefault="007603A2" w:rsidP="007603A2">
      <w:pPr>
        <w:autoSpaceDE w:val="0"/>
        <w:autoSpaceDN w:val="0"/>
        <w:adjustRightInd w:val="0"/>
        <w:spacing w:before="0" w:after="0" w:line="360" w:lineRule="auto"/>
        <w:ind w:firstLineChars="200"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1</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12</w:t>
      </w:r>
      <w:r w:rsidRPr="000A5B5D">
        <w:rPr>
          <w:rFonts w:ascii="宋体" w:hAnsi="宋体" w:cs="宋体" w:hint="eastAsia"/>
          <w:kern w:val="0"/>
          <w:sz w:val="24"/>
          <w:szCs w:val="24"/>
          <w:lang w:val="zh-CN"/>
        </w:rPr>
        <w:t>日，公司以非公开发行股票的方式向恒逸投资发行</w:t>
      </w:r>
      <w:r w:rsidRPr="000A5B5D">
        <w:rPr>
          <w:rFonts w:ascii="宋体" w:hAnsi="宋体" w:cs="宋体"/>
          <w:kern w:val="0"/>
          <w:sz w:val="24"/>
          <w:szCs w:val="24"/>
          <w:lang w:val="zh-CN"/>
        </w:rPr>
        <w:t>140,845,070</w:t>
      </w:r>
      <w:r w:rsidRPr="000A5B5D">
        <w:rPr>
          <w:rFonts w:ascii="宋体" w:hAnsi="宋体" w:cs="宋体" w:hint="eastAsia"/>
          <w:kern w:val="0"/>
          <w:sz w:val="24"/>
          <w:szCs w:val="24"/>
          <w:lang w:val="zh-CN"/>
        </w:rPr>
        <w:t>股人民币普通股（</w:t>
      </w:r>
      <w:r w:rsidRPr="000A5B5D">
        <w:rPr>
          <w:rFonts w:ascii="宋体" w:hAnsi="宋体" w:cs="宋体"/>
          <w:kern w:val="0"/>
          <w:sz w:val="24"/>
          <w:szCs w:val="24"/>
          <w:lang w:val="zh-CN"/>
        </w:rPr>
        <w:t>A</w:t>
      </w:r>
      <w:r w:rsidRPr="000A5B5D">
        <w:rPr>
          <w:rFonts w:ascii="宋体" w:hAnsi="宋体" w:cs="宋体" w:hint="eastAsia"/>
          <w:kern w:val="0"/>
          <w:sz w:val="24"/>
          <w:szCs w:val="24"/>
          <w:lang w:val="zh-CN"/>
        </w:rPr>
        <w:t>股）。</w:t>
      </w:r>
    </w:p>
    <w:p w:rsidR="009A4AB1" w:rsidRPr="000A5B5D" w:rsidRDefault="007603A2" w:rsidP="007603A2">
      <w:pPr>
        <w:autoSpaceDE w:val="0"/>
        <w:autoSpaceDN w:val="0"/>
        <w:adjustRightInd w:val="0"/>
        <w:spacing w:before="0" w:after="0" w:line="360" w:lineRule="auto"/>
        <w:ind w:firstLineChars="200" w:firstLine="480"/>
        <w:jc w:val="left"/>
        <w:rPr>
          <w:rFonts w:ascii="宋体" w:cs="宋体"/>
          <w:kern w:val="0"/>
          <w:sz w:val="24"/>
          <w:szCs w:val="24"/>
          <w:lang w:val="zh-CN"/>
        </w:rPr>
      </w:pPr>
      <w:r w:rsidRPr="000A5B5D">
        <w:rPr>
          <w:rFonts w:ascii="宋体" w:hAnsi="宋体" w:cs="宋体" w:hint="eastAsia"/>
          <w:kern w:val="0"/>
          <w:sz w:val="24"/>
          <w:szCs w:val="24"/>
          <w:lang w:val="zh-CN"/>
        </w:rPr>
        <w:t>（</w:t>
      </w:r>
      <w:r w:rsidRPr="000A5B5D">
        <w:rPr>
          <w:rFonts w:ascii="宋体" w:hAnsi="宋体" w:cs="宋体"/>
          <w:kern w:val="0"/>
          <w:sz w:val="24"/>
          <w:szCs w:val="24"/>
          <w:lang w:val="zh-CN"/>
        </w:rPr>
        <w:t>2</w:t>
      </w:r>
      <w:r w:rsidRPr="000A5B5D">
        <w:rPr>
          <w:rFonts w:ascii="宋体" w:hAnsi="宋体" w:cs="宋体" w:hint="eastAsia"/>
          <w:kern w:val="0"/>
          <w:sz w:val="24"/>
          <w:szCs w:val="24"/>
          <w:lang w:val="zh-CN"/>
        </w:rPr>
        <w:t>）</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10</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16</w:t>
      </w:r>
      <w:r w:rsidRPr="000A5B5D">
        <w:rPr>
          <w:rFonts w:ascii="宋体" w:hAnsi="宋体" w:cs="宋体" w:hint="eastAsia"/>
          <w:kern w:val="0"/>
          <w:sz w:val="24"/>
          <w:szCs w:val="24"/>
          <w:lang w:val="zh-CN"/>
        </w:rPr>
        <w:t>日，公司就本次增发股份向中国证券登记结算有限责任公司深圳分公司提交相关登记材料。经确认，本次增发股份将于该批股份上市日的前一交易日日终登记到账，并正式列入上市公司的股东名册。</w:t>
      </w:r>
    </w:p>
    <w:p w:rsidR="00D040D2" w:rsidRPr="000A5B5D" w:rsidRDefault="00D040D2" w:rsidP="007603A2">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t>（</w:t>
      </w:r>
      <w:r w:rsidRPr="000A5B5D">
        <w:rPr>
          <w:rFonts w:eastAsiaTheme="minorEastAsia"/>
          <w:kern w:val="0"/>
          <w:sz w:val="24"/>
          <w:szCs w:val="24"/>
          <w:lang w:val="zh-CN"/>
        </w:rPr>
        <w:t>3</w:t>
      </w:r>
      <w:r w:rsidRPr="000A5B5D">
        <w:rPr>
          <w:rFonts w:ascii="宋体" w:hAnsi="宋体" w:cs="宋体" w:hint="eastAsia"/>
          <w:kern w:val="0"/>
          <w:sz w:val="24"/>
          <w:szCs w:val="24"/>
          <w:lang w:val="zh-CN"/>
        </w:rPr>
        <w:t>）</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11</w:t>
      </w:r>
      <w:r w:rsidRPr="000A5B5D">
        <w:rPr>
          <w:rFonts w:ascii="宋体" w:hAnsi="宋体" w:cs="宋体" w:hint="eastAsia"/>
          <w:kern w:val="0"/>
          <w:sz w:val="24"/>
          <w:szCs w:val="24"/>
          <w:lang w:val="zh-CN"/>
        </w:rPr>
        <w:t>月</w:t>
      </w:r>
      <w:r w:rsidRPr="000A5B5D">
        <w:rPr>
          <w:rFonts w:eastAsia="Times New Roman"/>
          <w:kern w:val="0"/>
          <w:sz w:val="24"/>
          <w:szCs w:val="24"/>
          <w:lang w:val="zh-CN"/>
        </w:rPr>
        <w:t>3</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年度非公开发行股票上市，详见公司于</w:t>
      </w:r>
      <w:r w:rsidRPr="000A5B5D">
        <w:rPr>
          <w:rFonts w:eastAsia="Times New Roman"/>
          <w:kern w:val="0"/>
          <w:sz w:val="24"/>
          <w:szCs w:val="24"/>
          <w:lang w:val="zh-CN"/>
        </w:rPr>
        <w:t>2015</w:t>
      </w:r>
      <w:r w:rsidRPr="000A5B5D">
        <w:rPr>
          <w:rFonts w:ascii="宋体" w:hAnsi="宋体" w:cs="宋体" w:hint="eastAsia"/>
          <w:kern w:val="0"/>
          <w:sz w:val="24"/>
          <w:szCs w:val="24"/>
          <w:lang w:val="zh-CN"/>
        </w:rPr>
        <w:t>年</w:t>
      </w:r>
      <w:r w:rsidRPr="000A5B5D">
        <w:rPr>
          <w:rFonts w:eastAsia="Times New Roman"/>
          <w:kern w:val="0"/>
          <w:sz w:val="24"/>
          <w:szCs w:val="24"/>
          <w:lang w:val="zh-CN"/>
        </w:rPr>
        <w:t>11</w:t>
      </w:r>
      <w:r w:rsidRPr="000A5B5D">
        <w:rPr>
          <w:rFonts w:ascii="宋体" w:hAnsi="宋体" w:cs="宋体" w:hint="eastAsia"/>
          <w:kern w:val="0"/>
          <w:sz w:val="24"/>
          <w:szCs w:val="24"/>
          <w:lang w:val="zh-CN"/>
        </w:rPr>
        <w:t>月</w:t>
      </w:r>
      <w:r w:rsidRPr="000A5B5D">
        <w:rPr>
          <w:rFonts w:eastAsia="Times New Roman"/>
          <w:kern w:val="0"/>
          <w:sz w:val="24"/>
          <w:szCs w:val="24"/>
          <w:lang w:val="zh-CN"/>
        </w:rPr>
        <w:t>4</w:t>
      </w:r>
      <w:r w:rsidRPr="000A5B5D">
        <w:rPr>
          <w:rFonts w:ascii="宋体" w:hAnsi="宋体" w:cs="宋体" w:hint="eastAsia"/>
          <w:kern w:val="0"/>
          <w:sz w:val="24"/>
          <w:szCs w:val="24"/>
          <w:lang w:val="zh-CN"/>
        </w:rPr>
        <w:t>日在巨潮资讯网上的公告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关于非公开发行股票相关承诺的公告</w:t>
      </w:r>
      <w:r w:rsidRPr="000A5B5D">
        <w:rPr>
          <w:rFonts w:eastAsia="Times New Roman"/>
          <w:kern w:val="0"/>
          <w:sz w:val="24"/>
          <w:szCs w:val="24"/>
          <w:lang w:val="zh-CN"/>
        </w:rPr>
        <w:t>”</w:t>
      </w:r>
      <w:r w:rsidRPr="000A5B5D">
        <w:rPr>
          <w:rFonts w:ascii="宋体" w:hAnsi="宋体" w:cs="宋体" w:hint="eastAsia"/>
          <w:kern w:val="0"/>
          <w:sz w:val="24"/>
          <w:szCs w:val="24"/>
          <w:lang w:val="zh-CN"/>
        </w:rPr>
        <w:t>（公告编号：</w:t>
      </w:r>
      <w:r w:rsidRPr="000A5B5D">
        <w:rPr>
          <w:rFonts w:eastAsia="Times New Roman"/>
          <w:kern w:val="0"/>
          <w:sz w:val="24"/>
          <w:szCs w:val="24"/>
          <w:lang w:val="zh-CN"/>
        </w:rPr>
        <w:t>2015-079</w:t>
      </w:r>
      <w:r w:rsidRPr="000A5B5D">
        <w:rPr>
          <w:rFonts w:ascii="宋体" w:hAnsi="宋体" w:cs="宋体" w:hint="eastAsia"/>
          <w:kern w:val="0"/>
          <w:sz w:val="24"/>
          <w:szCs w:val="24"/>
          <w:lang w:val="zh-CN"/>
        </w:rPr>
        <w:t>）。</w:t>
      </w:r>
    </w:p>
    <w:p w:rsidR="00BC4D56" w:rsidRPr="000A5B5D" w:rsidRDefault="00BC4D56" w:rsidP="008C6844">
      <w:pPr>
        <w:spacing w:line="360" w:lineRule="auto"/>
        <w:jc w:val="left"/>
        <w:rPr>
          <w:sz w:val="24"/>
          <w:szCs w:val="24"/>
        </w:rPr>
      </w:pPr>
      <w:r w:rsidRPr="000A5B5D">
        <w:rPr>
          <w:rFonts w:hint="eastAsia"/>
          <w:sz w:val="24"/>
          <w:szCs w:val="24"/>
        </w:rPr>
        <w:lastRenderedPageBreak/>
        <w:t>股份变动对最近一年和最近一期基本每股收益和稀释每股收益、归属于公司普通股股东的每股净资产等财务指标的影响</w:t>
      </w:r>
    </w:p>
    <w:p w:rsidR="009F0913" w:rsidRPr="000A5B5D" w:rsidRDefault="009F0913" w:rsidP="009F0913">
      <w:pPr>
        <w:autoSpaceDE w:val="0"/>
        <w:autoSpaceDN w:val="0"/>
        <w:adjustRightInd w:val="0"/>
        <w:spacing w:before="0" w:after="0" w:line="360" w:lineRule="auto"/>
        <w:jc w:val="left"/>
        <w:rPr>
          <w:rFonts w:ascii="宋体" w:cs="宋体"/>
          <w:kern w:val="0"/>
          <w:sz w:val="24"/>
          <w:szCs w:val="24"/>
          <w:lang w:val="zh-CN"/>
        </w:rPr>
      </w:pPr>
      <w:r w:rsidRPr="000A5B5D">
        <w:rPr>
          <w:rFonts w:ascii="宋体" w:cs="宋体"/>
          <w:kern w:val="0"/>
          <w:sz w:val="24"/>
          <w:szCs w:val="24"/>
          <w:lang w:val="zh-CN"/>
        </w:rPr>
        <w:t>1</w:t>
      </w:r>
      <w:r w:rsidRPr="000A5B5D">
        <w:rPr>
          <w:rFonts w:ascii="宋体" w:hAnsi="宋体" w:cs="宋体" w:hint="eastAsia"/>
          <w:kern w:val="0"/>
          <w:sz w:val="24"/>
          <w:szCs w:val="24"/>
          <w:lang w:val="zh-CN"/>
        </w:rPr>
        <w:t>、公司股权激励项目</w:t>
      </w:r>
    </w:p>
    <w:p w:rsidR="009F0913" w:rsidRPr="000A5B5D" w:rsidRDefault="009F0913" w:rsidP="009F0913">
      <w:pPr>
        <w:spacing w:line="360" w:lineRule="auto"/>
        <w:ind w:firstLineChars="200" w:firstLine="480"/>
        <w:jc w:val="left"/>
        <w:rPr>
          <w:sz w:val="24"/>
          <w:szCs w:val="24"/>
        </w:rPr>
      </w:pPr>
      <w:r w:rsidRPr="000A5B5D">
        <w:rPr>
          <w:rFonts w:hint="eastAsia"/>
          <w:sz w:val="24"/>
          <w:szCs w:val="24"/>
        </w:rPr>
        <w:t>公司</w:t>
      </w:r>
      <w:r w:rsidRPr="000A5B5D">
        <w:rPr>
          <w:sz w:val="24"/>
          <w:szCs w:val="24"/>
        </w:rPr>
        <w:t>2015</w:t>
      </w:r>
      <w:r w:rsidRPr="000A5B5D">
        <w:rPr>
          <w:rFonts w:hint="eastAsia"/>
          <w:sz w:val="24"/>
          <w:szCs w:val="24"/>
        </w:rPr>
        <w:t>年年度每股收益为</w:t>
      </w:r>
      <w:r w:rsidRPr="000A5B5D">
        <w:rPr>
          <w:sz w:val="24"/>
          <w:szCs w:val="24"/>
        </w:rPr>
        <w:t>0.1</w:t>
      </w:r>
      <w:r w:rsidR="00033C01" w:rsidRPr="000A5B5D">
        <w:rPr>
          <w:sz w:val="24"/>
          <w:szCs w:val="24"/>
        </w:rPr>
        <w:t>6</w:t>
      </w:r>
      <w:r w:rsidRPr="000A5B5D">
        <w:rPr>
          <w:rFonts w:hint="eastAsia"/>
          <w:sz w:val="24"/>
          <w:szCs w:val="24"/>
        </w:rPr>
        <w:t>元，本次限制性股票授予后，按</w:t>
      </w:r>
      <w:r w:rsidR="00DC7C02" w:rsidRPr="000A5B5D">
        <w:rPr>
          <w:rFonts w:hint="eastAsia"/>
          <w:sz w:val="24"/>
          <w:szCs w:val="24"/>
        </w:rPr>
        <w:t>新增</w:t>
      </w:r>
      <w:r w:rsidRPr="000A5B5D">
        <w:rPr>
          <w:rFonts w:hint="eastAsia"/>
          <w:sz w:val="24"/>
          <w:szCs w:val="24"/>
        </w:rPr>
        <w:t>股本</w:t>
      </w:r>
      <w:r w:rsidRPr="000A5B5D">
        <w:rPr>
          <w:sz w:val="24"/>
          <w:szCs w:val="24"/>
        </w:rPr>
        <w:t>1,1</w:t>
      </w:r>
      <w:r w:rsidR="00DC7C02" w:rsidRPr="000A5B5D">
        <w:rPr>
          <w:sz w:val="24"/>
          <w:szCs w:val="24"/>
        </w:rPr>
        <w:t>70</w:t>
      </w:r>
      <w:r w:rsidR="00DC7C02" w:rsidRPr="000A5B5D">
        <w:rPr>
          <w:rFonts w:hint="eastAsia"/>
          <w:sz w:val="24"/>
          <w:szCs w:val="24"/>
        </w:rPr>
        <w:t>万</w:t>
      </w:r>
      <w:r w:rsidRPr="000A5B5D">
        <w:rPr>
          <w:rFonts w:hint="eastAsia"/>
          <w:sz w:val="24"/>
          <w:szCs w:val="24"/>
        </w:rPr>
        <w:t>股</w:t>
      </w:r>
      <w:r w:rsidR="00DC7C02" w:rsidRPr="000A5B5D">
        <w:rPr>
          <w:rFonts w:hint="eastAsia"/>
          <w:sz w:val="24"/>
          <w:szCs w:val="24"/>
        </w:rPr>
        <w:t>加权</w:t>
      </w:r>
      <w:r w:rsidRPr="000A5B5D">
        <w:rPr>
          <w:rFonts w:hint="eastAsia"/>
          <w:sz w:val="24"/>
          <w:szCs w:val="24"/>
        </w:rPr>
        <w:t>计算</w:t>
      </w:r>
      <w:r w:rsidR="00DC7C02" w:rsidRPr="000A5B5D">
        <w:rPr>
          <w:rFonts w:hint="eastAsia"/>
          <w:sz w:val="24"/>
          <w:szCs w:val="24"/>
        </w:rPr>
        <w:t>后</w:t>
      </w:r>
      <w:r w:rsidRPr="000A5B5D">
        <w:rPr>
          <w:rFonts w:hint="eastAsia"/>
          <w:sz w:val="24"/>
          <w:szCs w:val="24"/>
        </w:rPr>
        <w:t>，</w:t>
      </w:r>
      <w:r w:rsidRPr="000A5B5D">
        <w:rPr>
          <w:sz w:val="24"/>
          <w:szCs w:val="24"/>
        </w:rPr>
        <w:t>2015</w:t>
      </w:r>
      <w:r w:rsidR="00B06B84" w:rsidRPr="000A5B5D">
        <w:rPr>
          <w:rFonts w:hint="eastAsia"/>
          <w:sz w:val="24"/>
          <w:szCs w:val="24"/>
        </w:rPr>
        <w:t>年度每股收益</w:t>
      </w:r>
      <w:r w:rsidR="00DC7C02" w:rsidRPr="000A5B5D">
        <w:rPr>
          <w:rFonts w:hint="eastAsia"/>
          <w:sz w:val="24"/>
          <w:szCs w:val="24"/>
        </w:rPr>
        <w:t>仍</w:t>
      </w:r>
      <w:r w:rsidRPr="000A5B5D">
        <w:rPr>
          <w:rFonts w:hint="eastAsia"/>
          <w:sz w:val="24"/>
          <w:szCs w:val="24"/>
        </w:rPr>
        <w:t>为</w:t>
      </w:r>
      <w:r w:rsidRPr="000A5B5D">
        <w:rPr>
          <w:sz w:val="24"/>
          <w:szCs w:val="24"/>
        </w:rPr>
        <w:t>0.</w:t>
      </w:r>
      <w:r w:rsidR="00033C01" w:rsidRPr="000A5B5D">
        <w:rPr>
          <w:sz w:val="24"/>
          <w:szCs w:val="24"/>
        </w:rPr>
        <w:t>16</w:t>
      </w:r>
      <w:r w:rsidRPr="000A5B5D">
        <w:rPr>
          <w:rFonts w:hint="eastAsia"/>
          <w:sz w:val="24"/>
          <w:szCs w:val="24"/>
        </w:rPr>
        <w:t>元</w:t>
      </w:r>
      <w:r w:rsidR="00B06B84" w:rsidRPr="000A5B5D">
        <w:rPr>
          <w:rFonts w:hint="eastAsia"/>
          <w:sz w:val="24"/>
          <w:szCs w:val="24"/>
        </w:rPr>
        <w:t>，对公司财务指标影响较小。</w:t>
      </w:r>
    </w:p>
    <w:p w:rsidR="009F0913" w:rsidRPr="000A5B5D" w:rsidRDefault="009F0913" w:rsidP="009F0913">
      <w:pPr>
        <w:spacing w:line="360" w:lineRule="auto"/>
        <w:jc w:val="left"/>
        <w:rPr>
          <w:rFonts w:ascii="宋体" w:cs="宋体"/>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、公司</w:t>
      </w:r>
      <w:r w:rsidRPr="000A5B5D">
        <w:rPr>
          <w:rFonts w:eastAsia="Times New Roman"/>
          <w:kern w:val="0"/>
          <w:sz w:val="24"/>
          <w:szCs w:val="24"/>
          <w:lang w:val="zh-CN"/>
        </w:rPr>
        <w:t>2014</w:t>
      </w:r>
      <w:r w:rsidRPr="000A5B5D">
        <w:rPr>
          <w:rFonts w:ascii="宋体" w:hAnsi="宋体" w:cs="宋体" w:hint="eastAsia"/>
          <w:kern w:val="0"/>
          <w:sz w:val="24"/>
          <w:szCs w:val="24"/>
          <w:lang w:val="zh-CN"/>
        </w:rPr>
        <w:t>年度非公开发行股票项目</w:t>
      </w:r>
    </w:p>
    <w:p w:rsidR="003E7403" w:rsidRPr="000A5B5D" w:rsidRDefault="003E7403" w:rsidP="003E7403">
      <w:pPr>
        <w:spacing w:line="360" w:lineRule="auto"/>
        <w:ind w:firstLineChars="200" w:firstLine="480"/>
        <w:jc w:val="left"/>
        <w:rPr>
          <w:sz w:val="24"/>
          <w:szCs w:val="24"/>
        </w:rPr>
      </w:pPr>
      <w:r w:rsidRPr="000A5B5D">
        <w:rPr>
          <w:rFonts w:hint="eastAsia"/>
          <w:sz w:val="24"/>
          <w:szCs w:val="24"/>
        </w:rPr>
        <w:t>公司</w:t>
      </w:r>
      <w:r w:rsidRPr="000A5B5D">
        <w:rPr>
          <w:sz w:val="24"/>
          <w:szCs w:val="24"/>
        </w:rPr>
        <w:t>2015</w:t>
      </w:r>
      <w:r w:rsidRPr="000A5B5D">
        <w:rPr>
          <w:rFonts w:hint="eastAsia"/>
          <w:sz w:val="24"/>
          <w:szCs w:val="24"/>
        </w:rPr>
        <w:t>年年度每股收益为</w:t>
      </w:r>
      <w:r w:rsidRPr="000A5B5D">
        <w:rPr>
          <w:sz w:val="24"/>
          <w:szCs w:val="24"/>
        </w:rPr>
        <w:t>0.1</w:t>
      </w:r>
      <w:r w:rsidR="00033C01" w:rsidRPr="000A5B5D">
        <w:rPr>
          <w:sz w:val="24"/>
          <w:szCs w:val="24"/>
        </w:rPr>
        <w:t>6</w:t>
      </w:r>
      <w:r w:rsidRPr="000A5B5D">
        <w:rPr>
          <w:rFonts w:hint="eastAsia"/>
          <w:sz w:val="24"/>
          <w:szCs w:val="24"/>
        </w:rPr>
        <w:t>元，本次非公开发行股票项目实施后，按</w:t>
      </w:r>
      <w:r w:rsidR="00DC7C02" w:rsidRPr="000A5B5D">
        <w:rPr>
          <w:rFonts w:hint="eastAsia"/>
          <w:sz w:val="24"/>
          <w:szCs w:val="24"/>
        </w:rPr>
        <w:t>新增</w:t>
      </w:r>
      <w:r w:rsidRPr="000A5B5D">
        <w:rPr>
          <w:rFonts w:hint="eastAsia"/>
          <w:sz w:val="24"/>
          <w:szCs w:val="24"/>
        </w:rPr>
        <w:t>股本</w:t>
      </w:r>
      <w:r w:rsidR="003C62DD" w:rsidRPr="000A5B5D">
        <w:rPr>
          <w:sz w:val="24"/>
          <w:szCs w:val="24"/>
        </w:rPr>
        <w:t>140,845,070</w:t>
      </w:r>
      <w:r w:rsidRPr="000A5B5D">
        <w:rPr>
          <w:rFonts w:hint="eastAsia"/>
          <w:sz w:val="24"/>
          <w:szCs w:val="24"/>
        </w:rPr>
        <w:t>股</w:t>
      </w:r>
      <w:r w:rsidR="00DC7C02" w:rsidRPr="000A5B5D">
        <w:rPr>
          <w:rFonts w:hint="eastAsia"/>
          <w:sz w:val="24"/>
          <w:szCs w:val="24"/>
        </w:rPr>
        <w:t>加权</w:t>
      </w:r>
      <w:r w:rsidRPr="000A5B5D">
        <w:rPr>
          <w:rFonts w:hint="eastAsia"/>
          <w:sz w:val="24"/>
          <w:szCs w:val="24"/>
        </w:rPr>
        <w:t>计算</w:t>
      </w:r>
      <w:r w:rsidR="00DC7C02" w:rsidRPr="000A5B5D">
        <w:rPr>
          <w:rFonts w:hint="eastAsia"/>
          <w:sz w:val="24"/>
          <w:szCs w:val="24"/>
        </w:rPr>
        <w:t>后</w:t>
      </w:r>
      <w:r w:rsidRPr="000A5B5D">
        <w:rPr>
          <w:rFonts w:hint="eastAsia"/>
          <w:sz w:val="24"/>
          <w:szCs w:val="24"/>
        </w:rPr>
        <w:t>，</w:t>
      </w:r>
      <w:r w:rsidRPr="000A5B5D">
        <w:rPr>
          <w:sz w:val="24"/>
          <w:szCs w:val="24"/>
        </w:rPr>
        <w:t>2015</w:t>
      </w:r>
      <w:r w:rsidR="00DC7C02" w:rsidRPr="000A5B5D">
        <w:rPr>
          <w:rFonts w:hint="eastAsia"/>
          <w:sz w:val="24"/>
          <w:szCs w:val="24"/>
        </w:rPr>
        <w:t>年</w:t>
      </w:r>
      <w:r w:rsidR="00B06B84" w:rsidRPr="000A5B5D">
        <w:rPr>
          <w:rFonts w:hint="eastAsia"/>
          <w:sz w:val="24"/>
          <w:szCs w:val="24"/>
        </w:rPr>
        <w:t>度每股收益</w:t>
      </w:r>
      <w:r w:rsidR="00DC7C02" w:rsidRPr="000A5B5D">
        <w:rPr>
          <w:rFonts w:hint="eastAsia"/>
          <w:sz w:val="24"/>
          <w:szCs w:val="24"/>
        </w:rPr>
        <w:t>仍</w:t>
      </w:r>
      <w:r w:rsidRPr="000A5B5D">
        <w:rPr>
          <w:rFonts w:hint="eastAsia"/>
          <w:sz w:val="24"/>
          <w:szCs w:val="24"/>
        </w:rPr>
        <w:t>为</w:t>
      </w:r>
      <w:r w:rsidRPr="000A5B5D">
        <w:rPr>
          <w:sz w:val="24"/>
          <w:szCs w:val="24"/>
        </w:rPr>
        <w:t>0.</w:t>
      </w:r>
      <w:r w:rsidR="00033C01" w:rsidRPr="000A5B5D">
        <w:rPr>
          <w:sz w:val="24"/>
          <w:szCs w:val="24"/>
        </w:rPr>
        <w:t>16</w:t>
      </w:r>
      <w:r w:rsidRPr="000A5B5D">
        <w:rPr>
          <w:rFonts w:hint="eastAsia"/>
          <w:sz w:val="24"/>
          <w:szCs w:val="24"/>
        </w:rPr>
        <w:t>元</w:t>
      </w:r>
      <w:r w:rsidR="00B06B84" w:rsidRPr="000A5B5D">
        <w:rPr>
          <w:rFonts w:hint="eastAsia"/>
          <w:sz w:val="24"/>
          <w:szCs w:val="24"/>
        </w:rPr>
        <w:t>，对公司财务指标影响较小。</w:t>
      </w:r>
    </w:p>
    <w:p w:rsidR="00DC7C02" w:rsidRPr="000A5B5D" w:rsidRDefault="00DC7C02" w:rsidP="003E7403">
      <w:pPr>
        <w:spacing w:line="360" w:lineRule="auto"/>
        <w:ind w:firstLineChars="200" w:firstLine="480"/>
        <w:jc w:val="left"/>
        <w:rPr>
          <w:sz w:val="24"/>
          <w:szCs w:val="24"/>
        </w:rPr>
      </w:pPr>
    </w:p>
    <w:p w:rsidR="00BC4D56" w:rsidRPr="000A5B5D" w:rsidRDefault="00BC4D56" w:rsidP="008C6844">
      <w:pPr>
        <w:spacing w:line="360" w:lineRule="auto"/>
        <w:jc w:val="left"/>
        <w:rPr>
          <w:sz w:val="24"/>
          <w:szCs w:val="24"/>
        </w:rPr>
      </w:pPr>
      <w:r w:rsidRPr="000A5B5D">
        <w:rPr>
          <w:rFonts w:hint="eastAsia"/>
          <w:sz w:val="24"/>
          <w:szCs w:val="24"/>
        </w:rPr>
        <w:t>公司认为必要或证券监管机构要求披露的其他内容</w:t>
      </w:r>
    </w:p>
    <w:p w:rsidR="00BC4D56" w:rsidRPr="000A5B5D" w:rsidRDefault="00BC4D56" w:rsidP="008C6844">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8C6844">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、限售股份变动情况</w:t>
      </w:r>
    </w:p>
    <w:p w:rsidR="00BC4D56" w:rsidRPr="000A5B5D" w:rsidRDefault="00BC4D56" w:rsidP="00D94F9A">
      <w:pPr>
        <w:wordWrap w:val="0"/>
        <w:spacing w:line="360" w:lineRule="auto"/>
        <w:jc w:val="right"/>
        <w:rPr>
          <w:sz w:val="24"/>
          <w:szCs w:val="24"/>
        </w:rPr>
      </w:pPr>
      <w:r w:rsidRPr="000A5B5D">
        <w:rPr>
          <w:rFonts w:hint="eastAsia"/>
          <w:sz w:val="24"/>
          <w:szCs w:val="24"/>
        </w:rPr>
        <w:t>单位：股</w:t>
      </w:r>
      <w:r w:rsidR="00D94F9A" w:rsidRPr="000A5B5D">
        <w:rPr>
          <w:sz w:val="24"/>
          <w:szCs w:val="24"/>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567"/>
        <w:gridCol w:w="709"/>
        <w:gridCol w:w="851"/>
        <w:gridCol w:w="992"/>
        <w:gridCol w:w="992"/>
        <w:gridCol w:w="851"/>
        <w:gridCol w:w="4607"/>
      </w:tblGrid>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股东名称</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期初限售股数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本期解除限售股数</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本期增加限售股数</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期末限售股数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限售原因</w:t>
            </w:r>
          </w:p>
        </w:tc>
        <w:tc>
          <w:tcPr>
            <w:tcW w:w="460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解除限售日期</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恒逸投资</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140,845,070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140,845,070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增发</w:t>
            </w:r>
            <w:r w:rsidRPr="000A5B5D">
              <w:rPr>
                <w:szCs w:val="24"/>
              </w:rPr>
              <w:t>A</w:t>
            </w:r>
            <w:r w:rsidRPr="000A5B5D">
              <w:rPr>
                <w:rFonts w:hint="eastAsia"/>
                <w:szCs w:val="24"/>
              </w:rPr>
              <w:t>股法人配售上市，限售</w:t>
            </w:r>
            <w:r w:rsidRPr="000A5B5D">
              <w:rPr>
                <w:szCs w:val="24"/>
              </w:rPr>
              <w:t>36</w:t>
            </w:r>
            <w:r w:rsidRPr="000A5B5D">
              <w:rPr>
                <w:rFonts w:hint="eastAsia"/>
                <w:szCs w:val="24"/>
              </w:rPr>
              <w:t>个月</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2018</w:t>
            </w:r>
            <w:r w:rsidRPr="000A5B5D">
              <w:rPr>
                <w:rFonts w:hint="eastAsia"/>
                <w:szCs w:val="24"/>
              </w:rPr>
              <w:t>年</w:t>
            </w:r>
            <w:r w:rsidRPr="000A5B5D">
              <w:rPr>
                <w:szCs w:val="24"/>
              </w:rPr>
              <w:t>11</w:t>
            </w:r>
            <w:r w:rsidRPr="000A5B5D">
              <w:rPr>
                <w:rFonts w:hint="eastAsia"/>
                <w:szCs w:val="24"/>
              </w:rPr>
              <w:t>月</w:t>
            </w:r>
            <w:r w:rsidRPr="000A5B5D">
              <w:rPr>
                <w:szCs w:val="24"/>
              </w:rPr>
              <w:t>5</w:t>
            </w:r>
            <w:r w:rsidRPr="000A5B5D">
              <w:rPr>
                <w:rFonts w:hint="eastAsia"/>
                <w:szCs w:val="24"/>
              </w:rPr>
              <w:t>日</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方贤水</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3,500,000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个月内的最后一个交易日止，解除限售</w:t>
            </w:r>
            <w:r w:rsidRPr="000A5B5D">
              <w:rPr>
                <w:szCs w:val="24"/>
              </w:rPr>
              <w:t>875,000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个月内的最后一个交易日止，解除限售</w:t>
            </w:r>
            <w:r w:rsidRPr="000A5B5D">
              <w:rPr>
                <w:szCs w:val="24"/>
              </w:rPr>
              <w:t>875,000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个月内的最后一个交易日止，解除限售</w:t>
            </w:r>
            <w:r w:rsidRPr="000A5B5D">
              <w:rPr>
                <w:szCs w:val="24"/>
              </w:rPr>
              <w:t xml:space="preserve"> 875,000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个月内的最后一个交易日止，解除限售</w:t>
            </w:r>
            <w:r w:rsidRPr="000A5B5D">
              <w:rPr>
                <w:szCs w:val="24"/>
              </w:rPr>
              <w:t xml:space="preserve"> 875,000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邱奕博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1,000,000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250,000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250,000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w:t>
            </w:r>
            <w:r w:rsidRPr="000A5B5D">
              <w:rPr>
                <w:rFonts w:hint="eastAsia"/>
                <w:szCs w:val="24"/>
              </w:rPr>
              <w:lastRenderedPageBreak/>
              <w:t>内的最后一个交易日止，解锁</w:t>
            </w:r>
            <w:r w:rsidRPr="000A5B5D">
              <w:rPr>
                <w:szCs w:val="24"/>
              </w:rPr>
              <w:t>250,000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250,000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lastRenderedPageBreak/>
              <w:t>朱军民</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王松林</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陈国斌</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郭丹</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倪德锋</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lastRenderedPageBreak/>
              <w:t>梅兆林</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700,000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 xml:space="preserve">175,000 </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 xml:space="preserve">175,000 </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 xml:space="preserve">175,000 </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 xml:space="preserve">175,000 </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朱菊珍</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600,000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600,000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150,000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邱杏娟</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600,000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600,000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150,000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150,000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史树峰</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500,000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125,000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方百平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500,000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125,000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125,000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章佳丽</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 xml:space="preserve"> 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lastRenderedPageBreak/>
              <w:t>个月内的最后一个交易日止，解锁</w:t>
            </w:r>
            <w:r w:rsidRPr="000A5B5D">
              <w:rPr>
                <w:szCs w:val="24"/>
              </w:rPr>
              <w:t xml:space="preserve"> 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 xml:space="preserve"> 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 xml:space="preserve"> 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lastRenderedPageBreak/>
              <w:t>王保民</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300,000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75,000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75,000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75,000</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75,000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倪柏仁</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200,000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200,000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rFonts w:hint="eastAsia"/>
                <w:szCs w:val="24"/>
              </w:rPr>
              <w:t>股权激励限售流通</w:t>
            </w:r>
          </w:p>
        </w:tc>
        <w:tc>
          <w:tcPr>
            <w:tcW w:w="460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left"/>
              <w:rPr>
                <w:szCs w:val="24"/>
              </w:rPr>
            </w:pPr>
            <w:r w:rsidRPr="000A5B5D">
              <w:rPr>
                <w:rFonts w:hint="eastAsia"/>
                <w:szCs w:val="24"/>
              </w:rPr>
              <w:t>自首次授予日起满</w:t>
            </w:r>
            <w:r w:rsidRPr="000A5B5D">
              <w:rPr>
                <w:szCs w:val="24"/>
              </w:rPr>
              <w:t>12</w:t>
            </w:r>
            <w:r w:rsidRPr="000A5B5D">
              <w:rPr>
                <w:rFonts w:hint="eastAsia"/>
                <w:szCs w:val="24"/>
              </w:rPr>
              <w:t>个月后的首个交易日至首次授予日起</w:t>
            </w:r>
            <w:r w:rsidRPr="000A5B5D">
              <w:rPr>
                <w:szCs w:val="24"/>
              </w:rPr>
              <w:t>24</w:t>
            </w:r>
            <w:r w:rsidRPr="000A5B5D">
              <w:rPr>
                <w:rFonts w:hint="eastAsia"/>
                <w:szCs w:val="24"/>
              </w:rPr>
              <w:t>个月内的最后一个交易日止，解锁</w:t>
            </w:r>
            <w:r w:rsidRPr="000A5B5D">
              <w:rPr>
                <w:szCs w:val="24"/>
              </w:rPr>
              <w:t>50,000</w:t>
            </w:r>
            <w:r w:rsidRPr="000A5B5D">
              <w:rPr>
                <w:rFonts w:hint="eastAsia"/>
                <w:szCs w:val="24"/>
              </w:rPr>
              <w:t>股；自首次授予日起满</w:t>
            </w:r>
            <w:r w:rsidRPr="000A5B5D">
              <w:rPr>
                <w:szCs w:val="24"/>
              </w:rPr>
              <w:t>24</w:t>
            </w:r>
            <w:r w:rsidRPr="000A5B5D">
              <w:rPr>
                <w:rFonts w:hint="eastAsia"/>
                <w:szCs w:val="24"/>
              </w:rPr>
              <w:t>个月后的首个交易日至首次授予日起</w:t>
            </w:r>
            <w:r w:rsidRPr="000A5B5D">
              <w:rPr>
                <w:szCs w:val="24"/>
              </w:rPr>
              <w:t>36</w:t>
            </w:r>
            <w:r w:rsidRPr="000A5B5D">
              <w:rPr>
                <w:rFonts w:hint="eastAsia"/>
                <w:szCs w:val="24"/>
              </w:rPr>
              <w:t>个月内的最后一个交易日止，解锁</w:t>
            </w:r>
            <w:r w:rsidRPr="000A5B5D">
              <w:rPr>
                <w:szCs w:val="24"/>
              </w:rPr>
              <w:t>50,000</w:t>
            </w:r>
            <w:r w:rsidRPr="000A5B5D">
              <w:rPr>
                <w:rFonts w:hint="eastAsia"/>
                <w:szCs w:val="24"/>
              </w:rPr>
              <w:t>股；自首次授予日起满</w:t>
            </w:r>
            <w:r w:rsidRPr="000A5B5D">
              <w:rPr>
                <w:szCs w:val="24"/>
              </w:rPr>
              <w:t>36</w:t>
            </w:r>
            <w:r w:rsidRPr="000A5B5D">
              <w:rPr>
                <w:rFonts w:hint="eastAsia"/>
                <w:szCs w:val="24"/>
              </w:rPr>
              <w:t>个月后的首个交易日至首次授予日起</w:t>
            </w:r>
            <w:r w:rsidRPr="000A5B5D">
              <w:rPr>
                <w:szCs w:val="24"/>
              </w:rPr>
              <w:t>48</w:t>
            </w:r>
            <w:r w:rsidRPr="000A5B5D">
              <w:rPr>
                <w:rFonts w:hint="eastAsia"/>
                <w:szCs w:val="24"/>
              </w:rPr>
              <w:t>个月内的最后一个交易日止，解锁</w:t>
            </w:r>
            <w:r w:rsidRPr="000A5B5D">
              <w:rPr>
                <w:szCs w:val="24"/>
              </w:rPr>
              <w:t xml:space="preserve">50,000 </w:t>
            </w:r>
            <w:r w:rsidRPr="000A5B5D">
              <w:rPr>
                <w:rFonts w:hint="eastAsia"/>
                <w:szCs w:val="24"/>
              </w:rPr>
              <w:t>股；自首次授予日起满</w:t>
            </w:r>
            <w:r w:rsidRPr="000A5B5D">
              <w:rPr>
                <w:szCs w:val="24"/>
              </w:rPr>
              <w:t>48</w:t>
            </w:r>
            <w:r w:rsidRPr="000A5B5D">
              <w:rPr>
                <w:rFonts w:hint="eastAsia"/>
                <w:szCs w:val="24"/>
              </w:rPr>
              <w:t>个月后的首个交易日至首次授予日起</w:t>
            </w:r>
            <w:r w:rsidRPr="000A5B5D">
              <w:rPr>
                <w:szCs w:val="24"/>
              </w:rPr>
              <w:t>60</w:t>
            </w:r>
            <w:r w:rsidRPr="000A5B5D">
              <w:rPr>
                <w:rFonts w:hint="eastAsia"/>
                <w:szCs w:val="24"/>
              </w:rPr>
              <w:t>个月内的最后一个交易日止，解锁</w:t>
            </w:r>
            <w:r w:rsidRPr="000A5B5D">
              <w:rPr>
                <w:szCs w:val="24"/>
              </w:rPr>
              <w:t>50,000</w:t>
            </w:r>
            <w:r w:rsidRPr="000A5B5D">
              <w:rPr>
                <w:rFonts w:hint="eastAsia"/>
                <w:szCs w:val="24"/>
              </w:rPr>
              <w:t>股。</w:t>
            </w:r>
          </w:p>
        </w:tc>
      </w:tr>
      <w:tr w:rsidR="00BC4D56" w:rsidRPr="000A5B5D" w:rsidTr="00D94F9A">
        <w:trPr>
          <w:jc w:val="center"/>
        </w:trPr>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rFonts w:hint="eastAsia"/>
                <w:szCs w:val="24"/>
              </w:rPr>
              <w:t>合计</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152,545,070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D94F9A">
            <w:pPr>
              <w:jc w:val="center"/>
              <w:rPr>
                <w:szCs w:val="24"/>
              </w:rPr>
            </w:pPr>
            <w:r w:rsidRPr="000A5B5D">
              <w:rPr>
                <w:szCs w:val="24"/>
              </w:rPr>
              <w:t>152,545,070</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szCs w:val="24"/>
              </w:rPr>
              <w:t>--</w:t>
            </w:r>
          </w:p>
        </w:tc>
        <w:tc>
          <w:tcPr>
            <w:tcW w:w="460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D94F9A">
            <w:pPr>
              <w:jc w:val="center"/>
              <w:rPr>
                <w:szCs w:val="24"/>
              </w:rPr>
            </w:pPr>
            <w:r w:rsidRPr="000A5B5D">
              <w:rPr>
                <w:szCs w:val="24"/>
              </w:rPr>
              <w:t>--</w:t>
            </w:r>
          </w:p>
        </w:tc>
      </w:tr>
    </w:tbl>
    <w:p w:rsidR="00BC4D56" w:rsidRPr="000A5B5D" w:rsidRDefault="00BC4D56">
      <w:pPr>
        <w:pStyle w:val="Chapter"/>
        <w:outlineLvl w:val="1"/>
        <w:rPr>
          <w:bCs w:val="0"/>
        </w:rPr>
      </w:pPr>
      <w:r w:rsidRPr="000A5B5D">
        <w:rPr>
          <w:rFonts w:hint="eastAsia"/>
          <w:bCs w:val="0"/>
        </w:rPr>
        <w:t>二、证券发行与上市情况</w:t>
      </w:r>
    </w:p>
    <w:p w:rsidR="00BC4D56" w:rsidRPr="000A5B5D" w:rsidRDefault="00BC4D56" w:rsidP="00D94F9A">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、报告期内证券发行（不含优先股）情况</w:t>
      </w:r>
    </w:p>
    <w:tbl>
      <w:tblPr>
        <w:tblW w:w="0" w:type="auto"/>
        <w:tblInd w:w="28" w:type="dxa"/>
        <w:tblCellMar>
          <w:left w:w="28" w:type="dxa"/>
          <w:right w:w="28" w:type="dxa"/>
        </w:tblCellMar>
        <w:tblLook w:val="0000" w:firstRow="0" w:lastRow="0" w:firstColumn="0" w:lastColumn="0" w:noHBand="0" w:noVBand="0"/>
      </w:tblPr>
      <w:tblGrid>
        <w:gridCol w:w="1560"/>
        <w:gridCol w:w="1559"/>
        <w:gridCol w:w="1134"/>
        <w:gridCol w:w="1134"/>
        <w:gridCol w:w="1767"/>
        <w:gridCol w:w="1426"/>
        <w:gridCol w:w="1020"/>
      </w:tblGrid>
      <w:tr w:rsidR="004E7828" w:rsidRPr="000A5B5D" w:rsidTr="004E7828">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股票及其衍生证券名称</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发行日期</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发行价格（或利率）</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发行数量</w:t>
            </w:r>
          </w:p>
        </w:tc>
        <w:tc>
          <w:tcPr>
            <w:tcW w:w="1767" w:type="dxa"/>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上市日期</w:t>
            </w:r>
          </w:p>
        </w:tc>
        <w:tc>
          <w:tcPr>
            <w:tcW w:w="0" w:type="auto"/>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获准上市交易数量</w:t>
            </w:r>
          </w:p>
        </w:tc>
        <w:tc>
          <w:tcPr>
            <w:tcW w:w="0" w:type="auto"/>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center"/>
            </w:pPr>
            <w:r w:rsidRPr="000A5B5D">
              <w:rPr>
                <w:rFonts w:hint="eastAsia"/>
              </w:rPr>
              <w:t>交易终止日期</w:t>
            </w:r>
          </w:p>
        </w:tc>
      </w:tr>
      <w:tr w:rsidR="00CA2F16" w:rsidRPr="000A5B5D" w:rsidTr="00CA2F16">
        <w:tc>
          <w:tcPr>
            <w:tcW w:w="0" w:type="auto"/>
            <w:gridSpan w:val="7"/>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left"/>
            </w:pPr>
            <w:r w:rsidRPr="000A5B5D">
              <w:rPr>
                <w:rFonts w:hint="eastAsia"/>
              </w:rPr>
              <w:t>股票类</w:t>
            </w:r>
          </w:p>
        </w:tc>
      </w:tr>
      <w:tr w:rsidR="004E7828" w:rsidRPr="000A5B5D" w:rsidTr="004E7828">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rPr>
                <w:rFonts w:hint="eastAsia"/>
              </w:rPr>
              <w:t>股权激励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4E7828" w:rsidP="00160739">
            <w:pPr>
              <w:jc w:val="center"/>
            </w:pPr>
            <w:r w:rsidRPr="000A5B5D">
              <w:t>2015</w:t>
            </w:r>
            <w:r w:rsidRPr="000A5B5D">
              <w:rPr>
                <w:rFonts w:hint="eastAsia"/>
              </w:rPr>
              <w:t>年</w:t>
            </w:r>
            <w:r w:rsidRPr="000A5B5D">
              <w:t>0</w:t>
            </w:r>
            <w:r w:rsidR="00160739" w:rsidRPr="000A5B5D">
              <w:t>9</w:t>
            </w:r>
            <w:r w:rsidRPr="000A5B5D">
              <w:rPr>
                <w:rFonts w:hint="eastAsia"/>
              </w:rPr>
              <w:t>月</w:t>
            </w:r>
            <w:r w:rsidR="00160739" w:rsidRPr="000A5B5D">
              <w:t>15</w:t>
            </w:r>
            <w:r w:rsidRPr="000A5B5D">
              <w:rPr>
                <w:rFonts w:hint="eastAsia"/>
              </w:rPr>
              <w:t>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4E7828" w:rsidP="004E7828">
            <w:pPr>
              <w:jc w:val="center"/>
            </w:pPr>
            <w:r w:rsidRPr="000A5B5D">
              <w:t>5.35</w:t>
            </w:r>
            <w:r w:rsidRPr="000A5B5D">
              <w:rPr>
                <w:rFonts w:hint="eastAsia"/>
              </w:rPr>
              <w:t>元</w:t>
            </w:r>
            <w:r w:rsidRPr="000A5B5D">
              <w:t>/</w:t>
            </w:r>
            <w:r w:rsidRPr="000A5B5D">
              <w:rPr>
                <w:rFonts w:hint="eastAsia"/>
              </w:rPr>
              <w:t>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t>11,700,000</w:t>
            </w:r>
          </w:p>
        </w:tc>
        <w:tc>
          <w:tcPr>
            <w:tcW w:w="1767"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160739">
            <w:pPr>
              <w:jc w:val="center"/>
            </w:pPr>
            <w:r w:rsidRPr="000A5B5D">
              <w:t>2015</w:t>
            </w:r>
            <w:r w:rsidRPr="000A5B5D">
              <w:rPr>
                <w:rFonts w:hint="eastAsia"/>
              </w:rPr>
              <w:t>年</w:t>
            </w:r>
            <w:r w:rsidRPr="000A5B5D">
              <w:t>09</w:t>
            </w:r>
            <w:r w:rsidRPr="000A5B5D">
              <w:rPr>
                <w:rFonts w:hint="eastAsia"/>
              </w:rPr>
              <w:t>月</w:t>
            </w:r>
            <w:r w:rsidRPr="000A5B5D">
              <w:t>1</w:t>
            </w:r>
            <w:r w:rsidR="00160739" w:rsidRPr="000A5B5D">
              <w:t>7</w:t>
            </w:r>
            <w:r w:rsidRPr="000A5B5D">
              <w:rPr>
                <w:rFonts w:hint="eastAsia"/>
              </w:rPr>
              <w:t>日</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t>11,700,000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p>
        </w:tc>
      </w:tr>
      <w:tr w:rsidR="004E7828" w:rsidRPr="000A5B5D" w:rsidTr="004E7828">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t>2014</w:t>
            </w:r>
            <w:r w:rsidRPr="000A5B5D">
              <w:rPr>
                <w:rFonts w:hint="eastAsia"/>
              </w:rPr>
              <w:t>年度非公开</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4E7828" w:rsidP="00160739">
            <w:pPr>
              <w:jc w:val="center"/>
            </w:pPr>
            <w:r w:rsidRPr="000A5B5D">
              <w:t>2015</w:t>
            </w:r>
            <w:r w:rsidRPr="000A5B5D">
              <w:rPr>
                <w:rFonts w:hint="eastAsia"/>
              </w:rPr>
              <w:t>年</w:t>
            </w:r>
            <w:r w:rsidR="00160739" w:rsidRPr="000A5B5D">
              <w:t>10</w:t>
            </w:r>
            <w:r w:rsidRPr="000A5B5D">
              <w:rPr>
                <w:rFonts w:hint="eastAsia"/>
              </w:rPr>
              <w:t>月</w:t>
            </w:r>
            <w:r w:rsidRPr="000A5B5D">
              <w:t>1</w:t>
            </w:r>
            <w:r w:rsidR="00160739" w:rsidRPr="000A5B5D">
              <w:t>2</w:t>
            </w:r>
            <w:r w:rsidRPr="000A5B5D">
              <w:rPr>
                <w:rFonts w:hint="eastAsia"/>
              </w:rPr>
              <w:t>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0819CC" w:rsidP="004E7828">
            <w:pPr>
              <w:jc w:val="center"/>
            </w:pPr>
            <w:r w:rsidRPr="000A5B5D">
              <w:t>7.1</w:t>
            </w:r>
            <w:r w:rsidRPr="000A5B5D">
              <w:rPr>
                <w:rFonts w:hint="eastAsia"/>
              </w:rPr>
              <w:t>元</w:t>
            </w:r>
            <w:r w:rsidRPr="000A5B5D">
              <w:t>/</w:t>
            </w:r>
            <w:r w:rsidRPr="000A5B5D">
              <w:rPr>
                <w:rFonts w:hint="eastAsia"/>
              </w:rPr>
              <w:t>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t>140,845,070</w:t>
            </w:r>
          </w:p>
        </w:tc>
        <w:tc>
          <w:tcPr>
            <w:tcW w:w="1767"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D040D2">
            <w:pPr>
              <w:jc w:val="center"/>
            </w:pPr>
            <w:r w:rsidRPr="000A5B5D">
              <w:t>2015</w:t>
            </w:r>
            <w:r w:rsidRPr="000A5B5D">
              <w:rPr>
                <w:rFonts w:hint="eastAsia"/>
              </w:rPr>
              <w:t>年</w:t>
            </w:r>
            <w:r w:rsidRPr="000A5B5D">
              <w:t>1</w:t>
            </w:r>
            <w:r w:rsidR="00D040D2" w:rsidRPr="000A5B5D">
              <w:t>1</w:t>
            </w:r>
            <w:r w:rsidRPr="000A5B5D">
              <w:rPr>
                <w:rFonts w:hint="eastAsia"/>
              </w:rPr>
              <w:t>月</w:t>
            </w:r>
            <w:r w:rsidR="00D040D2" w:rsidRPr="000A5B5D">
              <w:t>3</w:t>
            </w:r>
            <w:r w:rsidRPr="000A5B5D">
              <w:rPr>
                <w:rFonts w:hint="eastAsia"/>
              </w:rPr>
              <w:t>日</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r w:rsidRPr="000A5B5D">
              <w:t>140,845,070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4E7828">
            <w:pPr>
              <w:jc w:val="center"/>
            </w:pPr>
          </w:p>
        </w:tc>
      </w:tr>
      <w:tr w:rsidR="00CA2F16" w:rsidRPr="000A5B5D" w:rsidTr="00CA2F16">
        <w:tc>
          <w:tcPr>
            <w:tcW w:w="0" w:type="auto"/>
            <w:gridSpan w:val="7"/>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left"/>
            </w:pPr>
            <w:r w:rsidRPr="000A5B5D">
              <w:rPr>
                <w:rFonts w:hint="eastAsia"/>
              </w:rPr>
              <w:t>可转换公司债券、分离交易的可转换公司债券、公司债类</w:t>
            </w:r>
          </w:p>
        </w:tc>
      </w:tr>
      <w:tr w:rsidR="004E7828" w:rsidRPr="000A5B5D" w:rsidTr="004E7828">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1767"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r>
      <w:tr w:rsidR="00CA2F16" w:rsidRPr="000A5B5D" w:rsidTr="00CA2F16">
        <w:tc>
          <w:tcPr>
            <w:tcW w:w="0" w:type="auto"/>
            <w:gridSpan w:val="7"/>
            <w:tcBorders>
              <w:top w:val="single" w:sz="4" w:space="0" w:color="auto"/>
              <w:left w:val="single" w:sz="4" w:space="0" w:color="auto"/>
              <w:bottom w:val="single" w:sz="4" w:space="0" w:color="auto"/>
              <w:right w:val="single" w:sz="4" w:space="0" w:color="auto"/>
            </w:tcBorders>
            <w:shd w:val="clear" w:color="auto" w:fill="D3D3D3"/>
            <w:vAlign w:val="center"/>
          </w:tcPr>
          <w:p w:rsidR="00CA2F16" w:rsidRPr="000A5B5D" w:rsidRDefault="00CA2F16" w:rsidP="00ED1ACD">
            <w:pPr>
              <w:jc w:val="left"/>
            </w:pPr>
            <w:r w:rsidRPr="000A5B5D">
              <w:rPr>
                <w:rFonts w:hint="eastAsia"/>
              </w:rPr>
              <w:t>其他衍生证券类</w:t>
            </w:r>
          </w:p>
        </w:tc>
      </w:tr>
      <w:tr w:rsidR="004E7828" w:rsidRPr="000A5B5D" w:rsidTr="004E7828">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lef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1767" w:type="dxa"/>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A2F16" w:rsidRPr="000A5B5D" w:rsidRDefault="00CA2F16" w:rsidP="00ED1ACD">
            <w:pPr>
              <w:jc w:val="right"/>
            </w:pPr>
          </w:p>
        </w:tc>
      </w:tr>
    </w:tbl>
    <w:p w:rsidR="006C3456" w:rsidRPr="000A5B5D" w:rsidRDefault="000A6167" w:rsidP="000A6167">
      <w:pPr>
        <w:spacing w:line="360" w:lineRule="auto"/>
        <w:jc w:val="left"/>
        <w:rPr>
          <w:sz w:val="24"/>
          <w:szCs w:val="24"/>
        </w:rPr>
      </w:pPr>
      <w:r w:rsidRPr="000A5B5D">
        <w:rPr>
          <w:rFonts w:hint="eastAsia"/>
          <w:sz w:val="24"/>
          <w:szCs w:val="24"/>
        </w:rPr>
        <w:t>报告期内证券发行（不含优先股）情况的说明</w:t>
      </w:r>
    </w:p>
    <w:p w:rsidR="00160739" w:rsidRPr="000A5B5D" w:rsidRDefault="000A6167" w:rsidP="00160739">
      <w:pPr>
        <w:autoSpaceDE w:val="0"/>
        <w:autoSpaceDN w:val="0"/>
        <w:adjustRightInd w:val="0"/>
        <w:spacing w:before="0" w:after="0" w:line="360" w:lineRule="auto"/>
        <w:ind w:firstLineChars="200" w:firstLine="480"/>
        <w:jc w:val="left"/>
        <w:rPr>
          <w:sz w:val="24"/>
          <w:szCs w:val="24"/>
        </w:rPr>
      </w:pPr>
      <w:r w:rsidRPr="000A5B5D">
        <w:rPr>
          <w:sz w:val="24"/>
          <w:szCs w:val="24"/>
        </w:rPr>
        <w:t>1</w:t>
      </w:r>
      <w:r w:rsidRPr="000A5B5D">
        <w:rPr>
          <w:rFonts w:hint="eastAsia"/>
          <w:sz w:val="24"/>
          <w:szCs w:val="24"/>
        </w:rPr>
        <w:t>、</w:t>
      </w:r>
      <w:r w:rsidR="00160739" w:rsidRPr="000A5B5D">
        <w:rPr>
          <w:rFonts w:ascii="宋体" w:hAnsi="宋体" w:cs="宋体" w:hint="eastAsia"/>
          <w:kern w:val="0"/>
          <w:sz w:val="24"/>
          <w:szCs w:val="24"/>
          <w:lang w:val="zh-CN"/>
        </w:rPr>
        <w:t>公司股权激励项目证券发行情况</w:t>
      </w:r>
    </w:p>
    <w:p w:rsidR="000A6167" w:rsidRPr="000A5B5D" w:rsidRDefault="00160739" w:rsidP="00160739">
      <w:pPr>
        <w:autoSpaceDE w:val="0"/>
        <w:autoSpaceDN w:val="0"/>
        <w:adjustRightInd w:val="0"/>
        <w:spacing w:before="0" w:after="0" w:line="360" w:lineRule="auto"/>
        <w:ind w:firstLineChars="200" w:firstLine="480"/>
        <w:jc w:val="left"/>
        <w:rPr>
          <w:rFonts w:ascii="宋体" w:cs="宋体"/>
          <w:kern w:val="0"/>
          <w:sz w:val="24"/>
          <w:szCs w:val="24"/>
          <w:lang w:val="zh-CN"/>
        </w:rPr>
      </w:pP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15</w:t>
      </w:r>
      <w:r w:rsidRPr="000A5B5D">
        <w:rPr>
          <w:rFonts w:ascii="宋体" w:hAnsi="宋体" w:cs="宋体" w:hint="eastAsia"/>
          <w:kern w:val="0"/>
          <w:sz w:val="24"/>
          <w:szCs w:val="24"/>
          <w:lang w:val="zh-CN"/>
        </w:rPr>
        <w:t>日，公司发布“关于限制性股票激励计划授予登记完成的公告”（公告编</w:t>
      </w:r>
      <w:r w:rsidRPr="000A5B5D">
        <w:rPr>
          <w:rFonts w:ascii="宋体" w:hAnsi="宋体" w:cs="宋体" w:hint="eastAsia"/>
          <w:kern w:val="0"/>
          <w:sz w:val="24"/>
          <w:szCs w:val="24"/>
          <w:lang w:val="zh-CN"/>
        </w:rPr>
        <w:lastRenderedPageBreak/>
        <w:t>号：</w:t>
      </w:r>
      <w:r w:rsidRPr="000A5B5D">
        <w:rPr>
          <w:rFonts w:ascii="宋体" w:hAnsi="宋体" w:cs="宋体"/>
          <w:kern w:val="0"/>
          <w:sz w:val="24"/>
          <w:szCs w:val="24"/>
          <w:lang w:val="zh-CN"/>
        </w:rPr>
        <w:t>2015-063</w:t>
      </w:r>
      <w:r w:rsidRPr="000A5B5D">
        <w:rPr>
          <w:rFonts w:ascii="宋体" w:hAnsi="宋体" w:cs="宋体" w:hint="eastAsia"/>
          <w:kern w:val="0"/>
          <w:sz w:val="24"/>
          <w:szCs w:val="24"/>
          <w:lang w:val="zh-CN"/>
        </w:rPr>
        <w:t>），完成《恒逸石化股份有限公司第一期限制性股票激励计划（草案）》限制性股票首次授予登记工作。本次股权激励计划的首次授予日为</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8</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25</w:t>
      </w:r>
      <w:r w:rsidRPr="000A5B5D">
        <w:rPr>
          <w:rFonts w:ascii="宋体" w:hAnsi="宋体" w:cs="宋体" w:hint="eastAsia"/>
          <w:kern w:val="0"/>
          <w:sz w:val="24"/>
          <w:szCs w:val="24"/>
          <w:lang w:val="zh-CN"/>
        </w:rPr>
        <w:t>日，首次授予限制性股票的授予登记完成日期为</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15</w:t>
      </w:r>
      <w:r w:rsidRPr="000A5B5D">
        <w:rPr>
          <w:rFonts w:ascii="宋体" w:hAnsi="宋体" w:cs="宋体" w:hint="eastAsia"/>
          <w:kern w:val="0"/>
          <w:sz w:val="24"/>
          <w:szCs w:val="24"/>
          <w:lang w:val="zh-CN"/>
        </w:rPr>
        <w:t>日，首次授予限制性股票的上市日期为</w:t>
      </w:r>
      <w:r w:rsidRPr="000A5B5D">
        <w:rPr>
          <w:rFonts w:ascii="宋体" w:hAnsi="宋体" w:cs="宋体"/>
          <w:kern w:val="0"/>
          <w:sz w:val="24"/>
          <w:szCs w:val="24"/>
          <w:lang w:val="zh-CN"/>
        </w:rPr>
        <w:t>2015</w:t>
      </w:r>
      <w:r w:rsidRPr="000A5B5D">
        <w:rPr>
          <w:rFonts w:ascii="宋体" w:hAnsi="宋体" w:cs="宋体" w:hint="eastAsia"/>
          <w:kern w:val="0"/>
          <w:sz w:val="24"/>
          <w:szCs w:val="24"/>
          <w:lang w:val="zh-CN"/>
        </w:rPr>
        <w:t>年</w:t>
      </w:r>
      <w:r w:rsidRPr="000A5B5D">
        <w:rPr>
          <w:rFonts w:ascii="宋体" w:hAnsi="宋体" w:cs="宋体"/>
          <w:kern w:val="0"/>
          <w:sz w:val="24"/>
          <w:szCs w:val="24"/>
          <w:lang w:val="zh-CN"/>
        </w:rPr>
        <w:t>9</w:t>
      </w:r>
      <w:r w:rsidRPr="000A5B5D">
        <w:rPr>
          <w:rFonts w:ascii="宋体" w:hAnsi="宋体" w:cs="宋体" w:hint="eastAsia"/>
          <w:kern w:val="0"/>
          <w:sz w:val="24"/>
          <w:szCs w:val="24"/>
          <w:lang w:val="zh-CN"/>
        </w:rPr>
        <w:t>月</w:t>
      </w:r>
      <w:r w:rsidRPr="000A5B5D">
        <w:rPr>
          <w:rFonts w:ascii="宋体" w:hAnsi="宋体" w:cs="宋体"/>
          <w:kern w:val="0"/>
          <w:sz w:val="24"/>
          <w:szCs w:val="24"/>
          <w:lang w:val="zh-CN"/>
        </w:rPr>
        <w:t>17</w:t>
      </w:r>
      <w:r w:rsidRPr="000A5B5D">
        <w:rPr>
          <w:rFonts w:ascii="宋体" w:hAnsi="宋体" w:cs="宋体" w:hint="eastAsia"/>
          <w:kern w:val="0"/>
          <w:sz w:val="24"/>
          <w:szCs w:val="24"/>
          <w:lang w:val="zh-CN"/>
        </w:rPr>
        <w:t>日。</w:t>
      </w:r>
    </w:p>
    <w:p w:rsidR="00160739" w:rsidRPr="000A5B5D" w:rsidRDefault="000A6167" w:rsidP="00160739">
      <w:pPr>
        <w:spacing w:line="360" w:lineRule="auto"/>
        <w:ind w:firstLineChars="200" w:firstLine="480"/>
        <w:jc w:val="left"/>
        <w:rPr>
          <w:sz w:val="24"/>
          <w:szCs w:val="24"/>
        </w:rPr>
      </w:pPr>
      <w:r w:rsidRPr="000A5B5D">
        <w:rPr>
          <w:sz w:val="24"/>
          <w:szCs w:val="24"/>
        </w:rPr>
        <w:t>2</w:t>
      </w:r>
      <w:r w:rsidRPr="000A5B5D">
        <w:rPr>
          <w:rFonts w:hint="eastAsia"/>
          <w:sz w:val="24"/>
          <w:szCs w:val="24"/>
        </w:rPr>
        <w:t>、</w:t>
      </w:r>
      <w:r w:rsidR="00160739" w:rsidRPr="000A5B5D">
        <w:rPr>
          <w:rFonts w:hint="eastAsia"/>
          <w:sz w:val="24"/>
          <w:szCs w:val="24"/>
        </w:rPr>
        <w:t>公司</w:t>
      </w:r>
      <w:r w:rsidR="00160739" w:rsidRPr="000A5B5D">
        <w:rPr>
          <w:sz w:val="24"/>
          <w:szCs w:val="24"/>
        </w:rPr>
        <w:t>2014</w:t>
      </w:r>
      <w:r w:rsidR="00160739" w:rsidRPr="000A5B5D">
        <w:rPr>
          <w:rFonts w:hint="eastAsia"/>
          <w:sz w:val="24"/>
          <w:szCs w:val="24"/>
        </w:rPr>
        <w:t>年度非公开发行股票项目证券发行情况</w:t>
      </w:r>
    </w:p>
    <w:p w:rsidR="00160739" w:rsidRPr="000A5B5D" w:rsidRDefault="00160739" w:rsidP="00160739">
      <w:pPr>
        <w:spacing w:line="360" w:lineRule="auto"/>
        <w:ind w:firstLineChars="200" w:firstLine="480"/>
        <w:jc w:val="left"/>
        <w:rPr>
          <w:sz w:val="24"/>
          <w:szCs w:val="24"/>
        </w:rPr>
      </w:pPr>
      <w:r w:rsidRPr="000A5B5D">
        <w:rPr>
          <w:rFonts w:hint="eastAsia"/>
          <w:sz w:val="24"/>
          <w:szCs w:val="24"/>
        </w:rPr>
        <w:t>（</w:t>
      </w:r>
      <w:r w:rsidRPr="000A5B5D">
        <w:rPr>
          <w:sz w:val="24"/>
          <w:szCs w:val="24"/>
        </w:rPr>
        <w:t>1</w:t>
      </w:r>
      <w:r w:rsidRPr="000A5B5D">
        <w:rPr>
          <w:rFonts w:hint="eastAsia"/>
          <w:sz w:val="24"/>
          <w:szCs w:val="24"/>
        </w:rPr>
        <w:t>）</w:t>
      </w:r>
      <w:r w:rsidRPr="000A5B5D">
        <w:rPr>
          <w:sz w:val="24"/>
          <w:szCs w:val="24"/>
        </w:rPr>
        <w:t>2015</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12</w:t>
      </w:r>
      <w:r w:rsidRPr="000A5B5D">
        <w:rPr>
          <w:rFonts w:hint="eastAsia"/>
          <w:sz w:val="24"/>
          <w:szCs w:val="24"/>
        </w:rPr>
        <w:t>日，公司以非公开发行股票的方式向恒逸投资发行</w:t>
      </w:r>
      <w:r w:rsidRPr="000A5B5D">
        <w:rPr>
          <w:sz w:val="24"/>
          <w:szCs w:val="24"/>
        </w:rPr>
        <w:t>140,845,070</w:t>
      </w:r>
      <w:r w:rsidRPr="000A5B5D">
        <w:rPr>
          <w:rFonts w:hint="eastAsia"/>
          <w:sz w:val="24"/>
          <w:szCs w:val="24"/>
        </w:rPr>
        <w:t>股人民币普通股（</w:t>
      </w:r>
      <w:r w:rsidRPr="000A5B5D">
        <w:rPr>
          <w:sz w:val="24"/>
          <w:szCs w:val="24"/>
        </w:rPr>
        <w:t>A</w:t>
      </w:r>
      <w:r w:rsidRPr="000A5B5D">
        <w:rPr>
          <w:rFonts w:hint="eastAsia"/>
          <w:sz w:val="24"/>
          <w:szCs w:val="24"/>
        </w:rPr>
        <w:t>股）。</w:t>
      </w:r>
    </w:p>
    <w:p w:rsidR="00CA2F16" w:rsidRPr="000A5B5D" w:rsidRDefault="00160739" w:rsidP="00160739">
      <w:pPr>
        <w:spacing w:line="360" w:lineRule="auto"/>
        <w:ind w:firstLineChars="200" w:firstLine="480"/>
        <w:jc w:val="left"/>
        <w:rPr>
          <w:sz w:val="24"/>
          <w:szCs w:val="24"/>
        </w:rPr>
      </w:pPr>
      <w:r w:rsidRPr="000A5B5D">
        <w:rPr>
          <w:rFonts w:hint="eastAsia"/>
          <w:sz w:val="24"/>
          <w:szCs w:val="24"/>
        </w:rPr>
        <w:t>（</w:t>
      </w:r>
      <w:r w:rsidRPr="000A5B5D">
        <w:rPr>
          <w:sz w:val="24"/>
          <w:szCs w:val="24"/>
        </w:rPr>
        <w:t>2</w:t>
      </w:r>
      <w:r w:rsidRPr="000A5B5D">
        <w:rPr>
          <w:rFonts w:hint="eastAsia"/>
          <w:sz w:val="24"/>
          <w:szCs w:val="24"/>
        </w:rPr>
        <w:t>）</w:t>
      </w:r>
      <w:r w:rsidRPr="000A5B5D">
        <w:rPr>
          <w:sz w:val="24"/>
          <w:szCs w:val="24"/>
        </w:rPr>
        <w:t>2015</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16</w:t>
      </w:r>
      <w:r w:rsidRPr="000A5B5D">
        <w:rPr>
          <w:rFonts w:hint="eastAsia"/>
          <w:sz w:val="24"/>
          <w:szCs w:val="24"/>
        </w:rPr>
        <w:t>日，公司就本次增发股份向中国证券登记结算有限责任公司深圳分公司提交相关登记材料。经确认，本次增发股份将于该批股份上市日的前一交易日日终登记到账，并正式列入上市公司的股东名册。</w:t>
      </w:r>
    </w:p>
    <w:p w:rsidR="00D040D2" w:rsidRPr="000A5B5D" w:rsidRDefault="00D040D2" w:rsidP="00160739">
      <w:pPr>
        <w:spacing w:line="360" w:lineRule="auto"/>
        <w:ind w:firstLineChars="200" w:firstLine="480"/>
        <w:jc w:val="left"/>
        <w:rPr>
          <w:sz w:val="24"/>
          <w:szCs w:val="24"/>
        </w:rPr>
      </w:pPr>
      <w:r w:rsidRPr="000A5B5D">
        <w:rPr>
          <w:rFonts w:hint="eastAsia"/>
          <w:sz w:val="24"/>
          <w:szCs w:val="24"/>
        </w:rPr>
        <w:t>（</w:t>
      </w:r>
      <w:r w:rsidRPr="000A5B5D">
        <w:rPr>
          <w:sz w:val="24"/>
          <w:szCs w:val="24"/>
        </w:rPr>
        <w:t>3</w:t>
      </w:r>
      <w:r w:rsidRPr="000A5B5D">
        <w:rPr>
          <w:rFonts w:hint="eastAsia"/>
          <w:sz w:val="24"/>
          <w:szCs w:val="24"/>
        </w:rPr>
        <w:t>）</w:t>
      </w:r>
      <w:r w:rsidRPr="000A5B5D">
        <w:rPr>
          <w:sz w:val="24"/>
          <w:szCs w:val="24"/>
        </w:rPr>
        <w:t>2015</w:t>
      </w:r>
      <w:r w:rsidRPr="000A5B5D">
        <w:rPr>
          <w:rFonts w:hint="eastAsia"/>
          <w:sz w:val="24"/>
          <w:szCs w:val="24"/>
        </w:rPr>
        <w:t>年</w:t>
      </w:r>
      <w:r w:rsidRPr="000A5B5D">
        <w:rPr>
          <w:sz w:val="24"/>
          <w:szCs w:val="24"/>
        </w:rPr>
        <w:t>11</w:t>
      </w:r>
      <w:r w:rsidRPr="000A5B5D">
        <w:rPr>
          <w:rFonts w:hint="eastAsia"/>
          <w:sz w:val="24"/>
          <w:szCs w:val="24"/>
        </w:rPr>
        <w:t>月</w:t>
      </w:r>
      <w:r w:rsidRPr="000A5B5D">
        <w:rPr>
          <w:sz w:val="24"/>
          <w:szCs w:val="24"/>
        </w:rPr>
        <w:t>3</w:t>
      </w:r>
      <w:r w:rsidRPr="000A5B5D">
        <w:rPr>
          <w:rFonts w:hint="eastAsia"/>
          <w:sz w:val="24"/>
          <w:szCs w:val="24"/>
        </w:rPr>
        <w:t>日，公司</w:t>
      </w:r>
      <w:r w:rsidRPr="000A5B5D">
        <w:rPr>
          <w:sz w:val="24"/>
          <w:szCs w:val="24"/>
        </w:rPr>
        <w:t>2014</w:t>
      </w:r>
      <w:r w:rsidRPr="000A5B5D">
        <w:rPr>
          <w:rFonts w:hint="eastAsia"/>
          <w:sz w:val="24"/>
          <w:szCs w:val="24"/>
        </w:rPr>
        <w:t>年度非公开发行股票上市，详见公司于</w:t>
      </w:r>
      <w:r w:rsidRPr="000A5B5D">
        <w:rPr>
          <w:sz w:val="24"/>
          <w:szCs w:val="24"/>
        </w:rPr>
        <w:t>2015</w:t>
      </w:r>
      <w:r w:rsidRPr="000A5B5D">
        <w:rPr>
          <w:rFonts w:hint="eastAsia"/>
          <w:sz w:val="24"/>
          <w:szCs w:val="24"/>
        </w:rPr>
        <w:t>年</w:t>
      </w:r>
      <w:r w:rsidRPr="000A5B5D">
        <w:rPr>
          <w:sz w:val="24"/>
          <w:szCs w:val="24"/>
        </w:rPr>
        <w:t>11</w:t>
      </w:r>
      <w:r w:rsidRPr="000A5B5D">
        <w:rPr>
          <w:rFonts w:hint="eastAsia"/>
          <w:sz w:val="24"/>
          <w:szCs w:val="24"/>
        </w:rPr>
        <w:t>月</w:t>
      </w:r>
      <w:r w:rsidRPr="000A5B5D">
        <w:rPr>
          <w:sz w:val="24"/>
          <w:szCs w:val="24"/>
        </w:rPr>
        <w:t>4</w:t>
      </w:r>
      <w:r w:rsidRPr="000A5B5D">
        <w:rPr>
          <w:rFonts w:hint="eastAsia"/>
          <w:sz w:val="24"/>
          <w:szCs w:val="24"/>
        </w:rPr>
        <w:t>日在巨潮资讯网上的公告“关于非公开发行股票相关承诺的公告”（公告编号：</w:t>
      </w:r>
      <w:r w:rsidRPr="000A5B5D">
        <w:rPr>
          <w:sz w:val="24"/>
          <w:szCs w:val="24"/>
        </w:rPr>
        <w:t>2015-079</w:t>
      </w:r>
      <w:r w:rsidRPr="000A5B5D">
        <w:rPr>
          <w:rFonts w:hint="eastAsia"/>
          <w:sz w:val="24"/>
          <w:szCs w:val="24"/>
        </w:rPr>
        <w:t>）。</w:t>
      </w:r>
    </w:p>
    <w:p w:rsidR="00BC4D56" w:rsidRPr="000A5B5D" w:rsidRDefault="00BC4D56" w:rsidP="00D94F9A">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、公司股份总数及股东结构的变动、公司资产和负债结构的变动情况说明</w:t>
      </w:r>
    </w:p>
    <w:p w:rsidR="00896A4F" w:rsidRPr="000A5B5D" w:rsidRDefault="00BC4D56" w:rsidP="00896A4F">
      <w:pPr>
        <w:autoSpaceDE w:val="0"/>
        <w:autoSpaceDN w:val="0"/>
        <w:adjustRightInd w:val="0"/>
        <w:spacing w:before="0" w:after="0" w:line="360" w:lineRule="auto"/>
        <w:rPr>
          <w:rFonts w:ascii="宋体" w:cs="宋体"/>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报告期内，因公司</w:t>
      </w:r>
      <w:r w:rsidRPr="000A5B5D">
        <w:rPr>
          <w:rFonts w:eastAsia="Times New Roman"/>
          <w:kern w:val="0"/>
          <w:sz w:val="24"/>
          <w:szCs w:val="24"/>
          <w:lang w:val="zh-CN"/>
        </w:rPr>
        <w:t>A</w:t>
      </w:r>
      <w:r w:rsidRPr="000A5B5D">
        <w:rPr>
          <w:rFonts w:ascii="宋体" w:hAnsi="宋体" w:cs="宋体" w:hint="eastAsia"/>
          <w:kern w:val="0"/>
          <w:sz w:val="24"/>
          <w:szCs w:val="24"/>
          <w:lang w:val="zh-CN"/>
        </w:rPr>
        <w:t>股股票股权激励</w:t>
      </w:r>
      <w:r w:rsidR="00FC7BE6" w:rsidRPr="000A5B5D">
        <w:rPr>
          <w:rFonts w:ascii="宋体" w:hAnsi="宋体" w:cs="宋体" w:hint="eastAsia"/>
          <w:kern w:val="0"/>
          <w:sz w:val="24"/>
          <w:szCs w:val="24"/>
          <w:lang w:val="zh-CN"/>
        </w:rPr>
        <w:t>发行</w:t>
      </w:r>
      <w:r w:rsidRPr="000A5B5D">
        <w:rPr>
          <w:rFonts w:ascii="宋体" w:hAnsi="宋体" w:cs="宋体" w:hint="eastAsia"/>
          <w:kern w:val="0"/>
          <w:sz w:val="24"/>
          <w:szCs w:val="24"/>
          <w:lang w:val="zh-CN"/>
        </w:rPr>
        <w:t>股</w:t>
      </w:r>
      <w:r w:rsidR="00FC7BE6" w:rsidRPr="000A5B5D">
        <w:rPr>
          <w:rFonts w:ascii="宋体" w:hAnsi="宋体" w:cs="宋体" w:hint="eastAsia"/>
          <w:kern w:val="0"/>
          <w:sz w:val="24"/>
          <w:szCs w:val="24"/>
          <w:lang w:val="zh-CN"/>
        </w:rPr>
        <w:t>数</w:t>
      </w:r>
      <w:r w:rsidRPr="000A5B5D">
        <w:rPr>
          <w:rFonts w:eastAsia="Times New Roman"/>
          <w:kern w:val="0"/>
          <w:sz w:val="24"/>
          <w:szCs w:val="24"/>
          <w:lang w:val="zh-CN"/>
        </w:rPr>
        <w:t>11,700,000</w:t>
      </w:r>
      <w:r w:rsidRPr="000A5B5D">
        <w:rPr>
          <w:rFonts w:ascii="宋体" w:hAnsi="宋体" w:cs="宋体" w:hint="eastAsia"/>
          <w:kern w:val="0"/>
          <w:sz w:val="24"/>
          <w:szCs w:val="24"/>
          <w:lang w:val="zh-CN"/>
        </w:rPr>
        <w:t>份，公司</w:t>
      </w:r>
      <w:r w:rsidRPr="000A5B5D">
        <w:rPr>
          <w:rFonts w:eastAsia="Times New Roman"/>
          <w:kern w:val="0"/>
          <w:sz w:val="24"/>
          <w:szCs w:val="24"/>
          <w:lang w:val="zh-CN"/>
        </w:rPr>
        <w:t>A</w:t>
      </w:r>
      <w:r w:rsidRPr="000A5B5D">
        <w:rPr>
          <w:rFonts w:ascii="宋体" w:hAnsi="宋体" w:cs="宋体" w:hint="eastAsia"/>
          <w:kern w:val="0"/>
          <w:sz w:val="24"/>
          <w:szCs w:val="24"/>
          <w:lang w:val="zh-CN"/>
        </w:rPr>
        <w:t>股股票数量因此增加</w:t>
      </w:r>
      <w:r w:rsidRPr="000A5B5D">
        <w:rPr>
          <w:rFonts w:eastAsia="Times New Roman"/>
          <w:kern w:val="0"/>
          <w:sz w:val="24"/>
          <w:szCs w:val="24"/>
          <w:lang w:val="zh-CN"/>
        </w:rPr>
        <w:t>11,700,000</w:t>
      </w:r>
      <w:r w:rsidRPr="000A5B5D">
        <w:rPr>
          <w:rFonts w:ascii="宋体" w:hAnsi="宋体" w:cs="宋体" w:hint="eastAsia"/>
          <w:kern w:val="0"/>
          <w:sz w:val="24"/>
          <w:szCs w:val="24"/>
          <w:lang w:val="zh-CN"/>
        </w:rPr>
        <w:t>股，公司股份总数相应增加</w:t>
      </w:r>
      <w:r w:rsidRPr="000A5B5D">
        <w:rPr>
          <w:rFonts w:eastAsia="Times New Roman"/>
          <w:kern w:val="0"/>
          <w:sz w:val="24"/>
          <w:szCs w:val="24"/>
          <w:lang w:val="zh-CN"/>
        </w:rPr>
        <w:t>11,700,000</w:t>
      </w:r>
      <w:r w:rsidRPr="000A5B5D">
        <w:rPr>
          <w:rFonts w:ascii="宋体" w:hAnsi="宋体" w:cs="宋体" w:hint="eastAsia"/>
          <w:kern w:val="0"/>
          <w:sz w:val="24"/>
          <w:szCs w:val="24"/>
          <w:lang w:val="zh-CN"/>
        </w:rPr>
        <w:t>股。公司的股东权益和净资产相应增加人民币</w:t>
      </w:r>
      <w:r w:rsidRPr="000A5B5D">
        <w:rPr>
          <w:rFonts w:eastAsia="Times New Roman"/>
          <w:kern w:val="0"/>
          <w:sz w:val="24"/>
          <w:szCs w:val="24"/>
          <w:lang w:val="zh-CN"/>
        </w:rPr>
        <w:t>62,595,000</w:t>
      </w:r>
      <w:r w:rsidRPr="000A5B5D">
        <w:rPr>
          <w:rFonts w:ascii="宋体" w:hAnsi="宋体" w:cs="宋体" w:hint="eastAsia"/>
          <w:kern w:val="0"/>
          <w:sz w:val="24"/>
          <w:szCs w:val="24"/>
          <w:lang w:val="zh-CN"/>
        </w:rPr>
        <w:t>元。公司的总股份数增加</w:t>
      </w:r>
      <w:r w:rsidRPr="000A5B5D">
        <w:rPr>
          <w:rFonts w:eastAsia="Times New Roman"/>
          <w:kern w:val="0"/>
          <w:sz w:val="24"/>
          <w:szCs w:val="24"/>
          <w:lang w:val="zh-CN"/>
        </w:rPr>
        <w:t>1.01%</w:t>
      </w:r>
      <w:r w:rsidR="0007043E" w:rsidRPr="000A5B5D">
        <w:rPr>
          <w:rFonts w:ascii="宋体" w:hAnsi="宋体" w:cs="宋体" w:hint="eastAsia"/>
          <w:kern w:val="0"/>
          <w:sz w:val="24"/>
          <w:szCs w:val="24"/>
          <w:lang w:val="zh-CN"/>
        </w:rPr>
        <w:t>。</w:t>
      </w:r>
      <w:r w:rsidR="00CB3D16" w:rsidRPr="000A5B5D">
        <w:rPr>
          <w:rFonts w:ascii="宋体" w:hAnsi="宋体" w:cs="宋体" w:hint="eastAsia"/>
          <w:kern w:val="0"/>
          <w:sz w:val="24"/>
          <w:szCs w:val="24"/>
          <w:lang w:val="zh-CN"/>
        </w:rPr>
        <w:t>公司</w:t>
      </w:r>
      <w:r w:rsidR="00CB3D16" w:rsidRPr="000A5B5D">
        <w:rPr>
          <w:rFonts w:ascii="宋体" w:hAnsi="宋体" w:cs="宋体"/>
          <w:kern w:val="0"/>
          <w:sz w:val="24"/>
          <w:szCs w:val="24"/>
          <w:lang w:val="zh-CN"/>
        </w:rPr>
        <w:t>2015</w:t>
      </w:r>
      <w:r w:rsidR="00CB3D16" w:rsidRPr="000A5B5D">
        <w:rPr>
          <w:rFonts w:ascii="宋体" w:hAnsi="宋体" w:cs="宋体" w:hint="eastAsia"/>
          <w:kern w:val="0"/>
          <w:sz w:val="24"/>
          <w:szCs w:val="24"/>
          <w:lang w:val="zh-CN"/>
        </w:rPr>
        <w:t>年年度每股收益为</w:t>
      </w:r>
      <w:r w:rsidR="00CB3D16" w:rsidRPr="000A5B5D">
        <w:rPr>
          <w:rFonts w:ascii="宋体" w:hAnsi="宋体" w:cs="宋体"/>
          <w:kern w:val="0"/>
          <w:sz w:val="24"/>
          <w:szCs w:val="24"/>
          <w:lang w:val="zh-CN"/>
        </w:rPr>
        <w:t>0.16</w:t>
      </w:r>
      <w:r w:rsidR="00CB3D16" w:rsidRPr="000A5B5D">
        <w:rPr>
          <w:rFonts w:ascii="宋体" w:hAnsi="宋体" w:cs="宋体" w:hint="eastAsia"/>
          <w:kern w:val="0"/>
          <w:sz w:val="24"/>
          <w:szCs w:val="24"/>
          <w:lang w:val="zh-CN"/>
        </w:rPr>
        <w:t>元，本次限制性股票授予后，</w:t>
      </w:r>
      <w:r w:rsidR="00896A4F" w:rsidRPr="000A5B5D">
        <w:rPr>
          <w:rFonts w:ascii="宋体" w:hAnsi="宋体" w:cs="宋体" w:hint="eastAsia"/>
          <w:kern w:val="0"/>
          <w:sz w:val="24"/>
          <w:szCs w:val="24"/>
          <w:lang w:val="zh-CN"/>
        </w:rPr>
        <w:t>按新增股本</w:t>
      </w:r>
      <w:r w:rsidR="00896A4F" w:rsidRPr="000A5B5D">
        <w:rPr>
          <w:rFonts w:ascii="宋体" w:hAnsi="宋体" w:cs="宋体"/>
          <w:kern w:val="0"/>
          <w:sz w:val="24"/>
          <w:szCs w:val="24"/>
          <w:lang w:val="zh-CN"/>
        </w:rPr>
        <w:t>1,170</w:t>
      </w:r>
      <w:r w:rsidR="00896A4F" w:rsidRPr="000A5B5D">
        <w:rPr>
          <w:rFonts w:ascii="宋体" w:hAnsi="宋体" w:cs="宋体" w:hint="eastAsia"/>
          <w:kern w:val="0"/>
          <w:sz w:val="24"/>
          <w:szCs w:val="24"/>
          <w:lang w:val="zh-CN"/>
        </w:rPr>
        <w:t>万股加权计算后，</w:t>
      </w:r>
      <w:r w:rsidR="00896A4F" w:rsidRPr="000A5B5D">
        <w:rPr>
          <w:rFonts w:ascii="宋体" w:hAnsi="宋体" w:cs="宋体"/>
          <w:kern w:val="0"/>
          <w:sz w:val="24"/>
          <w:szCs w:val="24"/>
          <w:lang w:val="zh-CN"/>
        </w:rPr>
        <w:t>2015</w:t>
      </w:r>
      <w:r w:rsidR="00896A4F" w:rsidRPr="000A5B5D">
        <w:rPr>
          <w:rFonts w:ascii="宋体" w:hAnsi="宋体" w:cs="宋体" w:hint="eastAsia"/>
          <w:kern w:val="0"/>
          <w:sz w:val="24"/>
          <w:szCs w:val="24"/>
          <w:lang w:val="zh-CN"/>
        </w:rPr>
        <w:t>年度每股收益仍为</w:t>
      </w:r>
      <w:r w:rsidR="00896A4F" w:rsidRPr="000A5B5D">
        <w:rPr>
          <w:rFonts w:ascii="宋体" w:hAnsi="宋体" w:cs="宋体"/>
          <w:kern w:val="0"/>
          <w:sz w:val="24"/>
          <w:szCs w:val="24"/>
          <w:lang w:val="zh-CN"/>
        </w:rPr>
        <w:t>0.16</w:t>
      </w:r>
      <w:r w:rsidR="00896A4F" w:rsidRPr="000A5B5D">
        <w:rPr>
          <w:rFonts w:ascii="宋体" w:hAnsi="宋体" w:cs="宋体" w:hint="eastAsia"/>
          <w:kern w:val="0"/>
          <w:sz w:val="24"/>
          <w:szCs w:val="24"/>
          <w:lang w:val="zh-CN"/>
        </w:rPr>
        <w:t>元。</w:t>
      </w:r>
    </w:p>
    <w:p w:rsidR="00CB3D16" w:rsidRPr="000A5B5D" w:rsidRDefault="00BC4D56" w:rsidP="00896A4F">
      <w:pPr>
        <w:autoSpaceDE w:val="0"/>
        <w:autoSpaceDN w:val="0"/>
        <w:adjustRightInd w:val="0"/>
        <w:spacing w:before="0" w:after="0" w:line="360" w:lineRule="auto"/>
        <w:rPr>
          <w:rFonts w:ascii="宋体" w:cs="宋体"/>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报告期内，因公司对特定对象非公开发行股份</w:t>
      </w:r>
      <w:r w:rsidRPr="000A5B5D">
        <w:rPr>
          <w:rFonts w:eastAsia="Times New Roman"/>
          <w:kern w:val="0"/>
          <w:sz w:val="24"/>
          <w:szCs w:val="24"/>
          <w:lang w:val="zh-CN"/>
        </w:rPr>
        <w:t>140,845,070</w:t>
      </w:r>
      <w:r w:rsidRPr="000A5B5D">
        <w:rPr>
          <w:rFonts w:ascii="宋体" w:hAnsi="宋体" w:cs="宋体" w:hint="eastAsia"/>
          <w:kern w:val="0"/>
          <w:sz w:val="24"/>
          <w:szCs w:val="24"/>
          <w:lang w:val="zh-CN"/>
        </w:rPr>
        <w:t>股，公司</w:t>
      </w:r>
      <w:r w:rsidRPr="000A5B5D">
        <w:rPr>
          <w:rFonts w:eastAsia="Times New Roman"/>
          <w:kern w:val="0"/>
          <w:sz w:val="24"/>
          <w:szCs w:val="24"/>
          <w:lang w:val="zh-CN"/>
        </w:rPr>
        <w:t>A</w:t>
      </w:r>
      <w:r w:rsidRPr="000A5B5D">
        <w:rPr>
          <w:rFonts w:ascii="宋体" w:hAnsi="宋体" w:cs="宋体" w:hint="eastAsia"/>
          <w:kern w:val="0"/>
          <w:sz w:val="24"/>
          <w:szCs w:val="24"/>
          <w:lang w:val="zh-CN"/>
        </w:rPr>
        <w:t>股股票数量因此增加</w:t>
      </w:r>
      <w:r w:rsidRPr="000A5B5D">
        <w:rPr>
          <w:rFonts w:eastAsia="Times New Roman"/>
          <w:kern w:val="0"/>
          <w:sz w:val="24"/>
          <w:szCs w:val="24"/>
          <w:lang w:val="zh-CN"/>
        </w:rPr>
        <w:t>140,845,070</w:t>
      </w:r>
      <w:r w:rsidRPr="000A5B5D">
        <w:rPr>
          <w:rFonts w:ascii="宋体" w:hAnsi="宋体" w:cs="宋体" w:hint="eastAsia"/>
          <w:kern w:val="0"/>
          <w:sz w:val="24"/>
          <w:szCs w:val="24"/>
          <w:lang w:val="zh-CN"/>
        </w:rPr>
        <w:t>股，公司股份总数相应增加</w:t>
      </w:r>
      <w:r w:rsidRPr="000A5B5D">
        <w:rPr>
          <w:rFonts w:eastAsia="Times New Roman"/>
          <w:kern w:val="0"/>
          <w:sz w:val="24"/>
          <w:szCs w:val="24"/>
          <w:lang w:val="zh-CN"/>
        </w:rPr>
        <w:t>140,845,070</w:t>
      </w:r>
      <w:r w:rsidRPr="000A5B5D">
        <w:rPr>
          <w:rFonts w:ascii="宋体" w:hAnsi="宋体" w:cs="宋体" w:hint="eastAsia"/>
          <w:kern w:val="0"/>
          <w:sz w:val="24"/>
          <w:szCs w:val="24"/>
          <w:lang w:val="zh-CN"/>
        </w:rPr>
        <w:t>股。公司的股东权益和净资产相应增加人民币</w:t>
      </w:r>
      <w:r w:rsidRPr="000A5B5D">
        <w:rPr>
          <w:rFonts w:eastAsia="Times New Roman"/>
          <w:kern w:val="0"/>
          <w:sz w:val="24"/>
          <w:szCs w:val="24"/>
          <w:lang w:val="zh-CN"/>
        </w:rPr>
        <w:t>999,999,997</w:t>
      </w:r>
      <w:r w:rsidRPr="000A5B5D">
        <w:rPr>
          <w:rFonts w:ascii="宋体" w:hAnsi="宋体" w:cs="宋体" w:hint="eastAsia"/>
          <w:kern w:val="0"/>
          <w:sz w:val="24"/>
          <w:szCs w:val="24"/>
          <w:lang w:val="zh-CN"/>
        </w:rPr>
        <w:t>元。公司的总股份数增加</w:t>
      </w:r>
      <w:r w:rsidRPr="000A5B5D">
        <w:rPr>
          <w:rFonts w:eastAsia="Times New Roman"/>
          <w:kern w:val="0"/>
          <w:sz w:val="24"/>
          <w:szCs w:val="24"/>
          <w:lang w:val="zh-CN"/>
        </w:rPr>
        <w:t>12.08%</w:t>
      </w:r>
      <w:r w:rsidR="00FF5210" w:rsidRPr="000A5B5D">
        <w:rPr>
          <w:rFonts w:ascii="宋体" w:hAnsi="宋体" w:cs="宋体" w:hint="eastAsia"/>
          <w:kern w:val="0"/>
          <w:sz w:val="24"/>
          <w:szCs w:val="24"/>
          <w:lang w:val="zh-CN"/>
        </w:rPr>
        <w:t>。</w:t>
      </w:r>
      <w:r w:rsidR="00CB3D16" w:rsidRPr="000A5B5D">
        <w:rPr>
          <w:rFonts w:ascii="宋体" w:hAnsi="宋体" w:cs="宋体" w:hint="eastAsia"/>
          <w:kern w:val="0"/>
          <w:sz w:val="24"/>
          <w:szCs w:val="24"/>
          <w:lang w:val="zh-CN"/>
        </w:rPr>
        <w:t>公司</w:t>
      </w:r>
      <w:r w:rsidR="00CB3D16" w:rsidRPr="000A5B5D">
        <w:rPr>
          <w:rFonts w:ascii="宋体" w:hAnsi="宋体" w:cs="宋体"/>
          <w:kern w:val="0"/>
          <w:sz w:val="24"/>
          <w:szCs w:val="24"/>
          <w:lang w:val="zh-CN"/>
        </w:rPr>
        <w:t>2015</w:t>
      </w:r>
      <w:r w:rsidR="00CB3D16" w:rsidRPr="000A5B5D">
        <w:rPr>
          <w:rFonts w:ascii="宋体" w:hAnsi="宋体" w:cs="宋体" w:hint="eastAsia"/>
          <w:kern w:val="0"/>
          <w:sz w:val="24"/>
          <w:szCs w:val="24"/>
          <w:lang w:val="zh-CN"/>
        </w:rPr>
        <w:t>年年度每股收益为</w:t>
      </w:r>
      <w:r w:rsidR="00CB3D16" w:rsidRPr="000A5B5D">
        <w:rPr>
          <w:rFonts w:ascii="宋体" w:hAnsi="宋体" w:cs="宋体"/>
          <w:kern w:val="0"/>
          <w:sz w:val="24"/>
          <w:szCs w:val="24"/>
          <w:lang w:val="zh-CN"/>
        </w:rPr>
        <w:t>0.16</w:t>
      </w:r>
      <w:r w:rsidR="00CB3D16" w:rsidRPr="000A5B5D">
        <w:rPr>
          <w:rFonts w:ascii="宋体" w:hAnsi="宋体" w:cs="宋体" w:hint="eastAsia"/>
          <w:kern w:val="0"/>
          <w:sz w:val="24"/>
          <w:szCs w:val="24"/>
          <w:lang w:val="zh-CN"/>
        </w:rPr>
        <w:t>元，本次非公开发行股票项目实施后，</w:t>
      </w:r>
      <w:r w:rsidR="00896A4F" w:rsidRPr="000A5B5D">
        <w:rPr>
          <w:rFonts w:ascii="宋体" w:hAnsi="宋体" w:cs="宋体" w:hint="eastAsia"/>
          <w:kern w:val="0"/>
          <w:sz w:val="24"/>
          <w:szCs w:val="24"/>
          <w:lang w:val="zh-CN"/>
        </w:rPr>
        <w:t>按新增股本</w:t>
      </w:r>
      <w:r w:rsidR="00896A4F" w:rsidRPr="000A5B5D">
        <w:rPr>
          <w:rFonts w:ascii="宋体" w:hAnsi="宋体" w:cs="宋体"/>
          <w:kern w:val="0"/>
          <w:sz w:val="24"/>
          <w:szCs w:val="24"/>
          <w:lang w:val="zh-CN"/>
        </w:rPr>
        <w:t>140,845,070</w:t>
      </w:r>
      <w:r w:rsidR="00896A4F" w:rsidRPr="000A5B5D">
        <w:rPr>
          <w:rFonts w:ascii="宋体" w:hAnsi="宋体" w:cs="宋体" w:hint="eastAsia"/>
          <w:kern w:val="0"/>
          <w:sz w:val="24"/>
          <w:szCs w:val="24"/>
          <w:lang w:val="zh-CN"/>
        </w:rPr>
        <w:t>股加权计算后，</w:t>
      </w:r>
      <w:r w:rsidR="00896A4F" w:rsidRPr="000A5B5D">
        <w:rPr>
          <w:rFonts w:ascii="宋体" w:hAnsi="宋体" w:cs="宋体"/>
          <w:kern w:val="0"/>
          <w:sz w:val="24"/>
          <w:szCs w:val="24"/>
          <w:lang w:val="zh-CN"/>
        </w:rPr>
        <w:t>2015</w:t>
      </w:r>
      <w:r w:rsidR="00896A4F" w:rsidRPr="000A5B5D">
        <w:rPr>
          <w:rFonts w:ascii="宋体" w:hAnsi="宋体" w:cs="宋体" w:hint="eastAsia"/>
          <w:kern w:val="0"/>
          <w:sz w:val="24"/>
          <w:szCs w:val="24"/>
          <w:lang w:val="zh-CN"/>
        </w:rPr>
        <w:t>年度每股收益仍为</w:t>
      </w:r>
      <w:r w:rsidR="00896A4F" w:rsidRPr="000A5B5D">
        <w:rPr>
          <w:rFonts w:ascii="宋体" w:hAnsi="宋体" w:cs="宋体"/>
          <w:kern w:val="0"/>
          <w:sz w:val="24"/>
          <w:szCs w:val="24"/>
          <w:lang w:val="zh-CN"/>
        </w:rPr>
        <w:t>0.16</w:t>
      </w:r>
      <w:r w:rsidR="00896A4F" w:rsidRPr="000A5B5D">
        <w:rPr>
          <w:rFonts w:ascii="宋体" w:hAnsi="宋体" w:cs="宋体" w:hint="eastAsia"/>
          <w:kern w:val="0"/>
          <w:sz w:val="24"/>
          <w:szCs w:val="24"/>
          <w:lang w:val="zh-CN"/>
        </w:rPr>
        <w:t>元，对公司财务指标影响较小。</w:t>
      </w:r>
    </w:p>
    <w:p w:rsidR="00BC4D56" w:rsidRPr="000A5B5D" w:rsidRDefault="00BC4D56" w:rsidP="00D94F9A">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、现存的内部职工股情况</w:t>
      </w:r>
    </w:p>
    <w:p w:rsidR="00BC4D56" w:rsidRPr="000A5B5D" w:rsidRDefault="00BC4D56" w:rsidP="00D94F9A">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D94F9A">
      <w:pPr>
        <w:pStyle w:val="Chapter"/>
        <w:spacing w:line="360" w:lineRule="auto"/>
        <w:outlineLvl w:val="1"/>
        <w:rPr>
          <w:bCs w:val="0"/>
        </w:rPr>
      </w:pPr>
      <w:r w:rsidRPr="000A5B5D">
        <w:rPr>
          <w:rFonts w:hint="eastAsia"/>
          <w:bCs w:val="0"/>
        </w:rPr>
        <w:lastRenderedPageBreak/>
        <w:t>三、股东和实际控制人情况</w:t>
      </w:r>
    </w:p>
    <w:p w:rsidR="00BC4D56" w:rsidRPr="000A5B5D" w:rsidRDefault="00BC4D56" w:rsidP="00D94F9A">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、公司股东数量及持股情况</w:t>
      </w:r>
    </w:p>
    <w:p w:rsidR="00BC4D56" w:rsidRPr="000A5B5D" w:rsidRDefault="00BC4D56" w:rsidP="00D94F9A">
      <w:pPr>
        <w:spacing w:line="360" w:lineRule="auto"/>
        <w:jc w:val="right"/>
        <w:rPr>
          <w:sz w:val="24"/>
          <w:szCs w:val="24"/>
        </w:rPr>
      </w:pPr>
      <w:r w:rsidRPr="000A5B5D">
        <w:rPr>
          <w:rFonts w:hint="eastAsia"/>
          <w:sz w:val="24"/>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1201"/>
        <w:gridCol w:w="359"/>
        <w:gridCol w:w="837"/>
        <w:gridCol w:w="155"/>
        <w:gridCol w:w="850"/>
        <w:gridCol w:w="323"/>
        <w:gridCol w:w="670"/>
        <w:gridCol w:w="393"/>
        <w:gridCol w:w="599"/>
        <w:gridCol w:w="992"/>
        <w:gridCol w:w="934"/>
        <w:gridCol w:w="200"/>
        <w:gridCol w:w="992"/>
        <w:gridCol w:w="1068"/>
      </w:tblGrid>
      <w:tr w:rsidR="00BC4D56" w:rsidRPr="000A5B5D" w:rsidTr="00F03FE2">
        <w:tc>
          <w:tcPr>
            <w:tcW w:w="120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报告期末普通股股东总数</w:t>
            </w:r>
          </w:p>
        </w:tc>
        <w:tc>
          <w:tcPr>
            <w:tcW w:w="1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26,138</w:t>
            </w:r>
          </w:p>
        </w:tc>
        <w:tc>
          <w:tcPr>
            <w:tcW w:w="1328"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年度报告披露日前上一月末普通股股东总数</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25,400</w:t>
            </w:r>
          </w:p>
        </w:tc>
        <w:tc>
          <w:tcPr>
            <w:tcW w:w="15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报告期末表决权恢复的优先股股东总数（如有）（参见注</w:t>
            </w:r>
            <w:r w:rsidRPr="000A5B5D">
              <w:rPr>
                <w:szCs w:val="24"/>
              </w:rPr>
              <w:t>8</w:t>
            </w:r>
            <w:r w:rsidRPr="000A5B5D">
              <w:rPr>
                <w:rFonts w:hint="eastAsia"/>
                <w:szCs w:val="24"/>
              </w:rPr>
              <w:t>）</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年度报告披露日前上一月末表决权恢复的优先股股东总数（如有）（参见注</w:t>
            </w:r>
            <w:r w:rsidRPr="000A5B5D">
              <w:rPr>
                <w:szCs w:val="24"/>
              </w:rPr>
              <w:t>8</w:t>
            </w:r>
            <w:r w:rsidRPr="000A5B5D">
              <w:rPr>
                <w:rFonts w:hint="eastAsia"/>
                <w:szCs w:val="24"/>
              </w:rPr>
              <w:t>）</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F01CCB">
        <w:tc>
          <w:tcPr>
            <w:tcW w:w="9573" w:type="dxa"/>
            <w:gridSpan w:val="1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持股</w:t>
            </w:r>
            <w:r w:rsidRPr="000A5B5D">
              <w:rPr>
                <w:szCs w:val="24"/>
              </w:rPr>
              <w:t>5%</w:t>
            </w:r>
            <w:r w:rsidRPr="000A5B5D">
              <w:rPr>
                <w:rFonts w:hint="eastAsia"/>
                <w:szCs w:val="24"/>
              </w:rPr>
              <w:t>以上的股东或前</w:t>
            </w:r>
            <w:r w:rsidRPr="000A5B5D">
              <w:rPr>
                <w:szCs w:val="24"/>
              </w:rPr>
              <w:t>10</w:t>
            </w:r>
            <w:r w:rsidRPr="000A5B5D">
              <w:rPr>
                <w:rFonts w:hint="eastAsia"/>
                <w:szCs w:val="24"/>
              </w:rPr>
              <w:t>名股东持股情况</w:t>
            </w:r>
          </w:p>
        </w:tc>
      </w:tr>
      <w:tr w:rsidR="00F01CCB" w:rsidRPr="000A5B5D" w:rsidTr="00F03FE2">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股东名称</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股东性质</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持股比例</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报告期末持股数量</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报告期内增减变动情况</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持有有限售条件的股份数量</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持有无限售条件的股份数量</w:t>
            </w:r>
          </w:p>
        </w:tc>
        <w:tc>
          <w:tcPr>
            <w:tcW w:w="206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质押或冻结情况</w:t>
            </w:r>
          </w:p>
        </w:tc>
      </w:tr>
      <w:tr w:rsidR="00F01CCB" w:rsidRPr="000A5B5D" w:rsidTr="00F03FE2">
        <w:tc>
          <w:tcPr>
            <w:tcW w:w="1560" w:type="dxa"/>
            <w:gridSpan w:val="2"/>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股份状态</w:t>
            </w:r>
          </w:p>
        </w:tc>
        <w:tc>
          <w:tcPr>
            <w:tcW w:w="10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数量</w:t>
            </w: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浙江恒逸集团有限公司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境内非国有法人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61.85%</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807,820,230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05716C" w:rsidP="00F01CCB">
            <w:pPr>
              <w:jc w:val="center"/>
              <w:rPr>
                <w:szCs w:val="24"/>
              </w:rPr>
            </w:pPr>
            <w:r w:rsidRPr="000A5B5D">
              <w:rPr>
                <w:szCs w:val="24"/>
              </w:rPr>
              <w:t>807,820,230</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807,820,230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rFonts w:hint="eastAsia"/>
                <w:szCs w:val="24"/>
              </w:rPr>
              <w:t>质押</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268,510,000</w:t>
            </w: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杭州恒逸投资有限公司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境内非国有法人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10.78%</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140,845,070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F03FE2" w:rsidP="00F01CCB">
            <w:pPr>
              <w:jc w:val="center"/>
              <w:rPr>
                <w:szCs w:val="24"/>
              </w:rPr>
            </w:pPr>
            <w:r w:rsidRPr="000A5B5D">
              <w:rPr>
                <w:szCs w:val="24"/>
              </w:rPr>
              <w:t>140,845,070</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140,845,070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中国证券金融股份有限公司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国有法人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1.47%</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19,215,903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05716C" w:rsidP="00F01CCB">
            <w:pPr>
              <w:jc w:val="center"/>
              <w:rPr>
                <w:szCs w:val="24"/>
              </w:rPr>
            </w:pPr>
            <w:r w:rsidRPr="000A5B5D">
              <w:rPr>
                <w:szCs w:val="24"/>
              </w:rPr>
              <w:t>19,215,903</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19,215,903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中央汇金资产管理有限责任公司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国有法人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1.17%</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15,276,700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05716C" w:rsidP="00F01CCB">
            <w:pPr>
              <w:jc w:val="center"/>
              <w:rPr>
                <w:szCs w:val="24"/>
              </w:rPr>
            </w:pPr>
            <w:r w:rsidRPr="000A5B5D">
              <w:rPr>
                <w:szCs w:val="24"/>
              </w:rPr>
              <w:t>15,276,700</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15,276,700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中国银行股份有限公司－华夏新经济灵活配置混合型发起式证券投资基金</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其他</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0.82%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10,727,455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344DD7" w:rsidP="00F01CCB">
            <w:pPr>
              <w:jc w:val="center"/>
              <w:rPr>
                <w:szCs w:val="24"/>
              </w:rPr>
            </w:pPr>
            <w:r w:rsidRPr="000A5B5D">
              <w:rPr>
                <w:szCs w:val="24"/>
              </w:rPr>
              <w:t>10,727,455</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10,727,455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华夏资本－工商银行－中国工商银行股份有限公司私人银行部</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其他</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0.43%</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5,561,679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83F67" w:rsidP="00F01CCB">
            <w:pPr>
              <w:jc w:val="center"/>
              <w:rPr>
                <w:szCs w:val="24"/>
              </w:rPr>
            </w:pPr>
            <w:r w:rsidRPr="000A5B5D">
              <w:rPr>
                <w:szCs w:val="24"/>
              </w:rPr>
              <w:t>5,561,679</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5,561,679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泰康人寿保险股份有限公司－分红－个人分红</w:t>
            </w:r>
            <w:r w:rsidRPr="000A5B5D">
              <w:rPr>
                <w:szCs w:val="24"/>
              </w:rPr>
              <w:t>-019L-FH002</w:t>
            </w:r>
            <w:r w:rsidRPr="000A5B5D">
              <w:rPr>
                <w:rFonts w:hint="eastAsia"/>
                <w:szCs w:val="24"/>
              </w:rPr>
              <w:t>深</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其他</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0.43%</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5,554,999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83F67" w:rsidP="00F01CCB">
            <w:pPr>
              <w:jc w:val="center"/>
              <w:rPr>
                <w:szCs w:val="24"/>
              </w:rPr>
            </w:pPr>
            <w:r w:rsidRPr="000A5B5D">
              <w:rPr>
                <w:szCs w:val="24"/>
              </w:rPr>
              <w:t>5,554,999</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5,554,999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杭州惠丰化纤有限公司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境内非国有法人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0.42%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5,424,000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83F67" w:rsidP="00F01CCB">
            <w:pPr>
              <w:jc w:val="center"/>
              <w:rPr>
                <w:szCs w:val="24"/>
              </w:rPr>
            </w:pPr>
            <w:r w:rsidRPr="000A5B5D">
              <w:rPr>
                <w:szCs w:val="24"/>
              </w:rPr>
              <w:t>344,000</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5,424,000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乔楠</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0.41%</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5,359,829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83F67" w:rsidP="00F01CCB">
            <w:pPr>
              <w:jc w:val="center"/>
              <w:rPr>
                <w:szCs w:val="24"/>
              </w:rPr>
            </w:pPr>
            <w:r w:rsidRPr="000A5B5D">
              <w:rPr>
                <w:szCs w:val="24"/>
              </w:rPr>
              <w:t>5,359,829</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5,359,829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F01CCB" w:rsidRPr="000A5B5D" w:rsidTr="00F03FE2">
        <w:tc>
          <w:tcPr>
            <w:tcW w:w="1560"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曹伟娟</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0.34%</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4,380,030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83F67" w:rsidP="00F01CCB">
            <w:pPr>
              <w:jc w:val="center"/>
              <w:rPr>
                <w:szCs w:val="24"/>
              </w:rPr>
            </w:pPr>
            <w:r w:rsidRPr="000A5B5D">
              <w:rPr>
                <w:szCs w:val="24"/>
              </w:rPr>
              <w:t>19,188</w:t>
            </w:r>
          </w:p>
        </w:tc>
        <w:tc>
          <w:tcPr>
            <w:tcW w:w="992"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4,380,030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p>
        </w:tc>
      </w:tr>
      <w:tr w:rsidR="00BC4D56" w:rsidRPr="000A5B5D" w:rsidTr="00F01CCB">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lastRenderedPageBreak/>
              <w:t>上述股东关联关系或一致行动的说明</w:t>
            </w:r>
          </w:p>
        </w:tc>
        <w:tc>
          <w:tcPr>
            <w:tcW w:w="7021"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前</w:t>
            </w:r>
            <w:r w:rsidRPr="000A5B5D">
              <w:rPr>
                <w:szCs w:val="24"/>
              </w:rPr>
              <w:t>10</w:t>
            </w:r>
            <w:r w:rsidRPr="000A5B5D">
              <w:rPr>
                <w:rFonts w:hint="eastAsia"/>
                <w:szCs w:val="24"/>
              </w:rPr>
              <w:t>名股东中，杭州恒逸投资有限公司为恒逸集团的全资子公司；曹伟娟与杭州惠丰化纤有限公司之间存在关联关系且属于《上市公司收购管理办法》规定的一致行动人。</w:t>
            </w:r>
          </w:p>
        </w:tc>
      </w:tr>
      <w:tr w:rsidR="00BC4D56" w:rsidRPr="000A5B5D" w:rsidTr="00F01CCB">
        <w:tc>
          <w:tcPr>
            <w:tcW w:w="9573" w:type="dxa"/>
            <w:gridSpan w:val="1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前</w:t>
            </w:r>
            <w:r w:rsidRPr="000A5B5D">
              <w:rPr>
                <w:szCs w:val="24"/>
              </w:rPr>
              <w:t>10</w:t>
            </w:r>
            <w:r w:rsidRPr="000A5B5D">
              <w:rPr>
                <w:rFonts w:hint="eastAsia"/>
                <w:szCs w:val="24"/>
              </w:rPr>
              <w:t>名无限售条件股东持股情况</w:t>
            </w:r>
          </w:p>
        </w:tc>
      </w:tr>
      <w:tr w:rsidR="00BC4D56" w:rsidRPr="000A5B5D" w:rsidTr="00F03FE2">
        <w:tc>
          <w:tcPr>
            <w:tcW w:w="2552" w:type="dxa"/>
            <w:gridSpan w:val="4"/>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股东名称</w:t>
            </w:r>
          </w:p>
        </w:tc>
        <w:tc>
          <w:tcPr>
            <w:tcW w:w="4961" w:type="dxa"/>
            <w:gridSpan w:val="8"/>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报告期末持有无限售条件股份数量</w:t>
            </w:r>
          </w:p>
        </w:tc>
        <w:tc>
          <w:tcPr>
            <w:tcW w:w="206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股份种类</w:t>
            </w:r>
          </w:p>
        </w:tc>
      </w:tr>
      <w:tr w:rsidR="00BC4D56" w:rsidRPr="000A5B5D" w:rsidTr="00F03FE2">
        <w:tc>
          <w:tcPr>
            <w:tcW w:w="2552" w:type="dxa"/>
            <w:gridSpan w:val="4"/>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4961" w:type="dxa"/>
            <w:gridSpan w:val="8"/>
            <w:vMerge/>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股份种类</w:t>
            </w:r>
          </w:p>
        </w:tc>
        <w:tc>
          <w:tcPr>
            <w:tcW w:w="10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数量</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浙江恒逸集团有限公司</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807,820,230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807,820,230</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中国证券金融股份有限公司</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19,215,903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19,215,903</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中央汇金资产管理有限责任公司</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15,276,700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15,276,700</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中国银行股份有限公司－华夏新经济灵活配置混合型发起式证券投资基金</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10,727,455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10,727,455</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华夏资本－工商银行－中国工商银行股份有限公司私人银行部</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5,561,679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5,561,679</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泰康人寿保险股份有限公司－分红－个人分红</w:t>
            </w:r>
            <w:r w:rsidRPr="000A5B5D">
              <w:rPr>
                <w:szCs w:val="24"/>
              </w:rPr>
              <w:t>-019L-FH002</w:t>
            </w:r>
            <w:r w:rsidRPr="000A5B5D">
              <w:rPr>
                <w:rFonts w:hint="eastAsia"/>
                <w:szCs w:val="24"/>
              </w:rPr>
              <w:t>深</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5,554,999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5,554,999</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杭州惠丰化纤有限公司</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5,424,000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5,424,000</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乔楠</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5,359,829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5,359,829</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曹伟娟</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4,380,030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4,380,030</w:t>
            </w:r>
          </w:p>
        </w:tc>
      </w:tr>
      <w:tr w:rsidR="00BC4D56" w:rsidRPr="000A5B5D" w:rsidTr="00F03FE2">
        <w:tc>
          <w:tcPr>
            <w:tcW w:w="2552" w:type="dxa"/>
            <w:gridSpan w:val="4"/>
            <w:tcBorders>
              <w:top w:val="single" w:sz="4" w:space="0" w:color="auto"/>
              <w:left w:val="single" w:sz="4" w:space="0" w:color="auto"/>
              <w:bottom w:val="single" w:sz="4" w:space="0" w:color="auto"/>
              <w:right w:val="single" w:sz="4" w:space="0" w:color="auto"/>
            </w:tcBorders>
            <w:vAlign w:val="center"/>
          </w:tcPr>
          <w:p w:rsidR="00BC4D56" w:rsidRPr="000A5B5D" w:rsidRDefault="00BC4D56">
            <w:pPr>
              <w:jc w:val="left"/>
              <w:rPr>
                <w:szCs w:val="24"/>
              </w:rPr>
            </w:pPr>
            <w:r w:rsidRPr="000A5B5D">
              <w:rPr>
                <w:rFonts w:hint="eastAsia"/>
                <w:szCs w:val="24"/>
              </w:rPr>
              <w:t>四川省国有资产经营投资管理有限责任公司</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BC4D56" w:rsidRPr="000A5B5D" w:rsidRDefault="00BC4D56" w:rsidP="00F01CCB">
            <w:pPr>
              <w:jc w:val="center"/>
              <w:rPr>
                <w:szCs w:val="24"/>
              </w:rPr>
            </w:pPr>
            <w:r w:rsidRPr="000A5B5D">
              <w:rPr>
                <w:szCs w:val="24"/>
              </w:rPr>
              <w:t>4,098,226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人民币普通股</w:t>
            </w:r>
          </w:p>
        </w:tc>
        <w:tc>
          <w:tcPr>
            <w:tcW w:w="10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F01CCB">
            <w:pPr>
              <w:jc w:val="center"/>
              <w:rPr>
                <w:szCs w:val="24"/>
              </w:rPr>
            </w:pPr>
            <w:r w:rsidRPr="000A5B5D">
              <w:rPr>
                <w:szCs w:val="24"/>
              </w:rPr>
              <w:t>4,098,226</w:t>
            </w:r>
          </w:p>
        </w:tc>
      </w:tr>
      <w:tr w:rsidR="00BC4D56" w:rsidRPr="000A5B5D" w:rsidTr="00F01CCB">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前</w:t>
            </w:r>
            <w:r w:rsidRPr="000A5B5D">
              <w:rPr>
                <w:szCs w:val="24"/>
              </w:rPr>
              <w:t>10</w:t>
            </w:r>
            <w:r w:rsidRPr="000A5B5D">
              <w:rPr>
                <w:rFonts w:hint="eastAsia"/>
                <w:szCs w:val="24"/>
              </w:rPr>
              <w:t>名无限售流通股股东之间，以及前</w:t>
            </w:r>
            <w:r w:rsidRPr="000A5B5D">
              <w:rPr>
                <w:szCs w:val="24"/>
              </w:rPr>
              <w:t>10</w:t>
            </w:r>
            <w:r w:rsidRPr="000A5B5D">
              <w:rPr>
                <w:rFonts w:hint="eastAsia"/>
                <w:szCs w:val="24"/>
              </w:rPr>
              <w:t>名无限售流通股股东和前</w:t>
            </w:r>
            <w:r w:rsidRPr="000A5B5D">
              <w:rPr>
                <w:szCs w:val="24"/>
              </w:rPr>
              <w:t>10</w:t>
            </w:r>
            <w:r w:rsidRPr="000A5B5D">
              <w:rPr>
                <w:rFonts w:hint="eastAsia"/>
                <w:szCs w:val="24"/>
              </w:rPr>
              <w:t>名股东之间关联关系或一致行动的说明</w:t>
            </w:r>
          </w:p>
        </w:tc>
        <w:tc>
          <w:tcPr>
            <w:tcW w:w="7021"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前</w:t>
            </w:r>
            <w:r w:rsidRPr="000A5B5D">
              <w:rPr>
                <w:szCs w:val="24"/>
              </w:rPr>
              <w:t>10</w:t>
            </w:r>
            <w:r w:rsidRPr="000A5B5D">
              <w:rPr>
                <w:rFonts w:hint="eastAsia"/>
                <w:szCs w:val="24"/>
              </w:rPr>
              <w:t>名股东中，曹伟娟与杭州惠丰化纤有限公司之间存在关联关系且属于《上市公司收购管理办法》规定的一致行动人。</w:t>
            </w:r>
          </w:p>
        </w:tc>
      </w:tr>
      <w:tr w:rsidR="00BC4D56" w:rsidRPr="000A5B5D" w:rsidTr="00F01CCB">
        <w:tc>
          <w:tcPr>
            <w:tcW w:w="255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前</w:t>
            </w:r>
            <w:r w:rsidRPr="000A5B5D">
              <w:rPr>
                <w:szCs w:val="24"/>
              </w:rPr>
              <w:t>10</w:t>
            </w:r>
            <w:r w:rsidRPr="000A5B5D">
              <w:rPr>
                <w:rFonts w:hint="eastAsia"/>
                <w:szCs w:val="24"/>
              </w:rPr>
              <w:t>名普通股股东参与融资融券业务情况说明（如有）（参见注</w:t>
            </w:r>
            <w:r w:rsidRPr="000A5B5D">
              <w:rPr>
                <w:szCs w:val="24"/>
              </w:rPr>
              <w:t>4</w:t>
            </w:r>
            <w:r w:rsidRPr="000A5B5D">
              <w:rPr>
                <w:rFonts w:hint="eastAsia"/>
                <w:szCs w:val="24"/>
              </w:rPr>
              <w:t>）</w:t>
            </w:r>
          </w:p>
        </w:tc>
        <w:tc>
          <w:tcPr>
            <w:tcW w:w="7021"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无</w:t>
            </w:r>
          </w:p>
        </w:tc>
      </w:tr>
    </w:tbl>
    <w:p w:rsidR="00BC4D56" w:rsidRPr="000A5B5D" w:rsidRDefault="00BC4D56" w:rsidP="00BF2EA1">
      <w:pPr>
        <w:spacing w:line="360" w:lineRule="auto"/>
        <w:jc w:val="left"/>
        <w:rPr>
          <w:sz w:val="24"/>
          <w:szCs w:val="24"/>
        </w:rPr>
      </w:pPr>
      <w:r w:rsidRPr="000A5B5D">
        <w:rPr>
          <w:rFonts w:hint="eastAsia"/>
          <w:sz w:val="24"/>
          <w:szCs w:val="24"/>
        </w:rPr>
        <w:t>公司前</w:t>
      </w:r>
      <w:r w:rsidRPr="000A5B5D">
        <w:rPr>
          <w:sz w:val="24"/>
          <w:szCs w:val="24"/>
        </w:rPr>
        <w:t>10</w:t>
      </w:r>
      <w:r w:rsidRPr="000A5B5D">
        <w:rPr>
          <w:rFonts w:hint="eastAsia"/>
          <w:sz w:val="24"/>
          <w:szCs w:val="24"/>
        </w:rPr>
        <w:t>名普通股股东、前</w:t>
      </w:r>
      <w:r w:rsidRPr="000A5B5D">
        <w:rPr>
          <w:sz w:val="24"/>
          <w:szCs w:val="24"/>
        </w:rPr>
        <w:t>10</w:t>
      </w:r>
      <w:r w:rsidRPr="000A5B5D">
        <w:rPr>
          <w:rFonts w:hint="eastAsia"/>
          <w:sz w:val="24"/>
          <w:szCs w:val="24"/>
        </w:rPr>
        <w:t>名无限售条件普通股股东在报告期内是否进行约定购回交易</w:t>
      </w:r>
    </w:p>
    <w:p w:rsidR="00BC4D56" w:rsidRPr="000A5B5D" w:rsidRDefault="00BC4D56" w:rsidP="00BF2EA1">
      <w:pPr>
        <w:spacing w:line="360" w:lineRule="auto"/>
        <w:ind w:firstLineChars="200" w:firstLine="480"/>
        <w:jc w:val="left"/>
        <w:rPr>
          <w:sz w:val="24"/>
          <w:szCs w:val="24"/>
        </w:rPr>
      </w:pPr>
      <w:r w:rsidRPr="000A5B5D">
        <w:rPr>
          <w:rFonts w:hint="eastAsia"/>
          <w:sz w:val="24"/>
          <w:szCs w:val="24"/>
        </w:rPr>
        <w:t>公司前</w:t>
      </w:r>
      <w:r w:rsidRPr="000A5B5D">
        <w:rPr>
          <w:sz w:val="24"/>
          <w:szCs w:val="24"/>
        </w:rPr>
        <w:t>10</w:t>
      </w:r>
      <w:r w:rsidRPr="000A5B5D">
        <w:rPr>
          <w:rFonts w:hint="eastAsia"/>
          <w:sz w:val="24"/>
          <w:szCs w:val="24"/>
        </w:rPr>
        <w:t>名普通股股东、前</w:t>
      </w:r>
      <w:r w:rsidRPr="000A5B5D">
        <w:rPr>
          <w:sz w:val="24"/>
          <w:szCs w:val="24"/>
        </w:rPr>
        <w:t>10</w:t>
      </w:r>
      <w:r w:rsidRPr="000A5B5D">
        <w:rPr>
          <w:rFonts w:hint="eastAsia"/>
          <w:sz w:val="24"/>
          <w:szCs w:val="24"/>
        </w:rPr>
        <w:t>名无限售条件普通股股东在报告期内未进行约定购回交易。</w:t>
      </w:r>
    </w:p>
    <w:p w:rsidR="00BC4D56" w:rsidRPr="000A5B5D" w:rsidRDefault="00BC4D56" w:rsidP="00BF2EA1">
      <w:pPr>
        <w:pStyle w:val="Section"/>
        <w:spacing w:line="360" w:lineRule="auto"/>
        <w:outlineLvl w:val="2"/>
        <w:rPr>
          <w:bCs w:val="0"/>
          <w:sz w:val="24"/>
          <w:szCs w:val="24"/>
        </w:rPr>
      </w:pPr>
      <w:r w:rsidRPr="000A5B5D">
        <w:rPr>
          <w:bCs w:val="0"/>
          <w:sz w:val="24"/>
          <w:szCs w:val="24"/>
        </w:rPr>
        <w:lastRenderedPageBreak/>
        <w:t>2</w:t>
      </w:r>
      <w:r w:rsidRPr="000A5B5D">
        <w:rPr>
          <w:rFonts w:hint="eastAsia"/>
          <w:bCs w:val="0"/>
          <w:sz w:val="24"/>
          <w:szCs w:val="24"/>
        </w:rPr>
        <w:t>、公司控股股东情况</w:t>
      </w:r>
    </w:p>
    <w:p w:rsidR="00BC4D56" w:rsidRPr="000A5B5D" w:rsidRDefault="00BC4D56" w:rsidP="00BF2EA1">
      <w:pPr>
        <w:spacing w:line="360" w:lineRule="auto"/>
        <w:jc w:val="left"/>
        <w:rPr>
          <w:sz w:val="24"/>
          <w:szCs w:val="24"/>
        </w:rPr>
      </w:pPr>
      <w:r w:rsidRPr="000A5B5D">
        <w:rPr>
          <w:rFonts w:hint="eastAsia"/>
          <w:sz w:val="24"/>
          <w:szCs w:val="24"/>
        </w:rPr>
        <w:t>控股股东性质：自然人控股</w:t>
      </w:r>
    </w:p>
    <w:p w:rsidR="00BC4D56" w:rsidRPr="000A5B5D" w:rsidRDefault="00BC4D56" w:rsidP="00BF2EA1">
      <w:pPr>
        <w:spacing w:line="360" w:lineRule="auto"/>
        <w:jc w:val="left"/>
        <w:rPr>
          <w:sz w:val="24"/>
          <w:szCs w:val="24"/>
        </w:rPr>
      </w:pPr>
      <w:r w:rsidRPr="000A5B5D">
        <w:rPr>
          <w:rFonts w:hint="eastAsia"/>
          <w:sz w:val="24"/>
          <w:szCs w:val="24"/>
        </w:rPr>
        <w:t>控股股东类型：法人</w:t>
      </w:r>
    </w:p>
    <w:tbl>
      <w:tblPr>
        <w:tblW w:w="0" w:type="auto"/>
        <w:tblInd w:w="28" w:type="dxa"/>
        <w:tblLayout w:type="fixed"/>
        <w:tblCellMar>
          <w:left w:w="28" w:type="dxa"/>
          <w:right w:w="28" w:type="dxa"/>
        </w:tblCellMar>
        <w:tblLook w:val="0000" w:firstRow="0" w:lastRow="0" w:firstColumn="0" w:lastColumn="0" w:noHBand="0" w:noVBand="0"/>
      </w:tblPr>
      <w:tblGrid>
        <w:gridCol w:w="2552"/>
        <w:gridCol w:w="1327"/>
        <w:gridCol w:w="2075"/>
        <w:gridCol w:w="1527"/>
        <w:gridCol w:w="2086"/>
      </w:tblGrid>
      <w:tr w:rsidR="00BC4D56" w:rsidRPr="000A5B5D" w:rsidTr="00BF2EA1">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控股股东名称</w:t>
            </w:r>
          </w:p>
        </w:tc>
        <w:tc>
          <w:tcPr>
            <w:tcW w:w="132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法定代表人</w:t>
            </w:r>
            <w:r w:rsidRPr="000A5B5D">
              <w:rPr>
                <w:sz w:val="24"/>
                <w:szCs w:val="24"/>
              </w:rPr>
              <w:t>/</w:t>
            </w:r>
            <w:r w:rsidRPr="000A5B5D">
              <w:rPr>
                <w:rFonts w:hint="eastAsia"/>
                <w:sz w:val="24"/>
                <w:szCs w:val="24"/>
              </w:rPr>
              <w:t>单位负责人</w:t>
            </w:r>
          </w:p>
        </w:tc>
        <w:tc>
          <w:tcPr>
            <w:tcW w:w="207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成立日期</w:t>
            </w:r>
          </w:p>
        </w:tc>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组织机构代码</w:t>
            </w:r>
          </w:p>
        </w:tc>
        <w:tc>
          <w:tcPr>
            <w:tcW w:w="20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主要经营业务</w:t>
            </w:r>
          </w:p>
        </w:tc>
      </w:tr>
      <w:tr w:rsidR="00BC4D56" w:rsidRPr="000A5B5D" w:rsidTr="00BF2EA1">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浙江恒逸集团有限公司</w:t>
            </w:r>
          </w:p>
        </w:tc>
        <w:tc>
          <w:tcPr>
            <w:tcW w:w="132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邱建林</w:t>
            </w:r>
          </w:p>
        </w:tc>
        <w:tc>
          <w:tcPr>
            <w:tcW w:w="20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sz w:val="24"/>
                <w:szCs w:val="24"/>
              </w:rPr>
              <w:t>1994</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18</w:t>
            </w:r>
            <w:r w:rsidRPr="000A5B5D">
              <w:rPr>
                <w:rFonts w:hint="eastAsia"/>
                <w:sz w:val="24"/>
                <w:szCs w:val="24"/>
              </w:rPr>
              <w:t>日</w:t>
            </w:r>
          </w:p>
        </w:tc>
        <w:tc>
          <w:tcPr>
            <w:tcW w:w="152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sz w:val="24"/>
                <w:szCs w:val="24"/>
              </w:rPr>
              <w:t>14358614-1</w:t>
            </w:r>
          </w:p>
        </w:tc>
        <w:tc>
          <w:tcPr>
            <w:tcW w:w="208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实业投资、生产销售纺织原料及产品</w:t>
            </w:r>
          </w:p>
        </w:tc>
      </w:tr>
      <w:tr w:rsidR="00BC4D56" w:rsidRPr="000A5B5D" w:rsidTr="00BF2EA1">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left"/>
              <w:rPr>
                <w:sz w:val="24"/>
                <w:szCs w:val="24"/>
              </w:rPr>
            </w:pPr>
            <w:r w:rsidRPr="000A5B5D">
              <w:rPr>
                <w:rFonts w:hint="eastAsia"/>
                <w:sz w:val="24"/>
                <w:szCs w:val="24"/>
              </w:rPr>
              <w:t>控股股东报告期内控股和参股的其他境内外上市公司的股权情况</w:t>
            </w:r>
          </w:p>
        </w:tc>
        <w:tc>
          <w:tcPr>
            <w:tcW w:w="701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无</w:t>
            </w:r>
          </w:p>
        </w:tc>
      </w:tr>
    </w:tbl>
    <w:p w:rsidR="00BC4D56" w:rsidRPr="000A5B5D" w:rsidRDefault="00BC4D56" w:rsidP="00BF2EA1">
      <w:pPr>
        <w:spacing w:line="360" w:lineRule="auto"/>
        <w:jc w:val="left"/>
        <w:rPr>
          <w:sz w:val="24"/>
          <w:szCs w:val="24"/>
        </w:rPr>
      </w:pPr>
      <w:r w:rsidRPr="000A5B5D">
        <w:rPr>
          <w:rFonts w:hint="eastAsia"/>
          <w:sz w:val="24"/>
          <w:szCs w:val="24"/>
        </w:rPr>
        <w:t>控股股东报告期内变更</w:t>
      </w:r>
    </w:p>
    <w:p w:rsidR="00BC4D56" w:rsidRPr="000A5B5D" w:rsidRDefault="00BC4D56" w:rsidP="00BF2EA1">
      <w:pPr>
        <w:spacing w:line="360" w:lineRule="auto"/>
        <w:ind w:firstLineChars="200" w:firstLine="480"/>
        <w:jc w:val="left"/>
        <w:rPr>
          <w:sz w:val="24"/>
          <w:szCs w:val="24"/>
        </w:rPr>
      </w:pPr>
      <w:r w:rsidRPr="000A5B5D">
        <w:rPr>
          <w:rFonts w:hint="eastAsia"/>
          <w:sz w:val="24"/>
          <w:szCs w:val="24"/>
        </w:rPr>
        <w:t>公司报告期控股股东未发生变更。</w:t>
      </w:r>
    </w:p>
    <w:p w:rsidR="00BC4D56" w:rsidRPr="000A5B5D" w:rsidRDefault="00BC4D56" w:rsidP="00BF2EA1">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、公司实际控制人情况</w:t>
      </w:r>
    </w:p>
    <w:p w:rsidR="00BC4D56" w:rsidRPr="000A5B5D" w:rsidRDefault="00BC4D56" w:rsidP="00BF2EA1">
      <w:pPr>
        <w:spacing w:line="360" w:lineRule="auto"/>
        <w:jc w:val="left"/>
        <w:rPr>
          <w:sz w:val="24"/>
          <w:szCs w:val="24"/>
        </w:rPr>
      </w:pPr>
      <w:r w:rsidRPr="000A5B5D">
        <w:rPr>
          <w:rFonts w:hint="eastAsia"/>
          <w:sz w:val="24"/>
          <w:szCs w:val="24"/>
        </w:rPr>
        <w:t>实际控制人性质：境内自然人</w:t>
      </w:r>
    </w:p>
    <w:p w:rsidR="00BC4D56" w:rsidRPr="000A5B5D" w:rsidRDefault="00BC4D56" w:rsidP="00BF2EA1">
      <w:pPr>
        <w:spacing w:line="360" w:lineRule="auto"/>
        <w:jc w:val="left"/>
        <w:rPr>
          <w:sz w:val="24"/>
          <w:szCs w:val="24"/>
        </w:rPr>
      </w:pPr>
      <w:r w:rsidRPr="000A5B5D">
        <w:rPr>
          <w:rFonts w:hint="eastAsia"/>
          <w:sz w:val="24"/>
          <w:szCs w:val="24"/>
        </w:rPr>
        <w:t>实际控制人类型：自然人</w:t>
      </w:r>
    </w:p>
    <w:tbl>
      <w:tblPr>
        <w:tblW w:w="0" w:type="auto"/>
        <w:tblInd w:w="28" w:type="dxa"/>
        <w:tblLayout w:type="fixed"/>
        <w:tblCellMar>
          <w:left w:w="28" w:type="dxa"/>
          <w:right w:w="28" w:type="dxa"/>
        </w:tblCellMar>
        <w:tblLook w:val="0000" w:firstRow="0" w:lastRow="0" w:firstColumn="0" w:lastColumn="0" w:noHBand="0" w:noVBand="0"/>
      </w:tblPr>
      <w:tblGrid>
        <w:gridCol w:w="2268"/>
        <w:gridCol w:w="3053"/>
        <w:gridCol w:w="4247"/>
      </w:tblGrid>
      <w:tr w:rsidR="00BC4D56" w:rsidRPr="000A5B5D" w:rsidTr="00BF2EA1">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实际控制人姓名</w:t>
            </w:r>
          </w:p>
        </w:tc>
        <w:tc>
          <w:tcPr>
            <w:tcW w:w="305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国籍</w:t>
            </w:r>
          </w:p>
        </w:tc>
        <w:tc>
          <w:tcPr>
            <w:tcW w:w="424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center"/>
              <w:rPr>
                <w:sz w:val="24"/>
                <w:szCs w:val="24"/>
              </w:rPr>
            </w:pPr>
            <w:r w:rsidRPr="000A5B5D">
              <w:rPr>
                <w:rFonts w:hint="eastAsia"/>
                <w:sz w:val="24"/>
                <w:szCs w:val="24"/>
              </w:rPr>
              <w:t>是否取得其他国家或地区居留权</w:t>
            </w:r>
          </w:p>
        </w:tc>
      </w:tr>
      <w:tr w:rsidR="00BC4D56" w:rsidRPr="000A5B5D" w:rsidTr="00BF2EA1">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邱建林</w:t>
            </w:r>
          </w:p>
        </w:tc>
        <w:tc>
          <w:tcPr>
            <w:tcW w:w="305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中国</w:t>
            </w:r>
          </w:p>
        </w:tc>
        <w:tc>
          <w:tcPr>
            <w:tcW w:w="424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否</w:t>
            </w:r>
          </w:p>
        </w:tc>
      </w:tr>
      <w:tr w:rsidR="00BC4D56" w:rsidRPr="000A5B5D" w:rsidTr="00BF2EA1">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left"/>
              <w:rPr>
                <w:sz w:val="24"/>
                <w:szCs w:val="24"/>
              </w:rPr>
            </w:pPr>
            <w:r w:rsidRPr="000A5B5D">
              <w:rPr>
                <w:rFonts w:hint="eastAsia"/>
                <w:sz w:val="24"/>
                <w:szCs w:val="24"/>
              </w:rPr>
              <w:t>主要职业及职务</w:t>
            </w:r>
          </w:p>
        </w:tc>
        <w:tc>
          <w:tcPr>
            <w:tcW w:w="73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自</w:t>
            </w:r>
            <w:r w:rsidRPr="000A5B5D">
              <w:rPr>
                <w:sz w:val="24"/>
                <w:szCs w:val="24"/>
              </w:rPr>
              <w:t>1994</w:t>
            </w:r>
            <w:r w:rsidRPr="000A5B5D">
              <w:rPr>
                <w:rFonts w:hint="eastAsia"/>
                <w:sz w:val="24"/>
                <w:szCs w:val="24"/>
              </w:rPr>
              <w:t>年以来，邱建林先生一直担任浙江恒逸集团有限公司董事长。此外，邱建林还担任中国化纤工业协会副会长、浙江省工商业联合会副主席、萧山纺织印染协会会长等社会兼职。</w:t>
            </w:r>
          </w:p>
        </w:tc>
      </w:tr>
      <w:tr w:rsidR="00BC4D56" w:rsidRPr="000A5B5D" w:rsidTr="00BF2EA1">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BF2EA1">
            <w:pPr>
              <w:spacing w:line="360" w:lineRule="auto"/>
              <w:jc w:val="left"/>
              <w:rPr>
                <w:sz w:val="24"/>
                <w:szCs w:val="24"/>
              </w:rPr>
            </w:pPr>
            <w:r w:rsidRPr="000A5B5D">
              <w:rPr>
                <w:rFonts w:hint="eastAsia"/>
                <w:sz w:val="24"/>
                <w:szCs w:val="24"/>
              </w:rPr>
              <w:t>过去</w:t>
            </w:r>
            <w:r w:rsidRPr="000A5B5D">
              <w:rPr>
                <w:sz w:val="24"/>
                <w:szCs w:val="24"/>
              </w:rPr>
              <w:t>10</w:t>
            </w:r>
            <w:r w:rsidRPr="000A5B5D">
              <w:rPr>
                <w:rFonts w:hint="eastAsia"/>
                <w:sz w:val="24"/>
                <w:szCs w:val="24"/>
              </w:rPr>
              <w:t>年曾控股的境内外上市公司情况</w:t>
            </w:r>
          </w:p>
        </w:tc>
        <w:tc>
          <w:tcPr>
            <w:tcW w:w="73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BF2EA1">
            <w:pPr>
              <w:spacing w:line="360" w:lineRule="auto"/>
              <w:jc w:val="left"/>
              <w:rPr>
                <w:sz w:val="24"/>
                <w:szCs w:val="24"/>
              </w:rPr>
            </w:pPr>
            <w:r w:rsidRPr="000A5B5D">
              <w:rPr>
                <w:rFonts w:hint="eastAsia"/>
                <w:sz w:val="24"/>
                <w:szCs w:val="24"/>
              </w:rPr>
              <w:t>无</w:t>
            </w:r>
          </w:p>
        </w:tc>
      </w:tr>
    </w:tbl>
    <w:p w:rsidR="00BC4D56" w:rsidRPr="000A5B5D" w:rsidRDefault="00BC4D56" w:rsidP="00BF2EA1">
      <w:pPr>
        <w:spacing w:line="360" w:lineRule="auto"/>
        <w:jc w:val="left"/>
        <w:rPr>
          <w:sz w:val="24"/>
          <w:szCs w:val="24"/>
        </w:rPr>
      </w:pPr>
      <w:r w:rsidRPr="000A5B5D">
        <w:rPr>
          <w:rFonts w:hint="eastAsia"/>
          <w:sz w:val="24"/>
          <w:szCs w:val="24"/>
        </w:rPr>
        <w:t>实际控制人报告期内变更</w:t>
      </w:r>
    </w:p>
    <w:p w:rsidR="00BC4D56" w:rsidRPr="000A5B5D" w:rsidRDefault="00BC4D56" w:rsidP="00BF2EA1">
      <w:pPr>
        <w:spacing w:line="360" w:lineRule="auto"/>
        <w:ind w:firstLineChars="200" w:firstLine="480"/>
        <w:jc w:val="left"/>
        <w:rPr>
          <w:sz w:val="24"/>
          <w:szCs w:val="24"/>
        </w:rPr>
      </w:pPr>
      <w:r w:rsidRPr="000A5B5D">
        <w:rPr>
          <w:rFonts w:hint="eastAsia"/>
          <w:sz w:val="24"/>
          <w:szCs w:val="24"/>
        </w:rPr>
        <w:t>公司报告期实际控制人未发生变更。</w:t>
      </w:r>
    </w:p>
    <w:p w:rsidR="00BC4D56" w:rsidRPr="000A5B5D" w:rsidRDefault="00BC4D56" w:rsidP="00BF2EA1">
      <w:pPr>
        <w:spacing w:line="360" w:lineRule="auto"/>
        <w:jc w:val="left"/>
        <w:rPr>
          <w:sz w:val="24"/>
          <w:szCs w:val="24"/>
        </w:rPr>
      </w:pPr>
      <w:r w:rsidRPr="000A5B5D">
        <w:rPr>
          <w:rFonts w:hint="eastAsia"/>
          <w:sz w:val="24"/>
          <w:szCs w:val="24"/>
        </w:rPr>
        <w:t>公司与实际控制人之间的产权及控制关系的方框图</w:t>
      </w:r>
    </w:p>
    <w:p w:rsidR="004C3CB2" w:rsidRPr="000A5B5D" w:rsidRDefault="0024594D">
      <w:pPr>
        <w:autoSpaceDE w:val="0"/>
        <w:autoSpaceDN w:val="0"/>
        <w:adjustRightInd w:val="0"/>
        <w:spacing w:before="200" w:after="200"/>
        <w:jc w:val="center"/>
        <w:rPr>
          <w:kern w:val="0"/>
          <w:sz w:val="24"/>
          <w:szCs w:val="24"/>
        </w:rPr>
      </w:pPr>
      <w:r w:rsidRPr="000A5B5D">
        <w:rPr>
          <w:noProof/>
          <w:kern w:val="0"/>
          <w:sz w:val="24"/>
          <w:szCs w:val="24"/>
        </w:rPr>
        <w:lastRenderedPageBreak/>
        <w:drawing>
          <wp:inline distT="0" distB="0" distL="0" distR="0">
            <wp:extent cx="5286375" cy="34766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6375" cy="3476625"/>
                    </a:xfrm>
                    <a:prstGeom prst="rect">
                      <a:avLst/>
                    </a:prstGeom>
                    <a:noFill/>
                    <a:ln>
                      <a:noFill/>
                    </a:ln>
                  </pic:spPr>
                </pic:pic>
              </a:graphicData>
            </a:graphic>
          </wp:inline>
        </w:drawing>
      </w:r>
    </w:p>
    <w:p w:rsidR="004C3CB2" w:rsidRPr="000A5B5D" w:rsidRDefault="004C3CB2" w:rsidP="004C3CB2">
      <w:pPr>
        <w:autoSpaceDE w:val="0"/>
        <w:autoSpaceDN w:val="0"/>
        <w:adjustRightInd w:val="0"/>
        <w:spacing w:before="200" w:after="200" w:line="360" w:lineRule="auto"/>
        <w:ind w:firstLineChars="200" w:firstLine="480"/>
        <w:jc w:val="left"/>
        <w:rPr>
          <w:kern w:val="0"/>
          <w:sz w:val="24"/>
          <w:szCs w:val="24"/>
        </w:rPr>
      </w:pPr>
      <w:r w:rsidRPr="000A5B5D">
        <w:rPr>
          <w:kern w:val="0"/>
          <w:sz w:val="24"/>
          <w:szCs w:val="24"/>
        </w:rPr>
        <w:t>2010</w:t>
      </w:r>
      <w:r w:rsidRPr="000A5B5D">
        <w:rPr>
          <w:rFonts w:hint="eastAsia"/>
          <w:kern w:val="0"/>
          <w:sz w:val="24"/>
          <w:szCs w:val="24"/>
        </w:rPr>
        <w:t>年</w:t>
      </w:r>
      <w:r w:rsidRPr="000A5B5D">
        <w:rPr>
          <w:kern w:val="0"/>
          <w:sz w:val="24"/>
          <w:szCs w:val="24"/>
        </w:rPr>
        <w:t>3</w:t>
      </w:r>
      <w:r w:rsidRPr="000A5B5D">
        <w:rPr>
          <w:rFonts w:hint="eastAsia"/>
          <w:kern w:val="0"/>
          <w:sz w:val="24"/>
          <w:szCs w:val="24"/>
        </w:rPr>
        <w:t>月</w:t>
      </w:r>
      <w:r w:rsidRPr="000A5B5D">
        <w:rPr>
          <w:kern w:val="0"/>
          <w:sz w:val="24"/>
          <w:szCs w:val="24"/>
        </w:rPr>
        <w:t>22</w:t>
      </w:r>
      <w:r w:rsidRPr="000A5B5D">
        <w:rPr>
          <w:rFonts w:hint="eastAsia"/>
          <w:kern w:val="0"/>
          <w:sz w:val="24"/>
          <w:szCs w:val="24"/>
        </w:rPr>
        <w:t>日，邱建林与杭州万永实业投资有限公司、邱祥娟、邱正南、邱杏娟签署了《一致行动协议》，该协议持续有效，且依据该协议确定邱建林为上市公司实际控制人。协议持续有效期内，杭州万永实业投资有限公司、邱祥娟于</w:t>
      </w:r>
      <w:r w:rsidRPr="000A5B5D">
        <w:rPr>
          <w:kern w:val="0"/>
          <w:sz w:val="24"/>
          <w:szCs w:val="24"/>
        </w:rPr>
        <w:t>2015</w:t>
      </w:r>
      <w:r w:rsidRPr="000A5B5D">
        <w:rPr>
          <w:rFonts w:hint="eastAsia"/>
          <w:kern w:val="0"/>
          <w:sz w:val="24"/>
          <w:szCs w:val="24"/>
        </w:rPr>
        <w:t>年</w:t>
      </w:r>
      <w:r w:rsidRPr="000A5B5D">
        <w:rPr>
          <w:kern w:val="0"/>
          <w:sz w:val="24"/>
          <w:szCs w:val="24"/>
        </w:rPr>
        <w:t>3</w:t>
      </w:r>
      <w:r w:rsidRPr="000A5B5D">
        <w:rPr>
          <w:rFonts w:hint="eastAsia"/>
          <w:kern w:val="0"/>
          <w:sz w:val="24"/>
          <w:szCs w:val="24"/>
        </w:rPr>
        <w:t>月</w:t>
      </w:r>
      <w:r w:rsidRPr="000A5B5D">
        <w:rPr>
          <w:kern w:val="0"/>
          <w:sz w:val="24"/>
          <w:szCs w:val="24"/>
        </w:rPr>
        <w:t>22</w:t>
      </w:r>
      <w:r w:rsidRPr="000A5B5D">
        <w:rPr>
          <w:rFonts w:hint="eastAsia"/>
          <w:kern w:val="0"/>
          <w:sz w:val="24"/>
          <w:szCs w:val="24"/>
        </w:rPr>
        <w:t>日出具书面说明同意继续履行《一致行动协议》；邱正南于</w:t>
      </w:r>
      <w:r w:rsidRPr="000A5B5D">
        <w:rPr>
          <w:kern w:val="0"/>
          <w:sz w:val="24"/>
          <w:szCs w:val="24"/>
        </w:rPr>
        <w:t>2015</w:t>
      </w:r>
      <w:r w:rsidRPr="000A5B5D">
        <w:rPr>
          <w:rFonts w:hint="eastAsia"/>
          <w:kern w:val="0"/>
          <w:sz w:val="24"/>
          <w:szCs w:val="24"/>
        </w:rPr>
        <w:t>年</w:t>
      </w:r>
      <w:r w:rsidRPr="000A5B5D">
        <w:rPr>
          <w:kern w:val="0"/>
          <w:sz w:val="24"/>
          <w:szCs w:val="24"/>
        </w:rPr>
        <w:t>10</w:t>
      </w:r>
      <w:r w:rsidRPr="000A5B5D">
        <w:rPr>
          <w:rFonts w:hint="eastAsia"/>
          <w:kern w:val="0"/>
          <w:sz w:val="24"/>
          <w:szCs w:val="24"/>
        </w:rPr>
        <w:t>月</w:t>
      </w:r>
      <w:r w:rsidRPr="000A5B5D">
        <w:rPr>
          <w:kern w:val="0"/>
          <w:sz w:val="24"/>
          <w:szCs w:val="24"/>
        </w:rPr>
        <w:t>9</w:t>
      </w:r>
      <w:r w:rsidRPr="000A5B5D">
        <w:rPr>
          <w:rFonts w:hint="eastAsia"/>
          <w:kern w:val="0"/>
          <w:sz w:val="24"/>
          <w:szCs w:val="24"/>
        </w:rPr>
        <w:t>日将其所持浙江恒逸集团有限公司股权赠予其儿子邱利荣，《一致行动协议》对其不再具有约束力，但该变动并不影响邱建林继续为上市公司实际控制人。截至本报告披露日，邱建林、杭州万永实业投资有限公司和邱杏娟合计所持上市公司控股股东浙江恒逸集团有限公司的股权比例为</w:t>
      </w:r>
      <w:r w:rsidRPr="000A5B5D">
        <w:rPr>
          <w:kern w:val="0"/>
          <w:sz w:val="24"/>
          <w:szCs w:val="24"/>
        </w:rPr>
        <w:t>54.61%</w:t>
      </w:r>
      <w:r w:rsidRPr="000A5B5D">
        <w:rPr>
          <w:rFonts w:hint="eastAsia"/>
          <w:kern w:val="0"/>
          <w:sz w:val="24"/>
          <w:szCs w:val="24"/>
        </w:rPr>
        <w:t>，邱建林仍为上市公司实际控制人。</w:t>
      </w:r>
    </w:p>
    <w:p w:rsidR="00BC4D56" w:rsidRPr="000A5B5D" w:rsidRDefault="00BC4D56" w:rsidP="00414E89">
      <w:pPr>
        <w:autoSpaceDE w:val="0"/>
        <w:autoSpaceDN w:val="0"/>
        <w:adjustRightInd w:val="0"/>
        <w:spacing w:before="200" w:after="200" w:line="360" w:lineRule="auto"/>
        <w:jc w:val="left"/>
        <w:rPr>
          <w:rFonts w:eastAsiaTheme="minorEastAsia"/>
          <w:kern w:val="0"/>
          <w:sz w:val="24"/>
          <w:szCs w:val="24"/>
        </w:rPr>
      </w:pPr>
      <w:r w:rsidRPr="000A5B5D">
        <w:rPr>
          <w:rFonts w:eastAsiaTheme="minorEastAsia" w:hint="eastAsia"/>
          <w:kern w:val="0"/>
          <w:sz w:val="24"/>
          <w:szCs w:val="24"/>
        </w:rPr>
        <w:t>实际控制人通过信托或其他资产管理方式控制公司</w:t>
      </w:r>
    </w:p>
    <w:p w:rsidR="00BC4D56" w:rsidRPr="000A5B5D" w:rsidRDefault="00BC4D56" w:rsidP="00414E89">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414E89">
      <w:pPr>
        <w:pStyle w:val="Section"/>
        <w:spacing w:line="360" w:lineRule="auto"/>
        <w:outlineLvl w:val="2"/>
        <w:rPr>
          <w:bCs w:val="0"/>
          <w:sz w:val="24"/>
          <w:szCs w:val="24"/>
        </w:rPr>
      </w:pPr>
      <w:r w:rsidRPr="000A5B5D">
        <w:rPr>
          <w:bCs w:val="0"/>
          <w:sz w:val="24"/>
          <w:szCs w:val="24"/>
        </w:rPr>
        <w:t>4</w:t>
      </w:r>
      <w:r w:rsidRPr="000A5B5D">
        <w:rPr>
          <w:rFonts w:hint="eastAsia"/>
          <w:bCs w:val="0"/>
          <w:sz w:val="24"/>
          <w:szCs w:val="24"/>
        </w:rPr>
        <w:t>、其他持股在</w:t>
      </w:r>
      <w:r w:rsidRPr="000A5B5D">
        <w:rPr>
          <w:bCs w:val="0"/>
          <w:sz w:val="24"/>
          <w:szCs w:val="24"/>
        </w:rPr>
        <w:t>10%</w:t>
      </w:r>
      <w:r w:rsidRPr="000A5B5D">
        <w:rPr>
          <w:rFonts w:hint="eastAsia"/>
          <w:bCs w:val="0"/>
          <w:sz w:val="24"/>
          <w:szCs w:val="24"/>
        </w:rPr>
        <w:t>以上的法人股东</w:t>
      </w:r>
    </w:p>
    <w:tbl>
      <w:tblPr>
        <w:tblW w:w="0" w:type="auto"/>
        <w:tblInd w:w="28" w:type="dxa"/>
        <w:tblLayout w:type="fixed"/>
        <w:tblCellMar>
          <w:left w:w="28" w:type="dxa"/>
          <w:right w:w="28" w:type="dxa"/>
        </w:tblCellMar>
        <w:tblLook w:val="0000" w:firstRow="0" w:lastRow="0" w:firstColumn="0" w:lastColumn="0" w:noHBand="0" w:noVBand="0"/>
      </w:tblPr>
      <w:tblGrid>
        <w:gridCol w:w="2579"/>
        <w:gridCol w:w="1816"/>
        <w:gridCol w:w="1412"/>
        <w:gridCol w:w="1636"/>
        <w:gridCol w:w="2125"/>
      </w:tblGrid>
      <w:tr w:rsidR="00BC4D56" w:rsidRPr="000A5B5D">
        <w:tc>
          <w:tcPr>
            <w:tcW w:w="257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法人股东名称</w:t>
            </w:r>
          </w:p>
        </w:tc>
        <w:tc>
          <w:tcPr>
            <w:tcW w:w="181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法定代表人</w:t>
            </w:r>
            <w:r w:rsidRPr="000A5B5D">
              <w:rPr>
                <w:sz w:val="24"/>
                <w:szCs w:val="24"/>
              </w:rPr>
              <w:t>/</w:t>
            </w:r>
            <w:r w:rsidRPr="000A5B5D">
              <w:rPr>
                <w:rFonts w:hint="eastAsia"/>
                <w:sz w:val="24"/>
                <w:szCs w:val="24"/>
              </w:rPr>
              <w:t>单位负责人</w:t>
            </w:r>
          </w:p>
        </w:tc>
        <w:tc>
          <w:tcPr>
            <w:tcW w:w="141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成立日期</w:t>
            </w:r>
          </w:p>
        </w:tc>
        <w:tc>
          <w:tcPr>
            <w:tcW w:w="163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注册资本</w:t>
            </w:r>
          </w:p>
        </w:tc>
        <w:tc>
          <w:tcPr>
            <w:tcW w:w="212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主要经营业务或管理活动</w:t>
            </w:r>
          </w:p>
        </w:tc>
      </w:tr>
      <w:tr w:rsidR="00BC4D56" w:rsidRPr="000A5B5D">
        <w:tc>
          <w:tcPr>
            <w:tcW w:w="257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杭州恒逸投资有限公司</w:t>
            </w:r>
          </w:p>
        </w:tc>
        <w:tc>
          <w:tcPr>
            <w:tcW w:w="181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A063C9">
            <w:pPr>
              <w:spacing w:line="360" w:lineRule="auto"/>
              <w:jc w:val="center"/>
              <w:rPr>
                <w:sz w:val="24"/>
                <w:szCs w:val="24"/>
              </w:rPr>
            </w:pPr>
            <w:r w:rsidRPr="000A5B5D">
              <w:rPr>
                <w:rFonts w:hint="eastAsia"/>
                <w:sz w:val="24"/>
                <w:szCs w:val="24"/>
              </w:rPr>
              <w:t>楼翔</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t>2014</w:t>
            </w:r>
            <w:r w:rsidRPr="000A5B5D">
              <w:rPr>
                <w:rFonts w:hint="eastAsia"/>
                <w:sz w:val="24"/>
                <w:szCs w:val="24"/>
              </w:rPr>
              <w:t>年</w:t>
            </w:r>
            <w:r w:rsidRPr="000A5B5D">
              <w:rPr>
                <w:sz w:val="24"/>
                <w:szCs w:val="24"/>
              </w:rPr>
              <w:t>08</w:t>
            </w:r>
            <w:r w:rsidRPr="000A5B5D">
              <w:rPr>
                <w:rFonts w:hint="eastAsia"/>
                <w:sz w:val="24"/>
                <w:szCs w:val="24"/>
              </w:rPr>
              <w:lastRenderedPageBreak/>
              <w:t>月</w:t>
            </w:r>
            <w:r w:rsidRPr="000A5B5D">
              <w:rPr>
                <w:sz w:val="24"/>
                <w:szCs w:val="24"/>
              </w:rPr>
              <w:t>25</w:t>
            </w:r>
            <w:r w:rsidRPr="000A5B5D">
              <w:rPr>
                <w:rFonts w:hint="eastAsia"/>
                <w:sz w:val="24"/>
                <w:szCs w:val="24"/>
              </w:rPr>
              <w:t>日</w:t>
            </w:r>
          </w:p>
        </w:tc>
        <w:tc>
          <w:tcPr>
            <w:tcW w:w="163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lastRenderedPageBreak/>
              <w:t>30000</w:t>
            </w:r>
            <w:r w:rsidRPr="000A5B5D">
              <w:rPr>
                <w:rFonts w:hint="eastAsia"/>
                <w:sz w:val="24"/>
                <w:szCs w:val="24"/>
              </w:rPr>
              <w:t>万元人</w:t>
            </w:r>
            <w:r w:rsidRPr="000A5B5D">
              <w:rPr>
                <w:rFonts w:hint="eastAsia"/>
                <w:sz w:val="24"/>
                <w:szCs w:val="24"/>
              </w:rPr>
              <w:lastRenderedPageBreak/>
              <w:t>民币</w:t>
            </w:r>
          </w:p>
        </w:tc>
        <w:tc>
          <w:tcPr>
            <w:tcW w:w="212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lastRenderedPageBreak/>
              <w:t>投资管理、企业管</w:t>
            </w:r>
            <w:r w:rsidRPr="000A5B5D">
              <w:rPr>
                <w:rFonts w:hint="eastAsia"/>
                <w:sz w:val="24"/>
                <w:szCs w:val="24"/>
              </w:rPr>
              <w:lastRenderedPageBreak/>
              <w:t>理咨询、实业投资</w:t>
            </w:r>
          </w:p>
        </w:tc>
      </w:tr>
    </w:tbl>
    <w:p w:rsidR="00BC4D56" w:rsidRPr="000A5B5D" w:rsidRDefault="00BC4D56" w:rsidP="00414E89">
      <w:pPr>
        <w:pStyle w:val="Section"/>
        <w:spacing w:line="360" w:lineRule="auto"/>
        <w:outlineLvl w:val="2"/>
        <w:rPr>
          <w:bCs w:val="0"/>
          <w:sz w:val="24"/>
          <w:szCs w:val="24"/>
        </w:rPr>
      </w:pPr>
      <w:r w:rsidRPr="000A5B5D">
        <w:rPr>
          <w:bCs w:val="0"/>
          <w:sz w:val="24"/>
          <w:szCs w:val="24"/>
        </w:rPr>
        <w:lastRenderedPageBreak/>
        <w:t>5</w:t>
      </w:r>
      <w:r w:rsidRPr="000A5B5D">
        <w:rPr>
          <w:rFonts w:hint="eastAsia"/>
          <w:bCs w:val="0"/>
          <w:sz w:val="24"/>
          <w:szCs w:val="24"/>
        </w:rPr>
        <w:t>、控股股东、实际控制人、重组方及其他承诺主体股份限制减持情况</w:t>
      </w:r>
    </w:p>
    <w:p w:rsidR="00BC4D56" w:rsidRPr="000A5B5D" w:rsidRDefault="00BC4D56" w:rsidP="00414E89">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414E89">
      <w:pPr>
        <w:spacing w:line="360" w:lineRule="auto"/>
        <w:jc w:val="left"/>
        <w:rPr>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8" w:name="_Toc449101531"/>
      <w:r w:rsidRPr="000A5B5D">
        <w:rPr>
          <w:rFonts w:hint="eastAsia"/>
          <w:bCs w:val="0"/>
          <w:szCs w:val="24"/>
        </w:rPr>
        <w:lastRenderedPageBreak/>
        <w:t>第七节</w:t>
      </w:r>
      <w:r w:rsidRPr="000A5B5D">
        <w:rPr>
          <w:bCs w:val="0"/>
          <w:szCs w:val="24"/>
        </w:rPr>
        <w:t xml:space="preserve"> </w:t>
      </w:r>
      <w:r w:rsidRPr="000A5B5D">
        <w:rPr>
          <w:rFonts w:hint="eastAsia"/>
          <w:bCs w:val="0"/>
          <w:szCs w:val="24"/>
        </w:rPr>
        <w:t>优先股相关情况</w:t>
      </w:r>
      <w:bookmarkEnd w:id="8"/>
    </w:p>
    <w:p w:rsidR="00BC4D56" w:rsidRPr="000A5B5D" w:rsidRDefault="00BC4D56" w:rsidP="00414E89">
      <w:pPr>
        <w:spacing w:line="360" w:lineRule="auto"/>
        <w:ind w:firstLineChars="200" w:firstLine="480"/>
        <w:jc w:val="left"/>
        <w:rPr>
          <w:sz w:val="24"/>
          <w:szCs w:val="24"/>
        </w:rPr>
      </w:pPr>
      <w:r w:rsidRPr="000A5B5D">
        <w:rPr>
          <w:rFonts w:hint="eastAsia"/>
          <w:sz w:val="24"/>
          <w:szCs w:val="24"/>
        </w:rPr>
        <w:t>报告期公司不存在优先股。</w:t>
      </w:r>
    </w:p>
    <w:p w:rsidR="00BC4D56" w:rsidRPr="000A5B5D" w:rsidRDefault="00BC4D56">
      <w:pPr>
        <w:jc w:val="left"/>
        <w:rPr>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9" w:name="_Toc449101532"/>
      <w:r w:rsidRPr="000A5B5D">
        <w:rPr>
          <w:rFonts w:hint="eastAsia"/>
          <w:bCs w:val="0"/>
          <w:szCs w:val="24"/>
        </w:rPr>
        <w:lastRenderedPageBreak/>
        <w:t>第八节</w:t>
      </w:r>
      <w:r w:rsidRPr="000A5B5D">
        <w:rPr>
          <w:bCs w:val="0"/>
          <w:szCs w:val="24"/>
        </w:rPr>
        <w:t xml:space="preserve"> </w:t>
      </w:r>
      <w:r w:rsidRPr="000A5B5D">
        <w:rPr>
          <w:rFonts w:hint="eastAsia"/>
          <w:bCs w:val="0"/>
          <w:szCs w:val="24"/>
        </w:rPr>
        <w:t>董事、监事、高级管理人员和员工情况</w:t>
      </w:r>
      <w:bookmarkEnd w:id="9"/>
    </w:p>
    <w:p w:rsidR="00BC4D56" w:rsidRPr="000A5B5D" w:rsidRDefault="00BC4D56">
      <w:pPr>
        <w:pStyle w:val="Chapter"/>
        <w:outlineLvl w:val="1"/>
        <w:rPr>
          <w:bCs w:val="0"/>
        </w:rPr>
      </w:pPr>
      <w:r w:rsidRPr="000A5B5D">
        <w:rPr>
          <w:rFonts w:hint="eastAsia"/>
          <w:bCs w:val="0"/>
        </w:rPr>
        <w:t>一、董事、监事和高级管理人员持股变动</w:t>
      </w:r>
    </w:p>
    <w:tbl>
      <w:tblPr>
        <w:tblW w:w="0" w:type="auto"/>
        <w:tblInd w:w="28" w:type="dxa"/>
        <w:tblLayout w:type="fixed"/>
        <w:tblCellMar>
          <w:left w:w="28" w:type="dxa"/>
          <w:right w:w="28" w:type="dxa"/>
        </w:tblCellMar>
        <w:tblLook w:val="0000" w:firstRow="0" w:lastRow="0" w:firstColumn="0" w:lastColumn="0" w:noHBand="0" w:noVBand="0"/>
      </w:tblPr>
      <w:tblGrid>
        <w:gridCol w:w="709"/>
        <w:gridCol w:w="992"/>
        <w:gridCol w:w="691"/>
        <w:gridCol w:w="443"/>
        <w:gridCol w:w="567"/>
        <w:gridCol w:w="851"/>
        <w:gridCol w:w="850"/>
        <w:gridCol w:w="851"/>
        <w:gridCol w:w="992"/>
        <w:gridCol w:w="1030"/>
        <w:gridCol w:w="798"/>
        <w:gridCol w:w="798"/>
      </w:tblGrid>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姓名</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职务</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任职状态</w:t>
            </w:r>
          </w:p>
        </w:tc>
        <w:tc>
          <w:tcPr>
            <w:tcW w:w="44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性别</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年龄</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任期起始日期</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任期终止日期</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期初持股数（股）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本期增持股份数量（股）</w:t>
            </w:r>
          </w:p>
        </w:tc>
        <w:tc>
          <w:tcPr>
            <w:tcW w:w="103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本期减持股份数量（股）</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其他增减变动（股）</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期末持股数（股）</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邱建林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离任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3,500,000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3,500,000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邱奕博</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副董事长、副总经理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高勤红</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女</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王松林</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朱菊珍</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董事、财务总监</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女</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w:t>
            </w:r>
            <w:r w:rsidRPr="000A5B5D">
              <w:rPr>
                <w:rFonts w:hint="eastAsia"/>
                <w:szCs w:val="24"/>
              </w:rPr>
              <w:t>年</w:t>
            </w:r>
            <w:r w:rsidRPr="000A5B5D">
              <w:rPr>
                <w:szCs w:val="24"/>
              </w:rPr>
              <w:t>06</w:t>
            </w:r>
            <w:r w:rsidRPr="000A5B5D">
              <w:rPr>
                <w:rFonts w:hint="eastAsia"/>
                <w:szCs w:val="24"/>
              </w:rPr>
              <w:t>月</w:t>
            </w:r>
            <w:r w:rsidRPr="000A5B5D">
              <w:rPr>
                <w:szCs w:val="24"/>
              </w:rPr>
              <w:t>25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朱军民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2013</w:t>
            </w:r>
            <w:r w:rsidRPr="000A5B5D">
              <w:rPr>
                <w:rFonts w:hint="eastAsia"/>
                <w:szCs w:val="24"/>
              </w:rPr>
              <w:t>年</w:t>
            </w:r>
            <w:r w:rsidRPr="000A5B5D">
              <w:rPr>
                <w:szCs w:val="24"/>
              </w:rPr>
              <w:t>05</w:t>
            </w:r>
            <w:r w:rsidRPr="000A5B5D">
              <w:rPr>
                <w:rFonts w:hint="eastAsia"/>
                <w:szCs w:val="24"/>
              </w:rPr>
              <w:t>月</w:t>
            </w:r>
            <w:r w:rsidRPr="000A5B5D">
              <w:rPr>
                <w:szCs w:val="24"/>
              </w:rPr>
              <w:t>03</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贾路桥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独立董事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贺强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独立董事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周琪</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独立董事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王铁铭</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监事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lastRenderedPageBreak/>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lastRenderedPageBreak/>
              <w:t>2017</w:t>
            </w:r>
            <w:r w:rsidRPr="000A5B5D">
              <w:rPr>
                <w:rFonts w:hint="eastAsia"/>
                <w:szCs w:val="24"/>
              </w:rPr>
              <w:t>年</w:t>
            </w:r>
            <w:r w:rsidRPr="000A5B5D">
              <w:rPr>
                <w:szCs w:val="24"/>
              </w:rPr>
              <w:lastRenderedPageBreak/>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lastRenderedPageBreak/>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谢集辉</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监事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w:t>
            </w:r>
            <w:r w:rsidRPr="000A5B5D">
              <w:rPr>
                <w:rFonts w:hint="eastAsia"/>
                <w:szCs w:val="24"/>
              </w:rPr>
              <w:t>年</w:t>
            </w:r>
            <w:r w:rsidRPr="000A5B5D">
              <w:rPr>
                <w:szCs w:val="24"/>
              </w:rPr>
              <w:t>06</w:t>
            </w:r>
            <w:r w:rsidRPr="000A5B5D">
              <w:rPr>
                <w:rFonts w:hint="eastAsia"/>
                <w:szCs w:val="24"/>
              </w:rPr>
              <w:t>月</w:t>
            </w:r>
            <w:r w:rsidRPr="000A5B5D">
              <w:rPr>
                <w:szCs w:val="24"/>
              </w:rPr>
              <w:t>25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蔡萍</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监事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离任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女</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2012</w:t>
            </w:r>
            <w:r w:rsidRPr="000A5B5D">
              <w:rPr>
                <w:rFonts w:hint="eastAsia"/>
                <w:szCs w:val="24"/>
              </w:rPr>
              <w:t>年</w:t>
            </w:r>
            <w:r w:rsidRPr="000A5B5D">
              <w:rPr>
                <w:szCs w:val="24"/>
              </w:rPr>
              <w:t>06</w:t>
            </w:r>
            <w:r w:rsidRPr="000A5B5D">
              <w:rPr>
                <w:rFonts w:hint="eastAsia"/>
                <w:szCs w:val="24"/>
              </w:rPr>
              <w:t>月</w:t>
            </w:r>
            <w:r w:rsidRPr="000A5B5D">
              <w:rPr>
                <w:szCs w:val="24"/>
              </w:rPr>
              <w:t>05</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龚艳红</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监事</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女</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03</w:t>
            </w:r>
            <w:r w:rsidRPr="000A5B5D">
              <w:rPr>
                <w:rFonts w:hint="eastAsia"/>
                <w:szCs w:val="24"/>
              </w:rPr>
              <w:t>月</w:t>
            </w:r>
            <w:r w:rsidRPr="000A5B5D">
              <w:rPr>
                <w:szCs w:val="24"/>
              </w:rPr>
              <w:t>27</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郭丹</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副总经理、董事会秘书</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女</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黄百坚</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09</w:t>
            </w:r>
            <w:r w:rsidRPr="000A5B5D">
              <w:rPr>
                <w:rFonts w:hint="eastAsia"/>
                <w:szCs w:val="24"/>
              </w:rPr>
              <w:t>月</w:t>
            </w:r>
            <w:r w:rsidRPr="000A5B5D">
              <w:rPr>
                <w:szCs w:val="24"/>
              </w:rPr>
              <w:t>30</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倪德锋</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朱军民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24</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陈连财</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现任</w:t>
            </w:r>
          </w:p>
        </w:tc>
        <w:tc>
          <w:tcPr>
            <w:tcW w:w="44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49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10</w:t>
            </w:r>
            <w:r w:rsidRPr="000A5B5D">
              <w:rPr>
                <w:rFonts w:hint="eastAsia"/>
                <w:szCs w:val="24"/>
              </w:rPr>
              <w:t>月</w:t>
            </w:r>
            <w:r w:rsidRPr="000A5B5D">
              <w:rPr>
                <w:szCs w:val="24"/>
              </w:rPr>
              <w:t>30</w:t>
            </w:r>
            <w:r w:rsidRPr="000A5B5D">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2017</w:t>
            </w:r>
            <w:r w:rsidRPr="000A5B5D">
              <w:rPr>
                <w:rFonts w:hint="eastAsia"/>
                <w:szCs w:val="24"/>
              </w:rPr>
              <w:t>年</w:t>
            </w:r>
            <w:r w:rsidRPr="000A5B5D">
              <w:rPr>
                <w:szCs w:val="24"/>
              </w:rPr>
              <w:t>08</w:t>
            </w:r>
            <w:r w:rsidRPr="000A5B5D">
              <w:rPr>
                <w:rFonts w:hint="eastAsia"/>
                <w:szCs w:val="24"/>
              </w:rPr>
              <w:t>月</w:t>
            </w:r>
            <w:r w:rsidRPr="000A5B5D">
              <w:rPr>
                <w:szCs w:val="24"/>
              </w:rPr>
              <w:t>11</w:t>
            </w:r>
            <w:r w:rsidRPr="000A5B5D">
              <w:rPr>
                <w:rFonts w:hint="eastAsia"/>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r>
      <w:tr w:rsidR="00BC4D56" w:rsidRPr="000A5B5D" w:rsidTr="00414E89">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合计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44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06B84">
            <w:pPr>
              <w:jc w:val="right"/>
              <w:rPr>
                <w:szCs w:val="24"/>
              </w:rPr>
            </w:pPr>
            <w:r w:rsidRPr="000A5B5D">
              <w:rPr>
                <w:szCs w:val="24"/>
              </w:rPr>
              <w:t>8,600,000</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06B84" w:rsidP="00B06B84">
            <w:pPr>
              <w:jc w:val="right"/>
              <w:rPr>
                <w:szCs w:val="24"/>
              </w:rPr>
            </w:pPr>
            <w:r w:rsidRPr="000A5B5D">
              <w:rPr>
                <w:szCs w:val="24"/>
              </w:rPr>
              <w:t>8</w:t>
            </w:r>
            <w:r w:rsidR="00BC4D56" w:rsidRPr="000A5B5D">
              <w:rPr>
                <w:szCs w:val="24"/>
              </w:rPr>
              <w:t>,</w:t>
            </w:r>
            <w:r w:rsidRPr="000A5B5D">
              <w:rPr>
                <w:szCs w:val="24"/>
              </w:rPr>
              <w:t>6</w:t>
            </w:r>
            <w:r w:rsidR="00BC4D56" w:rsidRPr="000A5B5D">
              <w:rPr>
                <w:szCs w:val="24"/>
              </w:rPr>
              <w:t>00,000</w:t>
            </w:r>
          </w:p>
        </w:tc>
      </w:tr>
    </w:tbl>
    <w:p w:rsidR="00BC4D56" w:rsidRPr="000A5B5D" w:rsidRDefault="00BC4D56">
      <w:pPr>
        <w:pStyle w:val="Chapter"/>
        <w:outlineLvl w:val="1"/>
        <w:rPr>
          <w:bCs w:val="0"/>
        </w:rPr>
      </w:pPr>
      <w:r w:rsidRPr="000A5B5D">
        <w:rPr>
          <w:rFonts w:hint="eastAsia"/>
          <w:bCs w:val="0"/>
        </w:rPr>
        <w:t>二、公司董事、监事、高级管理人员变动情况</w:t>
      </w:r>
    </w:p>
    <w:tbl>
      <w:tblPr>
        <w:tblW w:w="0" w:type="auto"/>
        <w:jc w:val="center"/>
        <w:tblLayout w:type="fixed"/>
        <w:tblCellMar>
          <w:left w:w="28" w:type="dxa"/>
          <w:right w:w="28" w:type="dxa"/>
        </w:tblCellMar>
        <w:tblLook w:val="0000" w:firstRow="0" w:lastRow="0" w:firstColumn="0" w:lastColumn="0" w:noHBand="0" w:noVBand="0"/>
      </w:tblPr>
      <w:tblGrid>
        <w:gridCol w:w="993"/>
        <w:gridCol w:w="1275"/>
        <w:gridCol w:w="851"/>
        <w:gridCol w:w="1134"/>
        <w:gridCol w:w="5314"/>
      </w:tblGrid>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姓名</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担任的职务</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类型</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日期</w:t>
            </w:r>
          </w:p>
        </w:tc>
        <w:tc>
          <w:tcPr>
            <w:tcW w:w="531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原因</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邱建林</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董事长</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离任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04</w:t>
            </w:r>
            <w:r w:rsidRPr="000A5B5D">
              <w:rPr>
                <w:rFonts w:hint="eastAsia"/>
                <w:sz w:val="24"/>
                <w:szCs w:val="24"/>
              </w:rPr>
              <w:t>月</w:t>
            </w:r>
            <w:r w:rsidRPr="000A5B5D">
              <w:rPr>
                <w:sz w:val="24"/>
                <w:szCs w:val="24"/>
              </w:rPr>
              <w:t>29</w:t>
            </w:r>
            <w:r w:rsidRPr="000A5B5D">
              <w:rPr>
                <w:rFonts w:hint="eastAsia"/>
                <w:sz w:val="24"/>
                <w:szCs w:val="24"/>
              </w:rPr>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t>基于浙江恒逸集团有限公司战略发展的需要，同时也为启动恒逸石化股份有限公司核心领导层的新老交替进程，促进恒逸石化股份有限公司的可持续发展。</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蔡萍</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监事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离任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03</w:t>
            </w:r>
            <w:r w:rsidRPr="000A5B5D">
              <w:rPr>
                <w:rFonts w:hint="eastAsia"/>
                <w:sz w:val="24"/>
                <w:szCs w:val="24"/>
              </w:rPr>
              <w:t>月</w:t>
            </w:r>
            <w:r w:rsidRPr="000A5B5D">
              <w:rPr>
                <w:sz w:val="24"/>
                <w:szCs w:val="24"/>
              </w:rPr>
              <w:t>27</w:t>
            </w:r>
            <w:r w:rsidRPr="000A5B5D">
              <w:rPr>
                <w:rFonts w:hint="eastAsia"/>
                <w:sz w:val="24"/>
                <w:szCs w:val="24"/>
              </w:rPr>
              <w:lastRenderedPageBreak/>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lastRenderedPageBreak/>
              <w:t>公司董事、高级管理人员及其配偶和直系亲属在公司董事、高级管理人员任职期间不得担任公司监事</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陈连财</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副总经理</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任免</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30</w:t>
            </w:r>
            <w:r w:rsidRPr="000A5B5D">
              <w:rPr>
                <w:rFonts w:hint="eastAsia"/>
                <w:sz w:val="24"/>
                <w:szCs w:val="24"/>
              </w:rPr>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t>董事会审议当选公司副总经理</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方贤水</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董事长、总经理</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任免</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05</w:t>
            </w:r>
            <w:r w:rsidRPr="000A5B5D">
              <w:rPr>
                <w:rFonts w:hint="eastAsia"/>
                <w:sz w:val="24"/>
                <w:szCs w:val="24"/>
              </w:rPr>
              <w:t>月</w:t>
            </w:r>
            <w:r w:rsidRPr="000A5B5D">
              <w:rPr>
                <w:sz w:val="24"/>
                <w:szCs w:val="24"/>
              </w:rPr>
              <w:t>15</w:t>
            </w:r>
            <w:r w:rsidRPr="000A5B5D">
              <w:rPr>
                <w:rFonts w:hint="eastAsia"/>
                <w:sz w:val="24"/>
                <w:szCs w:val="24"/>
              </w:rPr>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t>董事会审议当选公司董事长、总经理</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邱奕博</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董事长、总经理</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任免</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05</w:t>
            </w:r>
            <w:r w:rsidRPr="000A5B5D">
              <w:rPr>
                <w:rFonts w:hint="eastAsia"/>
                <w:sz w:val="24"/>
                <w:szCs w:val="24"/>
              </w:rPr>
              <w:t>月</w:t>
            </w:r>
            <w:r w:rsidRPr="000A5B5D">
              <w:rPr>
                <w:sz w:val="24"/>
                <w:szCs w:val="24"/>
              </w:rPr>
              <w:t>15</w:t>
            </w:r>
            <w:r w:rsidRPr="000A5B5D">
              <w:rPr>
                <w:rFonts w:hint="eastAsia"/>
                <w:sz w:val="24"/>
                <w:szCs w:val="24"/>
              </w:rPr>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t>董事会审议当选公司副董事长、副总经理</w:t>
            </w:r>
          </w:p>
        </w:tc>
      </w:tr>
      <w:tr w:rsidR="00BC4D56" w:rsidRPr="000A5B5D" w:rsidTr="00414E89">
        <w:trPr>
          <w:jc w:val="center"/>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龚艳红</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监事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任免</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2015</w:t>
            </w:r>
            <w:r w:rsidRPr="000A5B5D">
              <w:rPr>
                <w:rFonts w:hint="eastAsia"/>
                <w:sz w:val="24"/>
                <w:szCs w:val="24"/>
              </w:rPr>
              <w:t>年</w:t>
            </w:r>
            <w:r w:rsidRPr="000A5B5D">
              <w:rPr>
                <w:sz w:val="24"/>
                <w:szCs w:val="24"/>
              </w:rPr>
              <w:t>03</w:t>
            </w:r>
            <w:r w:rsidRPr="000A5B5D">
              <w:rPr>
                <w:rFonts w:hint="eastAsia"/>
                <w:sz w:val="24"/>
                <w:szCs w:val="24"/>
              </w:rPr>
              <w:t>月</w:t>
            </w:r>
            <w:r w:rsidRPr="000A5B5D">
              <w:rPr>
                <w:sz w:val="24"/>
                <w:szCs w:val="24"/>
              </w:rPr>
              <w:t>27</w:t>
            </w:r>
            <w:r w:rsidRPr="000A5B5D">
              <w:rPr>
                <w:rFonts w:hint="eastAsia"/>
                <w:sz w:val="24"/>
                <w:szCs w:val="24"/>
              </w:rPr>
              <w:t>日</w:t>
            </w:r>
          </w:p>
        </w:tc>
        <w:tc>
          <w:tcPr>
            <w:tcW w:w="531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rPr>
                <w:sz w:val="24"/>
                <w:szCs w:val="24"/>
              </w:rPr>
            </w:pPr>
            <w:r w:rsidRPr="000A5B5D">
              <w:rPr>
                <w:rFonts w:hint="eastAsia"/>
                <w:sz w:val="24"/>
                <w:szCs w:val="24"/>
              </w:rPr>
              <w:t>职工代表大会审议当选公司监事</w:t>
            </w:r>
          </w:p>
        </w:tc>
      </w:tr>
    </w:tbl>
    <w:p w:rsidR="00BC4D56" w:rsidRPr="000A5B5D" w:rsidRDefault="00BC4D56" w:rsidP="00414E89">
      <w:pPr>
        <w:pStyle w:val="Chapter"/>
        <w:spacing w:line="360" w:lineRule="auto"/>
        <w:outlineLvl w:val="1"/>
        <w:rPr>
          <w:bCs w:val="0"/>
        </w:rPr>
      </w:pPr>
      <w:r w:rsidRPr="000A5B5D">
        <w:rPr>
          <w:rFonts w:hint="eastAsia"/>
          <w:bCs w:val="0"/>
        </w:rPr>
        <w:t>三、任职情况</w:t>
      </w:r>
    </w:p>
    <w:p w:rsidR="00BC4D56" w:rsidRPr="000A5B5D" w:rsidRDefault="00BC4D56" w:rsidP="00414E89">
      <w:pPr>
        <w:spacing w:line="360" w:lineRule="auto"/>
        <w:jc w:val="left"/>
        <w:rPr>
          <w:sz w:val="24"/>
          <w:szCs w:val="24"/>
        </w:rPr>
      </w:pPr>
      <w:r w:rsidRPr="000A5B5D">
        <w:rPr>
          <w:rFonts w:hint="eastAsia"/>
          <w:sz w:val="24"/>
          <w:szCs w:val="24"/>
        </w:rPr>
        <w:t>公司现任董事、监事、高级管理人员专业背景、主要工作经历以及目前在公司的主要职责</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方贤水，男，</w:t>
      </w:r>
      <w:r w:rsidRPr="000A5B5D">
        <w:rPr>
          <w:rFonts w:eastAsia="Times New Roman"/>
          <w:kern w:val="0"/>
          <w:sz w:val="24"/>
          <w:szCs w:val="24"/>
          <w:lang w:val="zh-CN"/>
        </w:rPr>
        <w:t>1964</w:t>
      </w:r>
      <w:r w:rsidRPr="000A5B5D">
        <w:rPr>
          <w:rFonts w:ascii="宋体" w:hAnsi="宋体" w:cs="宋体" w:hint="eastAsia"/>
          <w:kern w:val="0"/>
          <w:sz w:val="24"/>
          <w:szCs w:val="24"/>
          <w:lang w:val="zh-CN"/>
        </w:rPr>
        <w:t>年</w:t>
      </w:r>
      <w:r w:rsidRPr="000A5B5D">
        <w:rPr>
          <w:rFonts w:eastAsia="Times New Roman"/>
          <w:kern w:val="0"/>
          <w:sz w:val="24"/>
          <w:szCs w:val="24"/>
          <w:lang w:val="zh-CN"/>
        </w:rPr>
        <w:t>3</w:t>
      </w:r>
      <w:r w:rsidRPr="000A5B5D">
        <w:rPr>
          <w:rFonts w:ascii="宋体" w:hAnsi="宋体" w:cs="宋体" w:hint="eastAsia"/>
          <w:kern w:val="0"/>
          <w:sz w:val="24"/>
          <w:szCs w:val="24"/>
          <w:lang w:val="zh-CN"/>
        </w:rPr>
        <w:t>月出生，本科学历，高级经济师，具有近</w:t>
      </w:r>
      <w:r w:rsidRPr="000A5B5D">
        <w:rPr>
          <w:rFonts w:eastAsia="Times New Roman"/>
          <w:kern w:val="0"/>
          <w:sz w:val="24"/>
          <w:szCs w:val="24"/>
          <w:lang w:val="zh-CN"/>
        </w:rPr>
        <w:t>30</w:t>
      </w:r>
      <w:r w:rsidRPr="000A5B5D">
        <w:rPr>
          <w:rFonts w:ascii="宋体" w:hAnsi="宋体" w:cs="宋体" w:hint="eastAsia"/>
          <w:kern w:val="0"/>
          <w:sz w:val="24"/>
          <w:szCs w:val="24"/>
          <w:lang w:val="zh-CN"/>
        </w:rPr>
        <w:t>年的化纤行业的生产管理经验。曾任杭州恒逸实业总公司总经理，杭州恒逸化纤有限公司总经理、浙江恒逸集团有限公司总经理。现任恒逸石化股份有限公司董事长兼总经理，同时担任浙江恒逸集团有限公司董事、浙江恒逸石化有限公司董事长兼总经理、浙江恒逸聚合物有限公司董事长、浙江逸盛石化有限公司董事、浙江恒逸高新材料有限公司董事、浙江巴陵恒逸己内酰胺有限责任公司董事、香港天逸国际控股有限公司董事、佳栢国际投资有限公司董事。</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邱奕博，男，</w:t>
      </w:r>
      <w:r w:rsidRPr="000A5B5D">
        <w:rPr>
          <w:rFonts w:eastAsia="Times New Roman"/>
          <w:kern w:val="0"/>
          <w:sz w:val="24"/>
          <w:szCs w:val="24"/>
          <w:lang w:val="zh-CN"/>
        </w:rPr>
        <w:t>1987</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月出生，本科学历，曾任职于中国石化化工销售有限公司华东分公司，现任恒逸石化股份有限公司副董事长兼副总经理、投资管理部经理。</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高勤红，女，</w:t>
      </w:r>
      <w:r w:rsidRPr="000A5B5D">
        <w:rPr>
          <w:rFonts w:eastAsia="Times New Roman"/>
          <w:kern w:val="0"/>
          <w:sz w:val="24"/>
          <w:szCs w:val="24"/>
          <w:lang w:val="zh-CN"/>
        </w:rPr>
        <w:t>1963</w:t>
      </w:r>
      <w:r w:rsidRPr="000A5B5D">
        <w:rPr>
          <w:rFonts w:ascii="宋体" w:hAnsi="宋体" w:cs="宋体" w:hint="eastAsia"/>
          <w:kern w:val="0"/>
          <w:sz w:val="24"/>
          <w:szCs w:val="24"/>
          <w:lang w:val="zh-CN"/>
        </w:rPr>
        <w:t>年</w:t>
      </w:r>
      <w:r w:rsidRPr="000A5B5D">
        <w:rPr>
          <w:rFonts w:eastAsia="Times New Roman"/>
          <w:kern w:val="0"/>
          <w:sz w:val="24"/>
          <w:szCs w:val="24"/>
          <w:lang w:val="zh-CN"/>
        </w:rPr>
        <w:t>7</w:t>
      </w:r>
      <w:r w:rsidRPr="000A5B5D">
        <w:rPr>
          <w:rFonts w:ascii="宋体" w:hAnsi="宋体" w:cs="宋体" w:hint="eastAsia"/>
          <w:kern w:val="0"/>
          <w:sz w:val="24"/>
          <w:szCs w:val="24"/>
          <w:lang w:val="zh-CN"/>
        </w:rPr>
        <w:t>月出生，硕士学历，高级经济师，具有</w:t>
      </w:r>
      <w:r w:rsidRPr="000A5B5D">
        <w:rPr>
          <w:rFonts w:eastAsia="Times New Roman"/>
          <w:kern w:val="0"/>
          <w:sz w:val="24"/>
          <w:szCs w:val="24"/>
          <w:lang w:val="zh-CN"/>
        </w:rPr>
        <w:t>20</w:t>
      </w:r>
      <w:r w:rsidRPr="000A5B5D">
        <w:rPr>
          <w:rFonts w:ascii="宋体" w:hAnsi="宋体" w:cs="宋体" w:hint="eastAsia"/>
          <w:kern w:val="0"/>
          <w:sz w:val="24"/>
          <w:szCs w:val="24"/>
          <w:lang w:val="zh-CN"/>
        </w:rPr>
        <w:t>多年银行金融财务管理工作经验。曾任上海浦东发展银行杭州分行信贷科长、支行副行长。现任浙江恒逸集团有限公司董事、浙商银行股份有限公司董事。</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王松林，男，</w:t>
      </w:r>
      <w:r w:rsidRPr="000A5B5D">
        <w:rPr>
          <w:rFonts w:eastAsia="Times New Roman"/>
          <w:kern w:val="0"/>
          <w:sz w:val="24"/>
          <w:szCs w:val="24"/>
          <w:lang w:val="zh-CN"/>
        </w:rPr>
        <w:t xml:space="preserve">1970 </w:t>
      </w:r>
      <w:r w:rsidRPr="000A5B5D">
        <w:rPr>
          <w:rFonts w:ascii="宋体" w:hAnsi="宋体" w:cs="宋体" w:hint="eastAsia"/>
          <w:kern w:val="0"/>
          <w:sz w:val="24"/>
          <w:szCs w:val="24"/>
          <w:lang w:val="zh-CN"/>
        </w:rPr>
        <w:t>年</w:t>
      </w:r>
      <w:r w:rsidRPr="000A5B5D">
        <w:rPr>
          <w:rFonts w:eastAsia="Times New Roman"/>
          <w:kern w:val="0"/>
          <w:sz w:val="24"/>
          <w:szCs w:val="24"/>
          <w:lang w:val="zh-CN"/>
        </w:rPr>
        <w:t xml:space="preserve">4 </w:t>
      </w:r>
      <w:r w:rsidRPr="000A5B5D">
        <w:rPr>
          <w:rFonts w:ascii="宋体" w:hAnsi="宋体" w:cs="宋体" w:hint="eastAsia"/>
          <w:kern w:val="0"/>
          <w:sz w:val="24"/>
          <w:szCs w:val="24"/>
          <w:lang w:val="zh-CN"/>
        </w:rPr>
        <w:t>月出生，硕士学历，具有</w:t>
      </w:r>
      <w:r w:rsidRPr="000A5B5D">
        <w:rPr>
          <w:rFonts w:eastAsia="Times New Roman"/>
          <w:kern w:val="0"/>
          <w:sz w:val="24"/>
          <w:szCs w:val="24"/>
          <w:lang w:val="zh-CN"/>
        </w:rPr>
        <w:t>10</w:t>
      </w:r>
      <w:r w:rsidRPr="000A5B5D">
        <w:rPr>
          <w:rFonts w:ascii="宋体" w:hAnsi="宋体" w:cs="宋体" w:hint="eastAsia"/>
          <w:kern w:val="0"/>
          <w:sz w:val="24"/>
          <w:szCs w:val="24"/>
          <w:lang w:val="zh-CN"/>
        </w:rPr>
        <w:t>多年石化化纤行业从业经验。曾任</w:t>
      </w:r>
      <w:r w:rsidRPr="000A5B5D">
        <w:rPr>
          <w:rFonts w:ascii="宋体" w:hAnsi="宋体" w:cs="宋体" w:hint="eastAsia"/>
          <w:kern w:val="0"/>
          <w:sz w:val="24"/>
          <w:szCs w:val="24"/>
          <w:lang w:val="zh-CN"/>
        </w:rPr>
        <w:lastRenderedPageBreak/>
        <w:t>中国纺织建设规划院副处长、中国化纤总公司办公室主任、中国化纤经济信息网总经理、北京棉花展望公司总经理。现任恒逸石化股份有限公司副总经理，同时担任浙江巴陵恒逸己内酰胺有限责任公司董事长、浙江恒逸高新材料有限公司董事。</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朱菊珍，女，</w:t>
      </w:r>
      <w:r w:rsidRPr="000A5B5D">
        <w:rPr>
          <w:rFonts w:eastAsia="Times New Roman"/>
          <w:kern w:val="0"/>
          <w:sz w:val="24"/>
          <w:szCs w:val="24"/>
          <w:lang w:val="zh-CN"/>
        </w:rPr>
        <w:t>1963</w:t>
      </w:r>
      <w:r w:rsidRPr="000A5B5D">
        <w:rPr>
          <w:rFonts w:ascii="宋体" w:hAnsi="宋体" w:cs="宋体" w:hint="eastAsia"/>
          <w:kern w:val="0"/>
          <w:sz w:val="24"/>
          <w:szCs w:val="24"/>
          <w:lang w:val="zh-CN"/>
        </w:rPr>
        <w:t>年</w:t>
      </w:r>
      <w:r w:rsidRPr="000A5B5D">
        <w:rPr>
          <w:rFonts w:eastAsia="Times New Roman"/>
          <w:kern w:val="0"/>
          <w:sz w:val="24"/>
          <w:szCs w:val="24"/>
          <w:lang w:val="zh-CN"/>
        </w:rPr>
        <w:t>7</w:t>
      </w:r>
      <w:r w:rsidRPr="000A5B5D">
        <w:rPr>
          <w:rFonts w:ascii="宋体" w:hAnsi="宋体" w:cs="宋体" w:hint="eastAsia"/>
          <w:kern w:val="0"/>
          <w:sz w:val="24"/>
          <w:szCs w:val="24"/>
          <w:lang w:val="zh-CN"/>
        </w:rPr>
        <w:t>月出生，本科学历，审计师，具有</w:t>
      </w:r>
      <w:r w:rsidRPr="000A5B5D">
        <w:rPr>
          <w:rFonts w:eastAsia="Times New Roman"/>
          <w:kern w:val="0"/>
          <w:sz w:val="24"/>
          <w:szCs w:val="24"/>
          <w:lang w:val="zh-CN"/>
        </w:rPr>
        <w:t>20</w:t>
      </w:r>
      <w:r w:rsidRPr="000A5B5D">
        <w:rPr>
          <w:rFonts w:ascii="宋体" w:hAnsi="宋体" w:cs="宋体" w:hint="eastAsia"/>
          <w:kern w:val="0"/>
          <w:sz w:val="24"/>
          <w:szCs w:val="24"/>
          <w:lang w:val="zh-CN"/>
        </w:rPr>
        <w:t>多年财务管理、内部审计工作经验。曾任杭州杭发集团有限公司会计主管及总审计、浙江恒逸集团有限公司审计部经理。现任恒逸石化股份有限公司董事兼财务总监，同时担任浙江逸盛石化有限公司菫事。</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朱军民，男，</w:t>
      </w:r>
      <w:r w:rsidRPr="000A5B5D">
        <w:rPr>
          <w:rFonts w:eastAsia="Times New Roman"/>
          <w:kern w:val="0"/>
          <w:sz w:val="24"/>
          <w:szCs w:val="24"/>
          <w:lang w:val="zh-CN"/>
        </w:rPr>
        <w:t>1972</w:t>
      </w:r>
      <w:r w:rsidRPr="000A5B5D">
        <w:rPr>
          <w:rFonts w:ascii="宋体" w:hAnsi="宋体" w:cs="宋体" w:hint="eastAsia"/>
          <w:kern w:val="0"/>
          <w:sz w:val="24"/>
          <w:szCs w:val="24"/>
          <w:lang w:val="zh-CN"/>
        </w:rPr>
        <w:t>年</w:t>
      </w:r>
      <w:r w:rsidRPr="000A5B5D">
        <w:rPr>
          <w:rFonts w:eastAsia="Times New Roman"/>
          <w:kern w:val="0"/>
          <w:sz w:val="24"/>
          <w:szCs w:val="24"/>
          <w:lang w:val="zh-CN"/>
        </w:rPr>
        <w:t>3</w:t>
      </w:r>
      <w:r w:rsidRPr="000A5B5D">
        <w:rPr>
          <w:rFonts w:ascii="宋体" w:hAnsi="宋体" w:cs="宋体" w:hint="eastAsia"/>
          <w:kern w:val="0"/>
          <w:sz w:val="24"/>
          <w:szCs w:val="24"/>
          <w:lang w:val="zh-CN"/>
        </w:rPr>
        <w:t>月出生，大专学历，具有</w:t>
      </w:r>
      <w:r w:rsidRPr="000A5B5D">
        <w:rPr>
          <w:rFonts w:eastAsia="Times New Roman"/>
          <w:kern w:val="0"/>
          <w:sz w:val="24"/>
          <w:szCs w:val="24"/>
          <w:lang w:val="zh-CN"/>
        </w:rPr>
        <w:t>20</w:t>
      </w:r>
      <w:r w:rsidRPr="000A5B5D">
        <w:rPr>
          <w:rFonts w:ascii="宋体" w:hAnsi="宋体" w:cs="宋体" w:hint="eastAsia"/>
          <w:kern w:val="0"/>
          <w:sz w:val="24"/>
          <w:szCs w:val="24"/>
          <w:lang w:val="zh-CN"/>
        </w:rPr>
        <w:t>多年化纤行业财务管理经验。曾任浙江恒逸集团有限公司财务处长、逸盛大化石化有限公司副总经理兼财务总监。现任恒逸石化股份有限公司董事兼总经理助理、浙江恒逸石化有限公司营销采购中心总经理。</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贾路桥，男，</w:t>
      </w:r>
      <w:r w:rsidRPr="000A5B5D">
        <w:rPr>
          <w:rFonts w:eastAsia="Times New Roman"/>
          <w:kern w:val="0"/>
          <w:sz w:val="24"/>
          <w:szCs w:val="24"/>
          <w:lang w:val="zh-CN"/>
        </w:rPr>
        <w:t>1939</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出生，本科学历，经济学教授。曾任北京经济学院教师、系团总支书记，天津纺织工学院教师、处长、系主任、副院长、院长、党委书记，北京服装学院院长，中国纺织科学研究院院长。现任中国纺织科学研究院共青城分院名誉院长。</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周琪，男，</w:t>
      </w:r>
      <w:r w:rsidRPr="000A5B5D">
        <w:rPr>
          <w:rFonts w:eastAsia="Times New Roman"/>
          <w:kern w:val="0"/>
          <w:sz w:val="24"/>
          <w:szCs w:val="24"/>
          <w:lang w:val="zh-CN"/>
        </w:rPr>
        <w:t>1962</w:t>
      </w:r>
      <w:r w:rsidRPr="000A5B5D">
        <w:rPr>
          <w:rFonts w:ascii="宋体" w:hAnsi="宋体" w:cs="宋体" w:hint="eastAsia"/>
          <w:kern w:val="0"/>
          <w:sz w:val="24"/>
          <w:szCs w:val="24"/>
          <w:lang w:val="zh-CN"/>
        </w:rPr>
        <w:t>年</w:t>
      </w:r>
      <w:r w:rsidRPr="000A5B5D">
        <w:rPr>
          <w:rFonts w:eastAsia="Times New Roman"/>
          <w:kern w:val="0"/>
          <w:sz w:val="24"/>
          <w:szCs w:val="24"/>
          <w:lang w:val="zh-CN"/>
        </w:rPr>
        <w:t>6</w:t>
      </w:r>
      <w:r w:rsidRPr="000A5B5D">
        <w:rPr>
          <w:rFonts w:ascii="宋体" w:hAnsi="宋体" w:cs="宋体" w:hint="eastAsia"/>
          <w:kern w:val="0"/>
          <w:sz w:val="24"/>
          <w:szCs w:val="24"/>
          <w:lang w:val="zh-CN"/>
        </w:rPr>
        <w:t>月出生，硕士学历。</w:t>
      </w:r>
      <w:r w:rsidRPr="000A5B5D">
        <w:rPr>
          <w:rFonts w:eastAsia="Times New Roman"/>
          <w:kern w:val="0"/>
          <w:sz w:val="24"/>
          <w:szCs w:val="24"/>
          <w:lang w:val="zh-CN"/>
        </w:rPr>
        <w:t>1997</w:t>
      </w:r>
      <w:r w:rsidRPr="000A5B5D">
        <w:rPr>
          <w:rFonts w:ascii="宋体" w:hAnsi="宋体" w:cs="宋体" w:hint="eastAsia"/>
          <w:kern w:val="0"/>
          <w:sz w:val="24"/>
          <w:szCs w:val="24"/>
          <w:lang w:val="zh-CN"/>
        </w:rPr>
        <w:t>年至今在立信会计师事务所有限公司工作。现任恒逸石化股份有限公司独立董事，同时担任立信会计师事务所有限公司董事、高级合伙人。</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贺强，男，</w:t>
      </w:r>
      <w:r w:rsidRPr="000A5B5D">
        <w:rPr>
          <w:rFonts w:eastAsia="Times New Roman"/>
          <w:kern w:val="0"/>
          <w:sz w:val="24"/>
          <w:szCs w:val="24"/>
          <w:lang w:val="zh-CN"/>
        </w:rPr>
        <w:t>1952</w:t>
      </w:r>
      <w:r w:rsidRPr="000A5B5D">
        <w:rPr>
          <w:rFonts w:ascii="宋体" w:hAnsi="宋体" w:cs="宋体" w:hint="eastAsia"/>
          <w:kern w:val="0"/>
          <w:sz w:val="24"/>
          <w:szCs w:val="24"/>
          <w:lang w:val="zh-CN"/>
        </w:rPr>
        <w:t>年</w:t>
      </w:r>
      <w:r w:rsidRPr="000A5B5D">
        <w:rPr>
          <w:rFonts w:eastAsia="Times New Roman"/>
          <w:kern w:val="0"/>
          <w:sz w:val="24"/>
          <w:szCs w:val="24"/>
          <w:lang w:val="zh-CN"/>
        </w:rPr>
        <w:t>9</w:t>
      </w:r>
      <w:r w:rsidRPr="000A5B5D">
        <w:rPr>
          <w:rFonts w:ascii="宋体" w:hAnsi="宋体" w:cs="宋体" w:hint="eastAsia"/>
          <w:kern w:val="0"/>
          <w:sz w:val="24"/>
          <w:szCs w:val="24"/>
          <w:lang w:val="zh-CN"/>
        </w:rPr>
        <w:t>月出生，教授、博导。</w:t>
      </w:r>
      <w:r w:rsidRPr="000A5B5D">
        <w:rPr>
          <w:rFonts w:eastAsia="Times New Roman"/>
          <w:kern w:val="0"/>
          <w:sz w:val="24"/>
          <w:szCs w:val="24"/>
          <w:lang w:val="zh-CN"/>
        </w:rPr>
        <w:t>1982</w:t>
      </w:r>
      <w:r w:rsidRPr="000A5B5D">
        <w:rPr>
          <w:rFonts w:ascii="宋体" w:hAnsi="宋体" w:cs="宋体" w:hint="eastAsia"/>
          <w:kern w:val="0"/>
          <w:sz w:val="24"/>
          <w:szCs w:val="24"/>
          <w:lang w:val="zh-CN"/>
        </w:rPr>
        <w:t>年至今在中央财经大学工作。现任恒逸石化股份有限公司独立董事，同时担任全国政协经济委员会委员、北京市人民政府参事、中国金融学会理事、中国经济社会理事会理事等职务。</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谢集辉，男，</w:t>
      </w:r>
      <w:r w:rsidRPr="000A5B5D">
        <w:rPr>
          <w:rFonts w:eastAsia="Times New Roman"/>
          <w:kern w:val="0"/>
          <w:sz w:val="24"/>
          <w:szCs w:val="24"/>
          <w:lang w:val="zh-CN"/>
        </w:rPr>
        <w:t>1973</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月出生，硕士学历。曾任浙江天健会计师事务所部门经理、美国无线光联有限公司财务总监、湘财证券有限公司并购总部高级经理、恒逸石化股份有限公司审计稽核部经理。</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龚艳红，女，</w:t>
      </w:r>
      <w:r w:rsidRPr="000A5B5D">
        <w:rPr>
          <w:rFonts w:eastAsia="Times New Roman"/>
          <w:kern w:val="0"/>
          <w:sz w:val="24"/>
          <w:szCs w:val="24"/>
          <w:lang w:val="zh-CN"/>
        </w:rPr>
        <w:t>1970</w:t>
      </w:r>
      <w:r w:rsidRPr="000A5B5D">
        <w:rPr>
          <w:rFonts w:ascii="宋体" w:hAnsi="宋体" w:cs="宋体" w:hint="eastAsia"/>
          <w:kern w:val="0"/>
          <w:sz w:val="24"/>
          <w:szCs w:val="24"/>
          <w:lang w:val="zh-CN"/>
        </w:rPr>
        <w:t>年</w:t>
      </w:r>
      <w:r w:rsidRPr="000A5B5D">
        <w:rPr>
          <w:rFonts w:eastAsia="Times New Roman"/>
          <w:kern w:val="0"/>
          <w:sz w:val="24"/>
          <w:szCs w:val="24"/>
          <w:lang w:val="zh-CN"/>
        </w:rPr>
        <w:t>12</w:t>
      </w:r>
      <w:r w:rsidRPr="000A5B5D">
        <w:rPr>
          <w:rFonts w:ascii="宋体" w:hAnsi="宋体" w:cs="宋体" w:hint="eastAsia"/>
          <w:kern w:val="0"/>
          <w:sz w:val="24"/>
          <w:szCs w:val="24"/>
          <w:lang w:val="zh-CN"/>
        </w:rPr>
        <w:t>月出生，本科学历。历任浙江恒逸聚合物有限公司会计、浙江恒逸石化有限公司主办会计、上海恒逸聚酯纤维有限公司财务经理、恒逸石化股份有限公司财务管理部副经理、浙江恒逸石化有限公司财务部经理。现任海南逸盛石化有限公司财务总监。</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王铁铭，男，</w:t>
      </w:r>
      <w:r w:rsidRPr="000A5B5D">
        <w:rPr>
          <w:rFonts w:eastAsia="Times New Roman"/>
          <w:kern w:val="0"/>
          <w:sz w:val="24"/>
          <w:szCs w:val="24"/>
          <w:lang w:val="zh-CN"/>
        </w:rPr>
        <w:t>1963</w:t>
      </w:r>
      <w:r w:rsidRPr="000A5B5D">
        <w:rPr>
          <w:rFonts w:ascii="宋体" w:hAnsi="宋体" w:cs="宋体" w:hint="eastAsia"/>
          <w:kern w:val="0"/>
          <w:sz w:val="24"/>
          <w:szCs w:val="24"/>
          <w:lang w:val="zh-CN"/>
        </w:rPr>
        <w:t>年</w:t>
      </w:r>
      <w:r w:rsidRPr="000A5B5D">
        <w:rPr>
          <w:rFonts w:eastAsia="Times New Roman"/>
          <w:kern w:val="0"/>
          <w:sz w:val="24"/>
          <w:szCs w:val="24"/>
          <w:lang w:val="zh-CN"/>
        </w:rPr>
        <w:t>2</w:t>
      </w:r>
      <w:r w:rsidRPr="000A5B5D">
        <w:rPr>
          <w:rFonts w:ascii="宋体" w:hAnsi="宋体" w:cs="宋体" w:hint="eastAsia"/>
          <w:kern w:val="0"/>
          <w:sz w:val="24"/>
          <w:szCs w:val="24"/>
          <w:lang w:val="zh-CN"/>
        </w:rPr>
        <w:t>月出生，高级经济师。曾任浙江恒逸房地产开发有限公司副总经理、上海恒逸聚酯纤维有限公司副总经理、浙江恒逸集团有限公司综合管理中心总经理。现任浙江恒逸石化有限公司总经理助理兼综合管理中心总经理，同时担任浙江恒逸石化有限公司监事、浙江恒逸房地产开发有限公司执行董事。</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lastRenderedPageBreak/>
        <w:t>郭丹，女，</w:t>
      </w:r>
      <w:r w:rsidRPr="000A5B5D">
        <w:rPr>
          <w:rFonts w:eastAsia="Times New Roman"/>
          <w:kern w:val="0"/>
          <w:sz w:val="24"/>
          <w:szCs w:val="24"/>
          <w:lang w:val="zh-CN"/>
        </w:rPr>
        <w:t>1963</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月出生，硕士学历，高级经济师。历任国家国有资产管理局企业司境外处处长、香港华夏证券</w:t>
      </w:r>
      <w:r w:rsidRPr="000A5B5D">
        <w:rPr>
          <w:rFonts w:eastAsia="Times New Roman"/>
          <w:kern w:val="0"/>
          <w:sz w:val="24"/>
          <w:szCs w:val="24"/>
          <w:lang w:val="zh-CN"/>
        </w:rPr>
        <w:t>(</w:t>
      </w:r>
      <w:r w:rsidRPr="000A5B5D">
        <w:rPr>
          <w:rFonts w:ascii="宋体" w:hAnsi="宋体" w:cs="宋体" w:hint="eastAsia"/>
          <w:kern w:val="0"/>
          <w:sz w:val="24"/>
          <w:szCs w:val="24"/>
          <w:lang w:val="zh-CN"/>
        </w:rPr>
        <w:t>国际</w:t>
      </w:r>
      <w:r w:rsidRPr="000A5B5D">
        <w:rPr>
          <w:rFonts w:eastAsia="Times New Roman"/>
          <w:kern w:val="0"/>
          <w:sz w:val="24"/>
          <w:szCs w:val="24"/>
          <w:lang w:val="zh-CN"/>
        </w:rPr>
        <w:t>)</w:t>
      </w:r>
      <w:r w:rsidRPr="000A5B5D">
        <w:rPr>
          <w:rFonts w:ascii="宋体" w:hAnsi="宋体" w:cs="宋体" w:hint="eastAsia"/>
          <w:kern w:val="0"/>
          <w:sz w:val="24"/>
          <w:szCs w:val="24"/>
          <w:lang w:val="zh-CN"/>
        </w:rPr>
        <w:t>有限公司副总经理、大连证券有限责任公司负责人。现任恒逸石化股份有限公司副总经理兼董事会秘书。</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陈连财，男，</w:t>
      </w:r>
      <w:r w:rsidRPr="000A5B5D">
        <w:rPr>
          <w:rFonts w:eastAsia="Times New Roman"/>
          <w:kern w:val="0"/>
          <w:sz w:val="24"/>
          <w:szCs w:val="24"/>
          <w:lang w:val="zh-CN"/>
        </w:rPr>
        <w:t>1967</w:t>
      </w:r>
      <w:r w:rsidRPr="000A5B5D">
        <w:rPr>
          <w:rFonts w:ascii="宋体" w:hAnsi="宋体" w:cs="宋体" w:hint="eastAsia"/>
          <w:kern w:val="0"/>
          <w:sz w:val="24"/>
          <w:szCs w:val="24"/>
          <w:lang w:val="zh-CN"/>
        </w:rPr>
        <w:t>年</w:t>
      </w:r>
      <w:r w:rsidRPr="000A5B5D">
        <w:rPr>
          <w:rFonts w:eastAsia="Times New Roman"/>
          <w:kern w:val="0"/>
          <w:sz w:val="24"/>
          <w:szCs w:val="24"/>
          <w:lang w:val="zh-CN"/>
        </w:rPr>
        <w:t>6</w:t>
      </w:r>
      <w:r w:rsidRPr="000A5B5D">
        <w:rPr>
          <w:rFonts w:ascii="宋体" w:hAnsi="宋体" w:cs="宋体" w:hint="eastAsia"/>
          <w:kern w:val="0"/>
          <w:sz w:val="24"/>
          <w:szCs w:val="24"/>
          <w:lang w:val="zh-CN"/>
        </w:rPr>
        <w:t>月出生，本科学历，高级工程师，具有</w:t>
      </w:r>
      <w:r w:rsidRPr="000A5B5D">
        <w:rPr>
          <w:rFonts w:eastAsia="Times New Roman"/>
          <w:kern w:val="0"/>
          <w:sz w:val="24"/>
          <w:szCs w:val="24"/>
          <w:lang w:val="zh-CN"/>
        </w:rPr>
        <w:t>20</w:t>
      </w:r>
      <w:r w:rsidRPr="000A5B5D">
        <w:rPr>
          <w:rFonts w:ascii="宋体" w:hAnsi="宋体" w:cs="宋体" w:hint="eastAsia"/>
          <w:kern w:val="0"/>
          <w:sz w:val="24"/>
          <w:szCs w:val="24"/>
          <w:lang w:val="zh-CN"/>
        </w:rPr>
        <w:t>多年石油化工行业从业经验。曾任中国石化镇海炼化分公司副总经理、国电中国石化宁夏能源化工有限公司副总经理、中国石化长城能源化工（宁夏）有限公司总经理。现任恒逸实业（文莱）有限公司首席执行官（</w:t>
      </w:r>
      <w:r w:rsidRPr="000A5B5D">
        <w:rPr>
          <w:rFonts w:eastAsia="Times New Roman"/>
          <w:kern w:val="0"/>
          <w:sz w:val="24"/>
          <w:szCs w:val="24"/>
          <w:lang w:val="zh-CN"/>
        </w:rPr>
        <w:t>CEO</w:t>
      </w:r>
      <w:r w:rsidRPr="000A5B5D">
        <w:rPr>
          <w:rFonts w:ascii="宋体" w:hAnsi="宋体" w:cs="宋体" w:hint="eastAsia"/>
          <w:kern w:val="0"/>
          <w:sz w:val="24"/>
          <w:szCs w:val="24"/>
          <w:lang w:val="zh-CN"/>
        </w:rPr>
        <w:t>）。</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黄百坚，男，</w:t>
      </w:r>
      <w:r w:rsidRPr="000A5B5D">
        <w:rPr>
          <w:rFonts w:eastAsia="Times New Roman"/>
          <w:kern w:val="0"/>
          <w:sz w:val="24"/>
          <w:szCs w:val="24"/>
          <w:lang w:val="zh-CN"/>
        </w:rPr>
        <w:t>1958</w:t>
      </w:r>
      <w:r w:rsidRPr="000A5B5D">
        <w:rPr>
          <w:rFonts w:ascii="宋体" w:hAnsi="宋体" w:cs="宋体" w:hint="eastAsia"/>
          <w:kern w:val="0"/>
          <w:sz w:val="24"/>
          <w:szCs w:val="24"/>
          <w:lang w:val="zh-CN"/>
        </w:rPr>
        <w:t>年</w:t>
      </w:r>
      <w:r w:rsidRPr="000A5B5D">
        <w:rPr>
          <w:rFonts w:eastAsia="Times New Roman"/>
          <w:kern w:val="0"/>
          <w:sz w:val="24"/>
          <w:szCs w:val="24"/>
          <w:lang w:val="zh-CN"/>
        </w:rPr>
        <w:t>7</w:t>
      </w:r>
      <w:r w:rsidRPr="000A5B5D">
        <w:rPr>
          <w:rFonts w:ascii="宋体" w:hAnsi="宋体" w:cs="宋体" w:hint="eastAsia"/>
          <w:kern w:val="0"/>
          <w:sz w:val="24"/>
          <w:szCs w:val="24"/>
          <w:lang w:val="zh-CN"/>
        </w:rPr>
        <w:t>月出生，硕士学历，具有</w:t>
      </w:r>
      <w:r w:rsidRPr="000A5B5D">
        <w:rPr>
          <w:rFonts w:eastAsia="Times New Roman"/>
          <w:kern w:val="0"/>
          <w:sz w:val="24"/>
          <w:szCs w:val="24"/>
          <w:lang w:val="zh-CN"/>
        </w:rPr>
        <w:t>20</w:t>
      </w:r>
      <w:r w:rsidRPr="000A5B5D">
        <w:rPr>
          <w:rFonts w:ascii="宋体" w:hAnsi="宋体" w:cs="宋体" w:hint="eastAsia"/>
          <w:kern w:val="0"/>
          <w:sz w:val="24"/>
          <w:szCs w:val="24"/>
          <w:lang w:val="zh-CN"/>
        </w:rPr>
        <w:t>多年石化行业生产管理经验。曾任大东亚石化有限公司总经理特别助理，台湾东展石化有限公司采购</w:t>
      </w:r>
      <w:r w:rsidRPr="000A5B5D">
        <w:rPr>
          <w:rFonts w:eastAsia="Times New Roman"/>
          <w:kern w:val="0"/>
          <w:sz w:val="24"/>
          <w:szCs w:val="24"/>
          <w:lang w:val="zh-CN"/>
        </w:rPr>
        <w:t>/</w:t>
      </w:r>
      <w:r w:rsidRPr="000A5B5D">
        <w:rPr>
          <w:rFonts w:ascii="宋体" w:hAnsi="宋体" w:cs="宋体" w:hint="eastAsia"/>
          <w:kern w:val="0"/>
          <w:sz w:val="24"/>
          <w:szCs w:val="24"/>
          <w:lang w:val="zh-CN"/>
        </w:rPr>
        <w:t>销售</w:t>
      </w:r>
      <w:r w:rsidRPr="000A5B5D">
        <w:rPr>
          <w:rFonts w:eastAsia="Times New Roman"/>
          <w:kern w:val="0"/>
          <w:sz w:val="24"/>
          <w:szCs w:val="24"/>
          <w:lang w:val="zh-CN"/>
        </w:rPr>
        <w:t>/</w:t>
      </w:r>
      <w:r w:rsidRPr="000A5B5D">
        <w:rPr>
          <w:rFonts w:ascii="宋体" w:hAnsi="宋体" w:cs="宋体" w:hint="eastAsia"/>
          <w:kern w:val="0"/>
          <w:sz w:val="24"/>
          <w:szCs w:val="24"/>
          <w:lang w:val="zh-CN"/>
        </w:rPr>
        <w:t>经管</w:t>
      </w:r>
      <w:r w:rsidRPr="000A5B5D">
        <w:rPr>
          <w:rFonts w:eastAsia="Times New Roman"/>
          <w:kern w:val="0"/>
          <w:sz w:val="24"/>
          <w:szCs w:val="24"/>
          <w:lang w:val="zh-CN"/>
        </w:rPr>
        <w:t>/</w:t>
      </w:r>
      <w:r w:rsidRPr="000A5B5D">
        <w:rPr>
          <w:rFonts w:ascii="宋体" w:hAnsi="宋体" w:cs="宋体" w:hint="eastAsia"/>
          <w:kern w:val="0"/>
          <w:sz w:val="24"/>
          <w:szCs w:val="24"/>
          <w:lang w:val="zh-CN"/>
        </w:rPr>
        <w:t>资讯协理，美国化工市场联合公司（</w:t>
      </w:r>
      <w:r w:rsidRPr="000A5B5D">
        <w:rPr>
          <w:rFonts w:eastAsia="Times New Roman"/>
          <w:kern w:val="0"/>
          <w:sz w:val="24"/>
          <w:szCs w:val="24"/>
          <w:lang w:val="zh-CN"/>
        </w:rPr>
        <w:t>CMAI</w:t>
      </w:r>
      <w:r w:rsidRPr="000A5B5D">
        <w:rPr>
          <w:rFonts w:ascii="宋体" w:hAnsi="宋体" w:cs="宋体" w:hint="eastAsia"/>
          <w:kern w:val="0"/>
          <w:sz w:val="24"/>
          <w:szCs w:val="24"/>
          <w:lang w:val="zh-CN"/>
        </w:rPr>
        <w:t>）全球化纤与原料总监，上海仕进国际贸易有限公司总经理，浙江恒逸集团有限公司首席战略顾问。现任恒逸石化股份有限公司副总经理。</w:t>
      </w:r>
    </w:p>
    <w:p w:rsidR="00BC4D56" w:rsidRPr="000A5B5D" w:rsidRDefault="00BC4D56" w:rsidP="00414E89">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倪德锋，男，</w:t>
      </w:r>
      <w:r w:rsidRPr="000A5B5D">
        <w:rPr>
          <w:rFonts w:eastAsia="Times New Roman"/>
          <w:kern w:val="0"/>
          <w:sz w:val="24"/>
          <w:szCs w:val="24"/>
          <w:lang w:val="zh-CN"/>
        </w:rPr>
        <w:t>1978</w:t>
      </w:r>
      <w:r w:rsidRPr="000A5B5D">
        <w:rPr>
          <w:rFonts w:ascii="宋体" w:hAnsi="宋体" w:cs="宋体" w:hint="eastAsia"/>
          <w:kern w:val="0"/>
          <w:sz w:val="24"/>
          <w:szCs w:val="24"/>
          <w:lang w:val="zh-CN"/>
        </w:rPr>
        <w:t>年</w:t>
      </w:r>
      <w:r w:rsidRPr="000A5B5D">
        <w:rPr>
          <w:rFonts w:eastAsia="Times New Roman"/>
          <w:kern w:val="0"/>
          <w:sz w:val="24"/>
          <w:szCs w:val="24"/>
          <w:lang w:val="zh-CN"/>
        </w:rPr>
        <w:t>1</w:t>
      </w:r>
      <w:r w:rsidRPr="000A5B5D">
        <w:rPr>
          <w:rFonts w:ascii="宋体" w:hAnsi="宋体" w:cs="宋体" w:hint="eastAsia"/>
          <w:kern w:val="0"/>
          <w:sz w:val="24"/>
          <w:szCs w:val="24"/>
          <w:lang w:val="zh-CN"/>
        </w:rPr>
        <w:t>月出生，硕士学历。曾任浙江天健会计师事务所审计员、浙江恒逸集团有限公司财务部经理、投资发展部经理、总经理助理。现任恒逸石化股份有限公司副总经理兼投资总监，同时担任浙江巴陵恒逸己内酰胺有限责任公司董事。</w:t>
      </w:r>
    </w:p>
    <w:p w:rsidR="00BC4D56" w:rsidRPr="000A5B5D" w:rsidRDefault="00BC4D56" w:rsidP="00414E89">
      <w:pPr>
        <w:spacing w:line="360" w:lineRule="auto"/>
        <w:jc w:val="left"/>
        <w:rPr>
          <w:sz w:val="24"/>
          <w:szCs w:val="24"/>
        </w:rPr>
      </w:pPr>
      <w:r w:rsidRPr="000A5B5D">
        <w:rPr>
          <w:rFonts w:hint="eastAsia"/>
          <w:sz w:val="24"/>
          <w:szCs w:val="24"/>
        </w:rPr>
        <w:t>在股东单位任职情况</w:t>
      </w:r>
    </w:p>
    <w:tbl>
      <w:tblPr>
        <w:tblW w:w="0" w:type="auto"/>
        <w:tblInd w:w="28" w:type="dxa"/>
        <w:tblLayout w:type="fixed"/>
        <w:tblCellMar>
          <w:left w:w="28" w:type="dxa"/>
          <w:right w:w="28" w:type="dxa"/>
        </w:tblCellMar>
        <w:tblLook w:val="0000" w:firstRow="0" w:lastRow="0" w:firstColumn="0" w:lastColumn="0" w:noHBand="0" w:noVBand="0"/>
      </w:tblPr>
      <w:tblGrid>
        <w:gridCol w:w="993"/>
        <w:gridCol w:w="2976"/>
        <w:gridCol w:w="1418"/>
        <w:gridCol w:w="1417"/>
        <w:gridCol w:w="993"/>
        <w:gridCol w:w="1771"/>
      </w:tblGrid>
      <w:tr w:rsidR="00BC4D56" w:rsidRPr="000A5B5D" w:rsidTr="00414E89">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任职人员姓名</w:t>
            </w: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股东单位名称</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在股东单位担任的职务</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任期起始日期</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任期终止日期</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在股东单位是否领取报酬津贴</w:t>
            </w:r>
          </w:p>
        </w:tc>
      </w:tr>
      <w:tr w:rsidR="00BC4D56" w:rsidRPr="000A5B5D" w:rsidTr="00414E8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邱建林</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浙江恒逸集团有限公司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董事长</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t>1994</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18</w:t>
            </w:r>
            <w:r w:rsidRPr="000A5B5D">
              <w:rPr>
                <w:rFonts w:hint="eastAsia"/>
                <w:sz w:val="24"/>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是</w:t>
            </w:r>
          </w:p>
        </w:tc>
      </w:tr>
      <w:tr w:rsidR="00BC4D56" w:rsidRPr="000A5B5D" w:rsidTr="00414E8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方贤水</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浙江恒逸集团有限公司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董事</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t>1994</w:t>
            </w:r>
            <w:r w:rsidRPr="000A5B5D">
              <w:rPr>
                <w:rFonts w:hint="eastAsia"/>
                <w:sz w:val="24"/>
                <w:szCs w:val="24"/>
              </w:rPr>
              <w:t>年</w:t>
            </w:r>
            <w:r w:rsidRPr="000A5B5D">
              <w:rPr>
                <w:sz w:val="24"/>
                <w:szCs w:val="24"/>
              </w:rPr>
              <w:t>10</w:t>
            </w:r>
            <w:r w:rsidRPr="000A5B5D">
              <w:rPr>
                <w:rFonts w:hint="eastAsia"/>
                <w:sz w:val="24"/>
                <w:szCs w:val="24"/>
              </w:rPr>
              <w:t>月</w:t>
            </w:r>
            <w:r w:rsidRPr="000A5B5D">
              <w:rPr>
                <w:sz w:val="24"/>
                <w:szCs w:val="24"/>
              </w:rPr>
              <w:t>18</w:t>
            </w:r>
            <w:r w:rsidRPr="000A5B5D">
              <w:rPr>
                <w:rFonts w:hint="eastAsia"/>
                <w:sz w:val="24"/>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否</w:t>
            </w:r>
          </w:p>
        </w:tc>
      </w:tr>
      <w:tr w:rsidR="00BC4D56" w:rsidRPr="000A5B5D" w:rsidTr="00414E8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高勤红</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浙江恒逸集团有限公司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董事</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t>2003</w:t>
            </w:r>
            <w:r w:rsidRPr="000A5B5D">
              <w:rPr>
                <w:rFonts w:hint="eastAsia"/>
                <w:sz w:val="24"/>
                <w:szCs w:val="24"/>
              </w:rPr>
              <w:t>年</w:t>
            </w:r>
            <w:r w:rsidRPr="000A5B5D">
              <w:rPr>
                <w:sz w:val="24"/>
                <w:szCs w:val="24"/>
              </w:rPr>
              <w:t>02</w:t>
            </w:r>
            <w:r w:rsidRPr="000A5B5D">
              <w:rPr>
                <w:rFonts w:hint="eastAsia"/>
                <w:sz w:val="24"/>
                <w:szCs w:val="24"/>
              </w:rPr>
              <w:t>月</w:t>
            </w:r>
            <w:r w:rsidRPr="000A5B5D">
              <w:rPr>
                <w:sz w:val="24"/>
                <w:szCs w:val="24"/>
              </w:rPr>
              <w:t>17</w:t>
            </w:r>
            <w:r w:rsidRPr="000A5B5D">
              <w:rPr>
                <w:rFonts w:hint="eastAsia"/>
                <w:sz w:val="24"/>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是</w:t>
            </w:r>
          </w:p>
        </w:tc>
      </w:tr>
      <w:tr w:rsidR="00BC4D56" w:rsidRPr="000A5B5D" w:rsidTr="00414E8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王铁铭</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浙江恒逸房地产开发有限公司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执行董事</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sz w:val="24"/>
                <w:szCs w:val="24"/>
              </w:rPr>
              <w:t>2009</w:t>
            </w:r>
            <w:r w:rsidRPr="000A5B5D">
              <w:rPr>
                <w:rFonts w:hint="eastAsia"/>
                <w:sz w:val="24"/>
                <w:szCs w:val="24"/>
              </w:rPr>
              <w:t>年</w:t>
            </w:r>
            <w:r w:rsidRPr="000A5B5D">
              <w:rPr>
                <w:sz w:val="24"/>
                <w:szCs w:val="24"/>
              </w:rPr>
              <w:t>09</w:t>
            </w:r>
            <w:r w:rsidRPr="000A5B5D">
              <w:rPr>
                <w:rFonts w:hint="eastAsia"/>
                <w:sz w:val="24"/>
                <w:szCs w:val="24"/>
              </w:rPr>
              <w:t>月</w:t>
            </w:r>
            <w:r w:rsidRPr="000A5B5D">
              <w:rPr>
                <w:sz w:val="24"/>
                <w:szCs w:val="24"/>
              </w:rPr>
              <w:t>08</w:t>
            </w:r>
            <w:r w:rsidRPr="000A5B5D">
              <w:rPr>
                <w:rFonts w:hint="eastAsia"/>
                <w:sz w:val="24"/>
                <w:szCs w:val="24"/>
              </w:rPr>
              <w:t>日</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left"/>
              <w:rPr>
                <w:sz w:val="24"/>
                <w:szCs w:val="24"/>
              </w:rPr>
            </w:pPr>
            <w:r w:rsidRPr="000A5B5D">
              <w:rPr>
                <w:rFonts w:hint="eastAsia"/>
                <w:sz w:val="24"/>
                <w:szCs w:val="24"/>
              </w:rPr>
              <w:t>否</w:t>
            </w:r>
          </w:p>
        </w:tc>
      </w:tr>
    </w:tbl>
    <w:p w:rsidR="00BC4D56" w:rsidRPr="000A5B5D" w:rsidRDefault="00BC4D56" w:rsidP="00414E89">
      <w:pPr>
        <w:spacing w:line="360" w:lineRule="auto"/>
        <w:jc w:val="left"/>
        <w:rPr>
          <w:sz w:val="24"/>
          <w:szCs w:val="24"/>
        </w:rPr>
      </w:pPr>
      <w:r w:rsidRPr="000A5B5D">
        <w:rPr>
          <w:rFonts w:hint="eastAsia"/>
          <w:sz w:val="24"/>
          <w:szCs w:val="24"/>
        </w:rPr>
        <w:t>在其他单位任职情况</w:t>
      </w:r>
    </w:p>
    <w:tbl>
      <w:tblPr>
        <w:tblW w:w="0" w:type="auto"/>
        <w:tblInd w:w="28" w:type="dxa"/>
        <w:tblLayout w:type="fixed"/>
        <w:tblCellMar>
          <w:left w:w="28" w:type="dxa"/>
          <w:right w:w="28" w:type="dxa"/>
        </w:tblCellMar>
        <w:tblLook w:val="0000" w:firstRow="0" w:lastRow="0" w:firstColumn="0" w:lastColumn="0" w:noHBand="0" w:noVBand="0"/>
      </w:tblPr>
      <w:tblGrid>
        <w:gridCol w:w="1233"/>
        <w:gridCol w:w="3277"/>
        <w:gridCol w:w="1092"/>
        <w:gridCol w:w="1229"/>
        <w:gridCol w:w="1360"/>
        <w:gridCol w:w="1376"/>
      </w:tblGrid>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任职人员姓名</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其他单位名称</w:t>
            </w:r>
          </w:p>
        </w:tc>
        <w:tc>
          <w:tcPr>
            <w:tcW w:w="109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在其他单位担任的职务</w:t>
            </w:r>
          </w:p>
        </w:tc>
        <w:tc>
          <w:tcPr>
            <w:tcW w:w="122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任期起始日期</w:t>
            </w:r>
          </w:p>
        </w:tc>
        <w:tc>
          <w:tcPr>
            <w:tcW w:w="136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任期终止日期</w:t>
            </w:r>
          </w:p>
        </w:tc>
        <w:tc>
          <w:tcPr>
            <w:tcW w:w="13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在其他单位是否领取报酬津贴</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执行董事兼</w:t>
            </w:r>
            <w:r w:rsidRPr="000A5B5D">
              <w:rPr>
                <w:rFonts w:hint="eastAsia"/>
                <w:szCs w:val="24"/>
              </w:rPr>
              <w:lastRenderedPageBreak/>
              <w:t>总经理</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lastRenderedPageBreak/>
              <w:t>2004</w:t>
            </w:r>
            <w:r w:rsidRPr="000A5B5D">
              <w:rPr>
                <w:rFonts w:hint="eastAsia"/>
                <w:szCs w:val="24"/>
              </w:rPr>
              <w:t>年</w:t>
            </w:r>
            <w:r w:rsidRPr="000A5B5D">
              <w:rPr>
                <w:szCs w:val="24"/>
              </w:rPr>
              <w:t>07</w:t>
            </w:r>
            <w:r w:rsidRPr="000A5B5D">
              <w:rPr>
                <w:rFonts w:hint="eastAsia"/>
                <w:szCs w:val="24"/>
              </w:rPr>
              <w:t>月</w:t>
            </w:r>
            <w:r w:rsidRPr="000A5B5D">
              <w:rPr>
                <w:szCs w:val="24"/>
              </w:rPr>
              <w:lastRenderedPageBreak/>
              <w:t>16</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浙江恒逸聚合物有限公司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浙江逸盛石化有限公司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08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浙江恒逸高新材料有限公司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2007</w:t>
            </w:r>
            <w:r w:rsidRPr="000A5B5D">
              <w:rPr>
                <w:rFonts w:hint="eastAsia"/>
                <w:szCs w:val="24"/>
              </w:rPr>
              <w:t>年</w:t>
            </w:r>
            <w:r w:rsidRPr="000A5B5D">
              <w:rPr>
                <w:szCs w:val="24"/>
              </w:rPr>
              <w:t>10</w:t>
            </w:r>
            <w:r w:rsidRPr="000A5B5D">
              <w:rPr>
                <w:rFonts w:hint="eastAsia"/>
                <w:szCs w:val="24"/>
              </w:rPr>
              <w:t>月</w:t>
            </w:r>
            <w:r w:rsidRPr="000A5B5D">
              <w:rPr>
                <w:szCs w:val="24"/>
              </w:rPr>
              <w:t>15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浙江巴陵恒逸己内酰胺有限责任公司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副董事长</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12</w:t>
            </w:r>
            <w:r w:rsidRPr="000A5B5D">
              <w:rPr>
                <w:rFonts w:hint="eastAsia"/>
                <w:szCs w:val="24"/>
              </w:rPr>
              <w:t>月</w:t>
            </w:r>
            <w:r w:rsidRPr="000A5B5D">
              <w:rPr>
                <w:szCs w:val="24"/>
              </w:rPr>
              <w:t>25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宁波恒逸工程管理有限公司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执行董事兼总经理</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11</w:t>
            </w:r>
            <w:r w:rsidRPr="000A5B5D">
              <w:rPr>
                <w:rFonts w:hint="eastAsia"/>
                <w:szCs w:val="24"/>
              </w:rPr>
              <w:t>月</w:t>
            </w:r>
            <w:r w:rsidRPr="000A5B5D">
              <w:rPr>
                <w:szCs w:val="24"/>
              </w:rPr>
              <w:t>27</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逸盛大化石化有限公司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2006</w:t>
            </w:r>
            <w:r w:rsidRPr="000A5B5D">
              <w:rPr>
                <w:rFonts w:hint="eastAsia"/>
                <w:szCs w:val="24"/>
              </w:rPr>
              <w:t>年</w:t>
            </w:r>
            <w:r w:rsidRPr="000A5B5D">
              <w:rPr>
                <w:szCs w:val="24"/>
              </w:rPr>
              <w:t>04</w:t>
            </w:r>
            <w:r w:rsidRPr="000A5B5D">
              <w:rPr>
                <w:rFonts w:hint="eastAsia"/>
                <w:szCs w:val="24"/>
              </w:rPr>
              <w:t>月</w:t>
            </w:r>
            <w:r w:rsidRPr="000A5B5D">
              <w:rPr>
                <w:szCs w:val="24"/>
              </w:rPr>
              <w:t>29</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海南逸盛石化有限公司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06</w:t>
            </w:r>
            <w:r w:rsidRPr="000A5B5D">
              <w:rPr>
                <w:rFonts w:hint="eastAsia"/>
                <w:szCs w:val="24"/>
              </w:rPr>
              <w:t>月</w:t>
            </w:r>
            <w:r w:rsidRPr="000A5B5D">
              <w:rPr>
                <w:szCs w:val="24"/>
              </w:rPr>
              <w:t>23</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香港天逸国际控股有限公司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2009</w:t>
            </w:r>
            <w:r w:rsidRPr="000A5B5D">
              <w:rPr>
                <w:rFonts w:hint="eastAsia"/>
                <w:szCs w:val="24"/>
              </w:rPr>
              <w:t>年</w:t>
            </w:r>
            <w:r w:rsidRPr="000A5B5D">
              <w:rPr>
                <w:szCs w:val="24"/>
              </w:rPr>
              <w:t>09</w:t>
            </w:r>
            <w:r w:rsidRPr="000A5B5D">
              <w:rPr>
                <w:rFonts w:hint="eastAsia"/>
                <w:szCs w:val="24"/>
              </w:rPr>
              <w:t>月</w:t>
            </w:r>
            <w:r w:rsidRPr="000A5B5D">
              <w:rPr>
                <w:szCs w:val="24"/>
              </w:rPr>
              <w:t>17</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佳栢国际投资有限公司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2009</w:t>
            </w:r>
            <w:r w:rsidRPr="000A5B5D">
              <w:rPr>
                <w:rFonts w:hint="eastAsia"/>
                <w:szCs w:val="24"/>
              </w:rPr>
              <w:t>年</w:t>
            </w:r>
            <w:r w:rsidRPr="000A5B5D">
              <w:rPr>
                <w:szCs w:val="24"/>
              </w:rPr>
              <w:t>09</w:t>
            </w:r>
            <w:r w:rsidRPr="000A5B5D">
              <w:rPr>
                <w:rFonts w:hint="eastAsia"/>
                <w:szCs w:val="24"/>
              </w:rPr>
              <w:t>月</w:t>
            </w:r>
            <w:r w:rsidRPr="000A5B5D">
              <w:rPr>
                <w:szCs w:val="24"/>
              </w:rPr>
              <w:t>17</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宁波恒逸实业有限公司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06</w:t>
            </w:r>
            <w:r w:rsidRPr="000A5B5D">
              <w:rPr>
                <w:rFonts w:hint="eastAsia"/>
                <w:szCs w:val="24"/>
              </w:rPr>
              <w:t>月</w:t>
            </w:r>
            <w:r w:rsidRPr="000A5B5D">
              <w:rPr>
                <w:szCs w:val="24"/>
              </w:rPr>
              <w:t>07</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宁波恒逸贸易有限公司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08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上海逸通国际贸易有限公司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03</w:t>
            </w:r>
            <w:r w:rsidRPr="000A5B5D">
              <w:rPr>
                <w:rFonts w:hint="eastAsia"/>
                <w:szCs w:val="24"/>
              </w:rPr>
              <w:t>月</w:t>
            </w:r>
            <w:r w:rsidRPr="000A5B5D">
              <w:rPr>
                <w:szCs w:val="24"/>
              </w:rPr>
              <w:t>16</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海南逸盛贸易有限公司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06</w:t>
            </w:r>
            <w:r w:rsidRPr="000A5B5D">
              <w:rPr>
                <w:rFonts w:hint="eastAsia"/>
                <w:szCs w:val="24"/>
              </w:rPr>
              <w:t>月</w:t>
            </w:r>
            <w:r w:rsidRPr="000A5B5D">
              <w:rPr>
                <w:szCs w:val="24"/>
              </w:rPr>
              <w:t>25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香港逸盛有限公司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07</w:t>
            </w:r>
            <w:r w:rsidRPr="000A5B5D">
              <w:rPr>
                <w:rFonts w:hint="eastAsia"/>
                <w:szCs w:val="24"/>
              </w:rPr>
              <w:t>月</w:t>
            </w:r>
            <w:r w:rsidRPr="000A5B5D">
              <w:rPr>
                <w:szCs w:val="24"/>
              </w:rPr>
              <w:t>28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上海恒逸聚酯纤维有限公司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执行董事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14</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朱军民</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浙江恒逸聚合物有限公司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高勤红</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浙商银行股份有限公司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2007</w:t>
            </w:r>
            <w:r w:rsidRPr="000A5B5D">
              <w:rPr>
                <w:rFonts w:hint="eastAsia"/>
                <w:szCs w:val="24"/>
              </w:rPr>
              <w:t>年</w:t>
            </w:r>
            <w:r w:rsidRPr="000A5B5D">
              <w:rPr>
                <w:szCs w:val="24"/>
              </w:rPr>
              <w:t>07</w:t>
            </w:r>
            <w:r w:rsidRPr="000A5B5D">
              <w:rPr>
                <w:rFonts w:hint="eastAsia"/>
                <w:szCs w:val="24"/>
              </w:rPr>
              <w:t>月</w:t>
            </w:r>
            <w:r w:rsidRPr="000A5B5D">
              <w:rPr>
                <w:szCs w:val="24"/>
              </w:rPr>
              <w:t>23</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王松林</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浙江恒逸高新材料有限公司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2007</w:t>
            </w:r>
            <w:r w:rsidRPr="000A5B5D">
              <w:rPr>
                <w:rFonts w:hint="eastAsia"/>
                <w:szCs w:val="24"/>
              </w:rPr>
              <w:t>年</w:t>
            </w:r>
            <w:r w:rsidRPr="000A5B5D">
              <w:rPr>
                <w:szCs w:val="24"/>
              </w:rPr>
              <w:t>10</w:t>
            </w:r>
            <w:r w:rsidRPr="000A5B5D">
              <w:rPr>
                <w:rFonts w:hint="eastAsia"/>
                <w:szCs w:val="24"/>
              </w:rPr>
              <w:t>月</w:t>
            </w:r>
            <w:r w:rsidRPr="000A5B5D">
              <w:rPr>
                <w:szCs w:val="24"/>
              </w:rPr>
              <w:t>15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王松林</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浙江巴陵恒逸己内酰胺有限责任公司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董事、总经理</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12</w:t>
            </w:r>
            <w:r w:rsidRPr="000A5B5D">
              <w:rPr>
                <w:rFonts w:hint="eastAsia"/>
                <w:szCs w:val="24"/>
              </w:rPr>
              <w:t>月</w:t>
            </w:r>
            <w:r w:rsidRPr="000A5B5D">
              <w:rPr>
                <w:szCs w:val="24"/>
              </w:rPr>
              <w:t>25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lastRenderedPageBreak/>
              <w:t>朱菊珍</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浙江逸盛石化有限公司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董事、副总经理</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06</w:t>
            </w:r>
            <w:r w:rsidRPr="000A5B5D">
              <w:rPr>
                <w:rFonts w:hint="eastAsia"/>
                <w:szCs w:val="24"/>
              </w:rPr>
              <w:t>月</w:t>
            </w:r>
            <w:r w:rsidRPr="000A5B5D">
              <w:rPr>
                <w:szCs w:val="24"/>
              </w:rPr>
              <w:t>18</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朱菊珍</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海南逸盛石化有限公司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2010</w:t>
            </w:r>
            <w:r w:rsidRPr="000A5B5D">
              <w:rPr>
                <w:rFonts w:hint="eastAsia"/>
                <w:szCs w:val="24"/>
              </w:rPr>
              <w:t>年</w:t>
            </w:r>
            <w:r w:rsidRPr="000A5B5D">
              <w:rPr>
                <w:szCs w:val="24"/>
              </w:rPr>
              <w:t>05</w:t>
            </w:r>
            <w:r w:rsidRPr="000A5B5D">
              <w:rPr>
                <w:rFonts w:hint="eastAsia"/>
                <w:szCs w:val="24"/>
              </w:rPr>
              <w:t>月</w:t>
            </w:r>
            <w:r w:rsidRPr="000A5B5D">
              <w:rPr>
                <w:szCs w:val="24"/>
              </w:rPr>
              <w:t>31</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朱菊珍</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浙江恒逸高新材料有限公司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04</w:t>
            </w:r>
            <w:r w:rsidRPr="000A5B5D">
              <w:rPr>
                <w:rFonts w:hint="eastAsia"/>
                <w:szCs w:val="24"/>
              </w:rPr>
              <w:t>月</w:t>
            </w:r>
            <w:r w:rsidRPr="000A5B5D">
              <w:rPr>
                <w:szCs w:val="24"/>
              </w:rPr>
              <w:t>10</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朱菊珍</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宁波恒逸贸易有限公司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董事兼总经理</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2011</w:t>
            </w:r>
            <w:r w:rsidRPr="000A5B5D">
              <w:rPr>
                <w:rFonts w:hint="eastAsia"/>
                <w:szCs w:val="24"/>
              </w:rPr>
              <w:t>年</w:t>
            </w:r>
            <w:r w:rsidRPr="000A5B5D">
              <w:rPr>
                <w:szCs w:val="24"/>
              </w:rPr>
              <w:t>05</w:t>
            </w:r>
            <w:r w:rsidRPr="000A5B5D">
              <w:rPr>
                <w:rFonts w:hint="eastAsia"/>
                <w:szCs w:val="24"/>
              </w:rPr>
              <w:t>月</w:t>
            </w:r>
            <w:r w:rsidRPr="000A5B5D">
              <w:rPr>
                <w:szCs w:val="24"/>
              </w:rPr>
              <w:t>24</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r w:rsidR="00BC4D56" w:rsidRPr="000A5B5D">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倪德锋</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浙江巴陵恒逸己内酰胺有限责任公司</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2014</w:t>
            </w:r>
            <w:r w:rsidRPr="000A5B5D">
              <w:rPr>
                <w:rFonts w:hint="eastAsia"/>
                <w:szCs w:val="24"/>
              </w:rPr>
              <w:t>年</w:t>
            </w:r>
            <w:r w:rsidRPr="000A5B5D">
              <w:rPr>
                <w:szCs w:val="24"/>
              </w:rPr>
              <w:t>12</w:t>
            </w:r>
            <w:r w:rsidRPr="000A5B5D">
              <w:rPr>
                <w:rFonts w:hint="eastAsia"/>
                <w:szCs w:val="24"/>
              </w:rPr>
              <w:t>月</w:t>
            </w:r>
            <w:r w:rsidRPr="000A5B5D">
              <w:rPr>
                <w:szCs w:val="24"/>
              </w:rPr>
              <w:t>25</w:t>
            </w:r>
            <w:r w:rsidRPr="000A5B5D">
              <w:rPr>
                <w:rFonts w:hint="eastAsia"/>
                <w:szCs w:val="24"/>
              </w:rPr>
              <w:t>日</w:t>
            </w:r>
          </w:p>
        </w:tc>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p>
        </w:tc>
        <w:tc>
          <w:tcPr>
            <w:tcW w:w="13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否</w:t>
            </w:r>
          </w:p>
        </w:tc>
      </w:tr>
    </w:tbl>
    <w:p w:rsidR="00BC4D56" w:rsidRPr="000A5B5D" w:rsidRDefault="00BC4D56" w:rsidP="00414E89">
      <w:pPr>
        <w:spacing w:line="360" w:lineRule="auto"/>
        <w:jc w:val="left"/>
        <w:rPr>
          <w:sz w:val="24"/>
          <w:szCs w:val="24"/>
        </w:rPr>
      </w:pPr>
      <w:r w:rsidRPr="000A5B5D">
        <w:rPr>
          <w:rFonts w:hint="eastAsia"/>
          <w:sz w:val="24"/>
          <w:szCs w:val="24"/>
        </w:rPr>
        <w:t>公司现任及报告期内离任董事、监事和高级管理人员近三年证券监管机构处罚的情况</w:t>
      </w:r>
    </w:p>
    <w:p w:rsidR="00BC4D56" w:rsidRPr="000A5B5D" w:rsidRDefault="00BC4D56" w:rsidP="00414E89">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414E89">
      <w:pPr>
        <w:pStyle w:val="Chapter"/>
        <w:spacing w:line="360" w:lineRule="auto"/>
        <w:outlineLvl w:val="1"/>
        <w:rPr>
          <w:bCs w:val="0"/>
        </w:rPr>
      </w:pPr>
      <w:r w:rsidRPr="000A5B5D">
        <w:rPr>
          <w:rFonts w:hint="eastAsia"/>
          <w:bCs w:val="0"/>
        </w:rPr>
        <w:t>四、董事、监事、高级管理人员报酬情况</w:t>
      </w:r>
    </w:p>
    <w:p w:rsidR="00BC4D56" w:rsidRPr="000A5B5D" w:rsidRDefault="00BC4D56" w:rsidP="00414E89">
      <w:pPr>
        <w:spacing w:line="360" w:lineRule="auto"/>
        <w:jc w:val="left"/>
        <w:rPr>
          <w:sz w:val="24"/>
          <w:szCs w:val="24"/>
        </w:rPr>
      </w:pPr>
      <w:r w:rsidRPr="000A5B5D">
        <w:rPr>
          <w:rFonts w:hint="eastAsia"/>
          <w:sz w:val="24"/>
          <w:szCs w:val="24"/>
        </w:rPr>
        <w:t>董事、监事、高级管理人员报酬的决策程序、确定依据、实际支付情况</w:t>
      </w:r>
    </w:p>
    <w:p w:rsidR="00BC4D56" w:rsidRPr="000A5B5D" w:rsidRDefault="00BC4D56" w:rsidP="00414E89">
      <w:pPr>
        <w:autoSpaceDE w:val="0"/>
        <w:autoSpaceDN w:val="0"/>
        <w:adjustRightInd w:val="0"/>
        <w:spacing w:line="360" w:lineRule="auto"/>
        <w:ind w:firstLine="482"/>
        <w:rPr>
          <w:rFonts w:eastAsia="Times New Roman"/>
          <w:kern w:val="0"/>
          <w:sz w:val="24"/>
          <w:szCs w:val="24"/>
          <w:lang w:val="zh-CN"/>
        </w:rPr>
      </w:pPr>
      <w:r w:rsidRPr="000A5B5D">
        <w:rPr>
          <w:rFonts w:ascii="宋体" w:hAnsi="宋体" w:cs="宋体" w:hint="eastAsia"/>
          <w:kern w:val="0"/>
          <w:sz w:val="24"/>
          <w:szCs w:val="24"/>
          <w:lang w:val="zh-CN"/>
        </w:rPr>
        <w:t>公司通过《高级管理人员薪酬与绩效考核管理制度》（第八届董事会第三次会议审议通过）对公司董事、监事及高级管理进行绩效考核并发放薪酬。</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年度在本公司领取报酬的董事、监事及高级管理人员的年度报酬（包括基本工资、奖金、津贴、补贴、职工福利费和各项保险费、公积金以及以其他形式从公司获得的税前实发报酬总额）均依据公司相关规定</w:t>
      </w:r>
      <w:r w:rsidRPr="000A5B5D">
        <w:rPr>
          <w:rFonts w:eastAsia="Times New Roman"/>
          <w:kern w:val="0"/>
          <w:sz w:val="24"/>
          <w:szCs w:val="24"/>
          <w:lang w:val="zh-CN"/>
        </w:rPr>
        <w:t>,</w:t>
      </w:r>
      <w:r w:rsidRPr="000A5B5D">
        <w:rPr>
          <w:rFonts w:ascii="宋体" w:hAnsi="宋体" w:cs="宋体" w:hint="eastAsia"/>
          <w:kern w:val="0"/>
          <w:sz w:val="24"/>
          <w:szCs w:val="24"/>
          <w:lang w:val="zh-CN"/>
        </w:rPr>
        <w:t>由董事会根据公司的经营状况及相关人员的职务、工作业绩考核拟定方案发放。报告期内，公司董事、监事及高级管理人员的报酬已按月支付。</w:t>
      </w:r>
    </w:p>
    <w:p w:rsidR="00BC4D56" w:rsidRPr="000A5B5D" w:rsidRDefault="00BC4D56" w:rsidP="00414E89">
      <w:pPr>
        <w:autoSpaceDE w:val="0"/>
        <w:autoSpaceDN w:val="0"/>
        <w:adjustRightInd w:val="0"/>
        <w:spacing w:line="360" w:lineRule="auto"/>
        <w:ind w:firstLine="482"/>
        <w:rPr>
          <w:rFonts w:eastAsia="Times New Roman"/>
          <w:kern w:val="0"/>
          <w:sz w:val="24"/>
          <w:szCs w:val="24"/>
          <w:lang w:val="zh-CN"/>
        </w:rPr>
      </w:pPr>
      <w:r w:rsidRPr="000A5B5D">
        <w:rPr>
          <w:rFonts w:ascii="宋体" w:hAnsi="宋体" w:cs="宋体" w:hint="eastAsia"/>
          <w:kern w:val="0"/>
          <w:sz w:val="24"/>
          <w:szCs w:val="24"/>
          <w:lang w:val="zh-CN"/>
        </w:rPr>
        <w:t>经</w:t>
      </w:r>
      <w:r w:rsidRPr="000A5B5D">
        <w:rPr>
          <w:rFonts w:eastAsia="Times New Roman"/>
          <w:kern w:val="0"/>
          <w:sz w:val="24"/>
          <w:szCs w:val="24"/>
          <w:lang w:val="zh-CN"/>
        </w:rPr>
        <w:t>2011</w:t>
      </w:r>
      <w:r w:rsidRPr="000A5B5D">
        <w:rPr>
          <w:rFonts w:ascii="宋体" w:hAnsi="宋体" w:cs="宋体" w:hint="eastAsia"/>
          <w:kern w:val="0"/>
          <w:sz w:val="24"/>
          <w:szCs w:val="24"/>
          <w:lang w:val="zh-CN"/>
        </w:rPr>
        <w:t>年</w:t>
      </w:r>
      <w:r w:rsidRPr="000A5B5D">
        <w:rPr>
          <w:rFonts w:eastAsia="Times New Roman"/>
          <w:kern w:val="0"/>
          <w:sz w:val="24"/>
          <w:szCs w:val="24"/>
          <w:lang w:val="zh-CN"/>
        </w:rPr>
        <w:t>5</w:t>
      </w:r>
      <w:r w:rsidRPr="000A5B5D">
        <w:rPr>
          <w:rFonts w:ascii="宋体" w:hAnsi="宋体" w:cs="宋体" w:hint="eastAsia"/>
          <w:kern w:val="0"/>
          <w:sz w:val="24"/>
          <w:szCs w:val="24"/>
          <w:lang w:val="zh-CN"/>
        </w:rPr>
        <w:t>月</w:t>
      </w:r>
      <w:r w:rsidRPr="000A5B5D">
        <w:rPr>
          <w:rFonts w:eastAsia="Times New Roman"/>
          <w:kern w:val="0"/>
          <w:sz w:val="24"/>
          <w:szCs w:val="24"/>
          <w:lang w:val="zh-CN"/>
        </w:rPr>
        <w:t>16</w:t>
      </w:r>
      <w:r w:rsidRPr="000A5B5D">
        <w:rPr>
          <w:rFonts w:ascii="宋体" w:hAnsi="宋体" w:cs="宋体" w:hint="eastAsia"/>
          <w:kern w:val="0"/>
          <w:sz w:val="24"/>
          <w:szCs w:val="24"/>
          <w:lang w:val="zh-CN"/>
        </w:rPr>
        <w:t>日公司第八届董事会第一次会议以及</w:t>
      </w:r>
      <w:r w:rsidRPr="000A5B5D">
        <w:rPr>
          <w:rFonts w:eastAsia="Times New Roman"/>
          <w:kern w:val="0"/>
          <w:sz w:val="24"/>
          <w:szCs w:val="24"/>
          <w:lang w:val="zh-CN"/>
        </w:rPr>
        <w:t>2011</w:t>
      </w:r>
      <w:r w:rsidRPr="000A5B5D">
        <w:rPr>
          <w:rFonts w:ascii="宋体" w:hAnsi="宋体" w:cs="宋体" w:hint="eastAsia"/>
          <w:kern w:val="0"/>
          <w:sz w:val="24"/>
          <w:szCs w:val="24"/>
          <w:lang w:val="zh-CN"/>
        </w:rPr>
        <w:t>年</w:t>
      </w:r>
      <w:r w:rsidRPr="000A5B5D">
        <w:rPr>
          <w:rFonts w:eastAsia="Times New Roman"/>
          <w:kern w:val="0"/>
          <w:sz w:val="24"/>
          <w:szCs w:val="24"/>
          <w:lang w:val="zh-CN"/>
        </w:rPr>
        <w:t>6</w:t>
      </w:r>
      <w:r w:rsidRPr="000A5B5D">
        <w:rPr>
          <w:rFonts w:ascii="宋体" w:hAnsi="宋体" w:cs="宋体" w:hint="eastAsia"/>
          <w:kern w:val="0"/>
          <w:sz w:val="24"/>
          <w:szCs w:val="24"/>
          <w:lang w:val="zh-CN"/>
        </w:rPr>
        <w:t>月</w:t>
      </w:r>
      <w:r w:rsidRPr="000A5B5D">
        <w:rPr>
          <w:rFonts w:eastAsia="Times New Roman"/>
          <w:kern w:val="0"/>
          <w:sz w:val="24"/>
          <w:szCs w:val="24"/>
          <w:lang w:val="zh-CN"/>
        </w:rPr>
        <w:t>8</w:t>
      </w:r>
      <w:r w:rsidRPr="000A5B5D">
        <w:rPr>
          <w:rFonts w:ascii="宋体" w:hAnsi="宋体" w:cs="宋体" w:hint="eastAsia"/>
          <w:kern w:val="0"/>
          <w:sz w:val="24"/>
          <w:szCs w:val="24"/>
          <w:lang w:val="zh-CN"/>
        </w:rPr>
        <w:t>日公司</w:t>
      </w:r>
      <w:r w:rsidRPr="000A5B5D">
        <w:rPr>
          <w:rFonts w:eastAsia="Times New Roman"/>
          <w:kern w:val="0"/>
          <w:sz w:val="24"/>
          <w:szCs w:val="24"/>
          <w:lang w:val="zh-CN"/>
        </w:rPr>
        <w:t>2011</w:t>
      </w:r>
      <w:r w:rsidRPr="000A5B5D">
        <w:rPr>
          <w:rFonts w:ascii="宋体" w:hAnsi="宋体" w:cs="宋体" w:hint="eastAsia"/>
          <w:kern w:val="0"/>
          <w:sz w:val="24"/>
          <w:szCs w:val="24"/>
          <w:lang w:val="zh-CN"/>
        </w:rPr>
        <w:t>年第二次临时股东大会审议通过，独立董事津贴标准由每人每年</w:t>
      </w:r>
      <w:r w:rsidRPr="000A5B5D">
        <w:rPr>
          <w:rFonts w:eastAsia="Times New Roman"/>
          <w:kern w:val="0"/>
          <w:sz w:val="24"/>
          <w:szCs w:val="24"/>
          <w:lang w:val="zh-CN"/>
        </w:rPr>
        <w:t>7.2</w:t>
      </w:r>
      <w:r w:rsidRPr="000A5B5D">
        <w:rPr>
          <w:rFonts w:ascii="宋体" w:hAnsi="宋体" w:cs="宋体" w:hint="eastAsia"/>
          <w:kern w:val="0"/>
          <w:sz w:val="24"/>
          <w:szCs w:val="24"/>
          <w:lang w:val="zh-CN"/>
        </w:rPr>
        <w:t>万元（含税）调整到每人每年</w:t>
      </w:r>
      <w:r w:rsidRPr="000A5B5D">
        <w:rPr>
          <w:rFonts w:eastAsia="Times New Roman"/>
          <w:kern w:val="0"/>
          <w:sz w:val="24"/>
          <w:szCs w:val="24"/>
          <w:lang w:val="zh-CN"/>
        </w:rPr>
        <w:t>10</w:t>
      </w:r>
      <w:r w:rsidRPr="000A5B5D">
        <w:rPr>
          <w:rFonts w:ascii="宋体" w:hAnsi="宋体" w:cs="宋体" w:hint="eastAsia"/>
          <w:kern w:val="0"/>
          <w:sz w:val="24"/>
          <w:szCs w:val="24"/>
          <w:lang w:val="zh-CN"/>
        </w:rPr>
        <w:t>万元（含税），津贴按月平均发放。</w:t>
      </w:r>
    </w:p>
    <w:p w:rsidR="00BC4D56" w:rsidRPr="000A5B5D" w:rsidRDefault="00BC4D56" w:rsidP="00414E89">
      <w:pPr>
        <w:autoSpaceDE w:val="0"/>
        <w:autoSpaceDN w:val="0"/>
        <w:adjustRightInd w:val="0"/>
        <w:spacing w:before="0" w:after="0" w:line="360" w:lineRule="auto"/>
        <w:jc w:val="left"/>
        <w:rPr>
          <w:rFonts w:eastAsia="Times New Roman"/>
          <w:kern w:val="0"/>
          <w:sz w:val="24"/>
          <w:szCs w:val="24"/>
          <w:lang w:val="zh-CN"/>
        </w:rPr>
      </w:pPr>
    </w:p>
    <w:p w:rsidR="00BC4D56" w:rsidRPr="000A5B5D" w:rsidRDefault="00BC4D56" w:rsidP="00414E89">
      <w:pPr>
        <w:spacing w:line="360" w:lineRule="auto"/>
        <w:jc w:val="left"/>
        <w:rPr>
          <w:sz w:val="24"/>
          <w:szCs w:val="24"/>
        </w:rPr>
      </w:pPr>
      <w:r w:rsidRPr="000A5B5D">
        <w:rPr>
          <w:rFonts w:hint="eastAsia"/>
          <w:sz w:val="24"/>
          <w:szCs w:val="24"/>
        </w:rPr>
        <w:t>公司报告期内董事、监事和高级管理人员报酬情况</w:t>
      </w:r>
    </w:p>
    <w:p w:rsidR="00BC4D56" w:rsidRPr="000A5B5D" w:rsidRDefault="00BC4D56" w:rsidP="00414E89">
      <w:pPr>
        <w:wordWrap w:val="0"/>
        <w:spacing w:line="360" w:lineRule="auto"/>
        <w:jc w:val="right"/>
        <w:rPr>
          <w:sz w:val="24"/>
          <w:szCs w:val="24"/>
        </w:rPr>
      </w:pPr>
      <w:r w:rsidRPr="000A5B5D">
        <w:rPr>
          <w:rFonts w:hint="eastAsia"/>
          <w:sz w:val="24"/>
          <w:szCs w:val="24"/>
        </w:rPr>
        <w:t>单位：万元</w:t>
      </w:r>
      <w:r w:rsidR="00414E89" w:rsidRPr="000A5B5D">
        <w:rPr>
          <w:sz w:val="24"/>
          <w:szCs w:val="24"/>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1134"/>
        <w:gridCol w:w="1602"/>
        <w:gridCol w:w="666"/>
        <w:gridCol w:w="709"/>
        <w:gridCol w:w="851"/>
        <w:gridCol w:w="2268"/>
        <w:gridCol w:w="2341"/>
      </w:tblGrid>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姓名</w:t>
            </w:r>
          </w:p>
        </w:tc>
        <w:tc>
          <w:tcPr>
            <w:tcW w:w="16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职务</w:t>
            </w:r>
          </w:p>
        </w:tc>
        <w:tc>
          <w:tcPr>
            <w:tcW w:w="66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性别</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年龄</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任职状态</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从公司获得的税前报酬总额</w:t>
            </w:r>
          </w:p>
        </w:tc>
        <w:tc>
          <w:tcPr>
            <w:tcW w:w="234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是否在公司关联方获取报酬</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邱建林</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董事长</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离任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是</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方贤水</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董事长、总经理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94.86</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邱奕博</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副董事长、副总经理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34.1</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lastRenderedPageBreak/>
              <w:t>高勤红</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董事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11.1</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是</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朱菊珍</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董事、财务总监</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74.79</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朱军民</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董事、副总经理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57.38</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贾路桥</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独立董事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77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10</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贺强</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独立董事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64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10</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周琪</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独立董事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10</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王铁铭</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监事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52.86</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谢集辉</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监事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41.61</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蔡萍</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监事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离任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38.46</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龚艳红</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监事</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28.86</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郭丹</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副总经理、董事会秘书</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女</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57.78</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王松林</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61.09</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黄百坚</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59.92</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倪德锋</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副总经理兼投资总监</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38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57.78</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否</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陈连财</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副总经理</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49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现任</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8</w:t>
            </w:r>
          </w:p>
        </w:tc>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是</w:t>
            </w:r>
          </w:p>
        </w:tc>
      </w:tr>
      <w:tr w:rsidR="00BC4D56" w:rsidRPr="000A5B5D" w:rsidTr="00414E89">
        <w:trPr>
          <w:jc w:val="center"/>
        </w:trPr>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合计</w:t>
            </w:r>
          </w:p>
        </w:tc>
        <w:tc>
          <w:tcPr>
            <w:tcW w:w="160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szCs w:val="24"/>
              </w:rPr>
              <w:t>--</w:t>
            </w:r>
          </w:p>
        </w:tc>
        <w:tc>
          <w:tcPr>
            <w:tcW w:w="66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708.59</w:t>
            </w:r>
          </w:p>
        </w:tc>
        <w:tc>
          <w:tcPr>
            <w:tcW w:w="234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szCs w:val="24"/>
              </w:rPr>
              <w:t>--</w:t>
            </w:r>
          </w:p>
        </w:tc>
      </w:tr>
    </w:tbl>
    <w:p w:rsidR="00BC4D56" w:rsidRPr="000A5B5D" w:rsidRDefault="00BC4D56" w:rsidP="00414E89">
      <w:pPr>
        <w:spacing w:line="360" w:lineRule="auto"/>
        <w:jc w:val="left"/>
        <w:rPr>
          <w:sz w:val="24"/>
          <w:szCs w:val="24"/>
        </w:rPr>
      </w:pPr>
      <w:r w:rsidRPr="000A5B5D">
        <w:rPr>
          <w:rFonts w:hint="eastAsia"/>
          <w:sz w:val="24"/>
          <w:szCs w:val="24"/>
        </w:rPr>
        <w:t>公司董事、监事、高级管理人员报告期内被授予的股权激励情况</w:t>
      </w:r>
    </w:p>
    <w:p w:rsidR="00BC4D56" w:rsidRPr="000A5B5D" w:rsidRDefault="00BC4D56" w:rsidP="00414E89">
      <w:pPr>
        <w:spacing w:line="360" w:lineRule="auto"/>
        <w:jc w:val="right"/>
        <w:rPr>
          <w:sz w:val="24"/>
          <w:szCs w:val="24"/>
        </w:rPr>
      </w:pPr>
      <w:r w:rsidRPr="000A5B5D">
        <w:rPr>
          <w:rFonts w:hint="eastAsia"/>
          <w:sz w:val="24"/>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865"/>
        <w:gridCol w:w="869"/>
        <w:gridCol w:w="870"/>
        <w:gridCol w:w="870"/>
        <w:gridCol w:w="870"/>
        <w:gridCol w:w="869"/>
        <w:gridCol w:w="870"/>
        <w:gridCol w:w="870"/>
        <w:gridCol w:w="870"/>
        <w:gridCol w:w="870"/>
        <w:gridCol w:w="870"/>
      </w:tblGrid>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姓名</w:t>
            </w:r>
          </w:p>
        </w:tc>
        <w:tc>
          <w:tcPr>
            <w:tcW w:w="8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职务</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报告期内可行权股数</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报告期内已行权股数</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报告期内已行权股数行权价格（元</w:t>
            </w:r>
            <w:r w:rsidRPr="000A5B5D">
              <w:rPr>
                <w:szCs w:val="24"/>
              </w:rPr>
              <w:t>/</w:t>
            </w:r>
            <w:r w:rsidRPr="000A5B5D">
              <w:rPr>
                <w:rFonts w:hint="eastAsia"/>
                <w:szCs w:val="24"/>
              </w:rPr>
              <w:t>股）</w:t>
            </w:r>
          </w:p>
        </w:tc>
        <w:tc>
          <w:tcPr>
            <w:tcW w:w="8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报告期末市价（元</w:t>
            </w:r>
            <w:r w:rsidRPr="000A5B5D">
              <w:rPr>
                <w:szCs w:val="24"/>
              </w:rPr>
              <w:t>/</w:t>
            </w:r>
            <w:r w:rsidRPr="000A5B5D">
              <w:rPr>
                <w:rFonts w:hint="eastAsia"/>
                <w:szCs w:val="24"/>
              </w:rPr>
              <w:t>股）</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期初持有限制性股票数量</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本期已解锁股份数量</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报告期新授予限制性股票数量</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限制性股票的授予价格（元</w:t>
            </w:r>
            <w:r w:rsidRPr="000A5B5D">
              <w:rPr>
                <w:szCs w:val="24"/>
              </w:rPr>
              <w:t>/</w:t>
            </w:r>
            <w:r w:rsidRPr="000A5B5D">
              <w:rPr>
                <w:rFonts w:hint="eastAsia"/>
                <w:szCs w:val="24"/>
              </w:rPr>
              <w:t>股）</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期末持有限制性股票数量</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方贤水</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董事长兼总经理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3,500,000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3,500,000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邱奕博</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副董事长兼副总经理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1,000,000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朱军民</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董事兼副总经理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王松林</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董事兼副总经理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陈国斌</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子公司总经理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lastRenderedPageBreak/>
              <w:t>郭丹</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副总经理兼董事会秘书</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倪德锋</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副总经理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梅兆林</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子公司总经理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700,000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朱菊珍</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董事兼财务总监</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邱杏娟</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核心管理人员</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600,000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史树峰</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子公司总经理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方百平</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子公司总经理</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章佳丽</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核心管理人员</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王保民</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核心管理人员</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300,000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倪柏仁</w:t>
            </w: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hint="eastAsia"/>
                <w:szCs w:val="24"/>
              </w:rPr>
              <w:t>核心管理人员</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200,000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5.35</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200,000</w:t>
            </w:r>
          </w:p>
        </w:tc>
      </w:tr>
      <w:tr w:rsidR="00BC4D56" w:rsidRPr="000A5B5D">
        <w:tc>
          <w:tcPr>
            <w:tcW w:w="86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合计</w:t>
            </w:r>
          </w:p>
        </w:tc>
        <w:tc>
          <w:tcPr>
            <w:tcW w:w="8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6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11,700,000</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szCs w:val="24"/>
              </w:rPr>
              <w:t>--</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right"/>
              <w:rPr>
                <w:szCs w:val="24"/>
              </w:rPr>
            </w:pPr>
            <w:r w:rsidRPr="000A5B5D">
              <w:rPr>
                <w:szCs w:val="24"/>
              </w:rPr>
              <w:t>11,700,000</w:t>
            </w:r>
          </w:p>
        </w:tc>
      </w:tr>
    </w:tbl>
    <w:p w:rsidR="00BC4D56" w:rsidRPr="000A5B5D" w:rsidRDefault="00BC4D56" w:rsidP="00414E89">
      <w:pPr>
        <w:pStyle w:val="Chapter"/>
        <w:spacing w:line="360" w:lineRule="auto"/>
        <w:outlineLvl w:val="1"/>
        <w:rPr>
          <w:bCs w:val="0"/>
        </w:rPr>
      </w:pPr>
      <w:r w:rsidRPr="000A5B5D">
        <w:rPr>
          <w:rFonts w:hint="eastAsia"/>
          <w:bCs w:val="0"/>
        </w:rPr>
        <w:t>五、公司员工情况</w:t>
      </w:r>
    </w:p>
    <w:p w:rsidR="00BC4D56" w:rsidRPr="000A5B5D" w:rsidRDefault="00BC4D56" w:rsidP="00414E89">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、员工数量、专业构成及教育程度</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母公司在职员工的数量（人）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16</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主要子公司在职员工的数量（人）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6,818</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在职员工的数量合计（人）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7,580</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当期领取薪酬员工总人数（人）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2379A5" w:rsidP="00414E89">
            <w:pPr>
              <w:spacing w:line="360" w:lineRule="auto"/>
              <w:jc w:val="center"/>
              <w:rPr>
                <w:sz w:val="24"/>
                <w:szCs w:val="24"/>
              </w:rPr>
            </w:pPr>
            <w:r w:rsidRPr="000A5B5D">
              <w:rPr>
                <w:sz w:val="24"/>
                <w:szCs w:val="24"/>
              </w:rPr>
              <w:t>7,583</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母公司及主要子公司需承担费用的离退休职工人数（人）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81</w:t>
            </w:r>
          </w:p>
        </w:tc>
      </w:tr>
      <w:tr w:rsidR="00BC4D56" w:rsidRPr="000A5B5D" w:rsidTr="00414E89">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专业构成</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专业构成类别</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专业构成人数（人）</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lastRenderedPageBreak/>
              <w:t>生产人员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6,287</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销售人员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135</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技术人员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517</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财务人员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91</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行政人员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550</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414E89">
            <w:pPr>
              <w:spacing w:line="360" w:lineRule="auto"/>
              <w:jc w:val="center"/>
              <w:rPr>
                <w:sz w:val="24"/>
                <w:szCs w:val="24"/>
              </w:rPr>
            </w:pPr>
            <w:r w:rsidRPr="000A5B5D">
              <w:rPr>
                <w:sz w:val="24"/>
                <w:szCs w:val="24"/>
              </w:rPr>
              <w:t>7,580</w:t>
            </w:r>
          </w:p>
        </w:tc>
      </w:tr>
      <w:tr w:rsidR="00BC4D56" w:rsidRPr="000A5B5D" w:rsidTr="00414E89">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教育程度</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教育程度类别</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数量（人）</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本科及以上学历</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701</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大专学历</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1,217</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高中、中专学历</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1,011</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rFonts w:hint="eastAsia"/>
                <w:sz w:val="24"/>
                <w:szCs w:val="24"/>
              </w:rPr>
              <w:t>其他学历</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spacing w:line="360" w:lineRule="auto"/>
              <w:jc w:val="center"/>
              <w:rPr>
                <w:sz w:val="24"/>
                <w:szCs w:val="24"/>
              </w:rPr>
            </w:pPr>
            <w:r w:rsidRPr="000A5B5D">
              <w:rPr>
                <w:sz w:val="24"/>
                <w:szCs w:val="24"/>
              </w:rPr>
              <w:t>4,651</w:t>
            </w:r>
          </w:p>
        </w:tc>
      </w:tr>
      <w:tr w:rsidR="00BC4D56" w:rsidRPr="000A5B5D" w:rsidTr="00414E89">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spacing w:line="360" w:lineRule="auto"/>
              <w:jc w:val="center"/>
              <w:rPr>
                <w:sz w:val="24"/>
                <w:szCs w:val="24"/>
              </w:rPr>
            </w:pPr>
            <w:r w:rsidRPr="000A5B5D">
              <w:rPr>
                <w:rFonts w:hint="eastAsia"/>
                <w:sz w:val="24"/>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rsidR="00BC4D56" w:rsidRPr="000A5B5D" w:rsidRDefault="00BC4D56" w:rsidP="00414E89">
            <w:pPr>
              <w:spacing w:line="360" w:lineRule="auto"/>
              <w:jc w:val="center"/>
              <w:rPr>
                <w:sz w:val="24"/>
                <w:szCs w:val="24"/>
              </w:rPr>
            </w:pPr>
            <w:r w:rsidRPr="000A5B5D">
              <w:rPr>
                <w:sz w:val="24"/>
                <w:szCs w:val="24"/>
              </w:rPr>
              <w:t>7,580</w:t>
            </w:r>
          </w:p>
        </w:tc>
      </w:tr>
    </w:tbl>
    <w:p w:rsidR="00BC4D56" w:rsidRPr="000A5B5D" w:rsidRDefault="00BC4D56" w:rsidP="00414E89">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、薪酬政策</w:t>
      </w:r>
    </w:p>
    <w:p w:rsidR="00BC4D56" w:rsidRPr="000A5B5D" w:rsidRDefault="00BC4D56" w:rsidP="00414E89">
      <w:pPr>
        <w:autoSpaceDE w:val="0"/>
        <w:autoSpaceDN w:val="0"/>
        <w:adjustRightInd w:val="0"/>
        <w:spacing w:line="360" w:lineRule="auto"/>
        <w:ind w:firstLine="600"/>
        <w:jc w:val="left"/>
        <w:rPr>
          <w:rFonts w:eastAsia="Times New Roman"/>
          <w:kern w:val="0"/>
          <w:sz w:val="24"/>
          <w:szCs w:val="24"/>
          <w:lang w:val="zh-CN"/>
        </w:rPr>
      </w:pPr>
      <w:r w:rsidRPr="000A5B5D">
        <w:rPr>
          <w:rFonts w:ascii="宋体" w:hAnsi="宋体" w:cs="宋体" w:hint="eastAsia"/>
          <w:kern w:val="0"/>
          <w:sz w:val="24"/>
          <w:szCs w:val="24"/>
          <w:lang w:val="zh-CN"/>
        </w:rPr>
        <w:t>公司实行劳动合同制，按照《劳动法》、《劳动合同法》以及相关劳动法律法规的规定，全员签订劳动合同。公司严格执行国家用工制度、劳动保护制度、社会保障制度，按照国家规定为员工缴纳社会保险，设置相应的安全保障措施，给员工创造良好、安全的生产环境。针对公司财务人员，行政人员，技术人员，生产人员和销售人员制定有效的薪酬激励体系，并根据公司、部门及个人的业绩考核，给予相应的绩效奖励。</w:t>
      </w:r>
    </w:p>
    <w:p w:rsidR="00BC4D56" w:rsidRPr="000A5B5D" w:rsidRDefault="00BC4D56" w:rsidP="00414E89">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、培训计划</w:t>
      </w:r>
    </w:p>
    <w:p w:rsidR="00BC4D56" w:rsidRPr="000A5B5D" w:rsidRDefault="00BC4D56" w:rsidP="00414E89">
      <w:pPr>
        <w:autoSpaceDE w:val="0"/>
        <w:autoSpaceDN w:val="0"/>
        <w:adjustRightInd w:val="0"/>
        <w:spacing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根据生产经营及人才培训需要，针对不同类别的员工制定培训计划，按计划组织企业内部培训和送外培训，尤其注重岗位技能培训，对特殊岗位和危险化学品操作人员等做到持证上岗，确保生产安全，经营运作正常。公司还通过有针对性的培训培养技术、业务骨干，使其业务能力得到提升。</w:t>
      </w:r>
    </w:p>
    <w:p w:rsidR="00BC4D56" w:rsidRPr="000A5B5D" w:rsidRDefault="00BC4D56" w:rsidP="00414E89">
      <w:pPr>
        <w:pStyle w:val="Section"/>
        <w:spacing w:line="360" w:lineRule="auto"/>
        <w:outlineLvl w:val="2"/>
        <w:rPr>
          <w:bCs w:val="0"/>
          <w:sz w:val="24"/>
          <w:szCs w:val="24"/>
        </w:rPr>
      </w:pPr>
      <w:r w:rsidRPr="000A5B5D">
        <w:rPr>
          <w:bCs w:val="0"/>
          <w:sz w:val="24"/>
          <w:szCs w:val="24"/>
        </w:rPr>
        <w:lastRenderedPageBreak/>
        <w:t>4</w:t>
      </w:r>
      <w:r w:rsidRPr="000A5B5D">
        <w:rPr>
          <w:rFonts w:hint="eastAsia"/>
          <w:bCs w:val="0"/>
          <w:sz w:val="24"/>
          <w:szCs w:val="24"/>
        </w:rPr>
        <w:t>、劳务外包情况</w:t>
      </w:r>
    </w:p>
    <w:p w:rsidR="00BC4D56" w:rsidRPr="000A5B5D" w:rsidRDefault="00BC4D56" w:rsidP="00414E89">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414E89">
      <w:pPr>
        <w:spacing w:line="360" w:lineRule="auto"/>
        <w:jc w:val="left"/>
        <w:rPr>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10" w:name="_Toc449101533"/>
      <w:r w:rsidRPr="000A5B5D">
        <w:rPr>
          <w:rFonts w:hint="eastAsia"/>
          <w:bCs w:val="0"/>
          <w:szCs w:val="24"/>
        </w:rPr>
        <w:lastRenderedPageBreak/>
        <w:t>第九节</w:t>
      </w:r>
      <w:r w:rsidRPr="000A5B5D">
        <w:rPr>
          <w:bCs w:val="0"/>
          <w:szCs w:val="24"/>
        </w:rPr>
        <w:t xml:space="preserve"> </w:t>
      </w:r>
      <w:r w:rsidRPr="000A5B5D">
        <w:rPr>
          <w:rFonts w:hint="eastAsia"/>
          <w:bCs w:val="0"/>
          <w:szCs w:val="24"/>
        </w:rPr>
        <w:t>公司治理</w:t>
      </w:r>
      <w:bookmarkEnd w:id="10"/>
    </w:p>
    <w:p w:rsidR="00BC4D56" w:rsidRPr="000A5B5D" w:rsidRDefault="00BC4D56" w:rsidP="00414E89">
      <w:pPr>
        <w:pStyle w:val="Chapter"/>
        <w:spacing w:line="360" w:lineRule="auto"/>
        <w:outlineLvl w:val="1"/>
        <w:rPr>
          <w:bCs w:val="0"/>
        </w:rPr>
      </w:pPr>
      <w:r w:rsidRPr="000A5B5D">
        <w:rPr>
          <w:rFonts w:hint="eastAsia"/>
          <w:bCs w:val="0"/>
        </w:rPr>
        <w:t>一、公司治理的基本状况</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报告期内，公司严格按照《公司法》、《证券法》、《上市公司治理准则》、《深圳证券交易所股票上市规则》和中国证监会有关其他规范性文件等的要求，不断地完善公司法人治理结构，建立健全内部管理和控制制度，规范公司运作。公司内控体系日益健全，治理水平的规范化程度持续提高。</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1</w:t>
      </w:r>
      <w:r w:rsidRPr="000A5B5D">
        <w:rPr>
          <w:rFonts w:ascii="宋体" w:hAnsi="宋体" w:cs="宋体" w:hint="eastAsia"/>
          <w:kern w:val="0"/>
          <w:sz w:val="24"/>
          <w:szCs w:val="24"/>
          <w:lang w:val="zh-CN"/>
        </w:rPr>
        <w:t>、关于股东与股东大会</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报告期内，公司召开了十二次股东大会，会议的召集、召开、表决程序严格遵照《上市公司股东大会规则》和公司章程、公司《股东大会议事规则》等的规定和要求。公司平等对待全体股东，按照相关规定通过提供网络投票方式，提高了中小股东参与股东大会的便利性，保证了中小股东能充分行使其权利。公司报告期内的股东大会均由董事会召集召开，并聘请律师进行现场见证，保证会议召集、召开和表决程序的合法性，维护了公司和股东的合法权益。</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、关于公司与控股股东</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与控股股东在业务、人员、资产、机构、财务等方面完全分开，具有独立完整的业务及自主经营能力。公司董事会、监事会和内部机构独立运作。公司控股股东能严格规范自己的行为，未出现越过公司股东大会直接或间接干预公司决策和经营活动的行为。</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3</w:t>
      </w:r>
      <w:r w:rsidRPr="000A5B5D">
        <w:rPr>
          <w:rFonts w:ascii="宋体" w:hAnsi="宋体" w:cs="宋体" w:hint="eastAsia"/>
          <w:kern w:val="0"/>
          <w:sz w:val="24"/>
          <w:szCs w:val="24"/>
          <w:lang w:val="zh-CN"/>
        </w:rPr>
        <w:t>、关于董事与董事会</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严格按照《公司法》、公司章程规定的选聘程序选举董事，公司董事会人数和人员构成符合法律、法规的要求，公司全体董事能够以认真负责的态度出席董事会和股东大会，从公司和全体股东的利益出发，忠实履行职责，积极参加有关培训，学习有关法律法规，促进董事会规范运作和科学决策。公司独立董事能按照相应规章制度，不受公司实际控制人、其他与公司存在利害关系的单位、人员的影响，独立地履行职责。</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报告期内，公司董事会会议程序符合规定，会议记录完整、真实，会议相关信息披露及时、准确、充分。公司董事会下设了提名委员会、薪酬与考核委员会、审计委员会及战略委员会四个专门委员会，在促进公司规范运作、健康发展等方面发挥了重要的作用。</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4</w:t>
      </w:r>
      <w:r w:rsidRPr="000A5B5D">
        <w:rPr>
          <w:rFonts w:ascii="宋体" w:hAnsi="宋体" w:cs="宋体" w:hint="eastAsia"/>
          <w:kern w:val="0"/>
          <w:sz w:val="24"/>
          <w:szCs w:val="24"/>
          <w:lang w:val="zh-CN"/>
        </w:rPr>
        <w:t>、关于监事与监事会</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lastRenderedPageBreak/>
        <w:t>公司监事会由三名监事组成，其中一名为职工代表监事，公司监事会的人数与人员符合法律法规与公司章程的要求。公司全体监事能够按照公司《监事会议事规则》等相关规定的要求，认真履行职责，出席股东大会、列席现场董事会、按规定程序召开监事会，勤勉、尽责地对公司财务以及董事、高级管理人员履行职责的合法、合规性进行监督，维护公司及股东的合法权益。</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5</w:t>
      </w:r>
      <w:r w:rsidRPr="000A5B5D">
        <w:rPr>
          <w:rFonts w:ascii="宋体" w:hAnsi="宋体" w:cs="宋体" w:hint="eastAsia"/>
          <w:kern w:val="0"/>
          <w:sz w:val="24"/>
          <w:szCs w:val="24"/>
          <w:lang w:val="zh-CN"/>
        </w:rPr>
        <w:t>、关于相关利益者</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公司充分尊重和维护相关利益者的合法权益，实现客户、供应商、员工、股东等相关利益者的共赢，共同推动公司持续、稳健发展。</w:t>
      </w:r>
    </w:p>
    <w:p w:rsidR="00BC4D56" w:rsidRPr="000A5B5D" w:rsidRDefault="00BC4D56" w:rsidP="00414E89">
      <w:pPr>
        <w:autoSpaceDE w:val="0"/>
        <w:autoSpaceDN w:val="0"/>
        <w:adjustRightInd w:val="0"/>
        <w:spacing w:before="0" w:after="0" w:line="360" w:lineRule="auto"/>
        <w:rPr>
          <w:rFonts w:eastAsia="Times New Roman"/>
          <w:kern w:val="0"/>
          <w:sz w:val="24"/>
          <w:szCs w:val="24"/>
          <w:lang w:val="zh-CN"/>
        </w:rPr>
      </w:pPr>
      <w:r w:rsidRPr="000A5B5D">
        <w:rPr>
          <w:rFonts w:eastAsia="Times New Roman"/>
          <w:kern w:val="0"/>
          <w:sz w:val="24"/>
          <w:szCs w:val="24"/>
          <w:lang w:val="zh-CN"/>
        </w:rPr>
        <w:t>6</w:t>
      </w:r>
      <w:r w:rsidRPr="000A5B5D">
        <w:rPr>
          <w:rFonts w:ascii="宋体" w:hAnsi="宋体" w:cs="宋体" w:hint="eastAsia"/>
          <w:kern w:val="0"/>
          <w:sz w:val="24"/>
          <w:szCs w:val="24"/>
          <w:lang w:val="zh-CN"/>
        </w:rPr>
        <w:t>、关于信息披露与透明度</w:t>
      </w:r>
    </w:p>
    <w:p w:rsidR="00BC4D56" w:rsidRPr="000A5B5D" w:rsidRDefault="00BC4D56" w:rsidP="00414E89">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严格按照有关法律、法规以及《信息披露管理制度》、《投资者关系管理制度》等的要求，认真履行信息披露义务，真实、准确、完整、及时地披露公司的经营管理情况和对公司产生重大影响的事项，协调公司与投资者的关系，接待投资者来访，回答投资者咨询。公司指定信息披露媒体《证券时报》、《中国证券报》、《上海证券报》、《证券日报》和巨潮资讯网（</w:t>
      </w:r>
      <w:r w:rsidRPr="000A5B5D">
        <w:rPr>
          <w:rFonts w:eastAsia="Times New Roman"/>
          <w:kern w:val="0"/>
          <w:sz w:val="24"/>
          <w:szCs w:val="24"/>
          <w:lang w:val="zh-CN"/>
        </w:rPr>
        <w:t>http://www.cninfo.com.cn</w:t>
      </w:r>
      <w:r w:rsidRPr="000A5B5D">
        <w:rPr>
          <w:rFonts w:ascii="宋体" w:hAnsi="宋体" w:cs="宋体" w:hint="eastAsia"/>
          <w:kern w:val="0"/>
          <w:sz w:val="24"/>
          <w:szCs w:val="24"/>
          <w:lang w:val="zh-CN"/>
        </w:rPr>
        <w:t>）作为公司信息披露的指定报纸和网站。</w:t>
      </w:r>
    </w:p>
    <w:p w:rsidR="00BC4D56" w:rsidRPr="000A5B5D" w:rsidRDefault="00BC4D56" w:rsidP="00414E89">
      <w:pPr>
        <w:spacing w:line="360" w:lineRule="auto"/>
        <w:jc w:val="left"/>
        <w:rPr>
          <w:sz w:val="24"/>
          <w:szCs w:val="24"/>
        </w:rPr>
      </w:pPr>
      <w:r w:rsidRPr="000A5B5D">
        <w:rPr>
          <w:rFonts w:hint="eastAsia"/>
          <w:sz w:val="24"/>
          <w:szCs w:val="24"/>
        </w:rPr>
        <w:t>公司治理的实际状况与中国证监会发布的有关上市公司治理的规范性文件是否存在重大差异</w:t>
      </w:r>
    </w:p>
    <w:p w:rsidR="00BC4D56" w:rsidRPr="000A5B5D" w:rsidRDefault="00BC4D56" w:rsidP="00414E89">
      <w:pPr>
        <w:spacing w:line="360" w:lineRule="auto"/>
        <w:ind w:firstLineChars="200" w:firstLine="480"/>
        <w:jc w:val="left"/>
        <w:rPr>
          <w:sz w:val="24"/>
          <w:szCs w:val="24"/>
        </w:rPr>
      </w:pPr>
      <w:r w:rsidRPr="000A5B5D">
        <w:rPr>
          <w:rFonts w:hint="eastAsia"/>
          <w:sz w:val="24"/>
          <w:szCs w:val="24"/>
        </w:rPr>
        <w:t>公司治理的实际状况与中国证监会发布的有关上市公司治理的规范性文件不存在重大差异。</w:t>
      </w:r>
    </w:p>
    <w:p w:rsidR="00BC4D56" w:rsidRPr="000A5B5D" w:rsidRDefault="00BC4D56" w:rsidP="00414E89">
      <w:pPr>
        <w:pStyle w:val="Chapter"/>
        <w:spacing w:line="360" w:lineRule="auto"/>
        <w:outlineLvl w:val="1"/>
        <w:rPr>
          <w:bCs w:val="0"/>
        </w:rPr>
      </w:pPr>
      <w:r w:rsidRPr="000A5B5D">
        <w:rPr>
          <w:rFonts w:hint="eastAsia"/>
          <w:bCs w:val="0"/>
        </w:rPr>
        <w:t>二、公司相对于控股股东在业务、人员、资产、机构、财务等方面的独立情况</w:t>
      </w:r>
    </w:p>
    <w:p w:rsidR="00BC4D56" w:rsidRPr="000A5B5D" w:rsidRDefault="00BC4D56" w:rsidP="00414E89">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t>公司严格按照《公司法》和公司章程规范运作，建立健全公司的法人治理结构，与控股股东在业务、人员、资产、机构、财务等方面完全分开，具有独立完整的业务及自主经营能力。</w:t>
      </w:r>
    </w:p>
    <w:p w:rsidR="00BC4D56" w:rsidRPr="000A5B5D" w:rsidRDefault="00BC4D56" w:rsidP="00414E89">
      <w:pPr>
        <w:pStyle w:val="Chapter"/>
        <w:spacing w:line="360" w:lineRule="auto"/>
        <w:outlineLvl w:val="1"/>
        <w:rPr>
          <w:bCs w:val="0"/>
        </w:rPr>
      </w:pPr>
      <w:r w:rsidRPr="000A5B5D">
        <w:rPr>
          <w:rFonts w:hint="eastAsia"/>
          <w:bCs w:val="0"/>
        </w:rPr>
        <w:t>三、同业竞争情况</w:t>
      </w:r>
    </w:p>
    <w:p w:rsidR="00BC4D56" w:rsidRPr="000A5B5D" w:rsidRDefault="00BC4D56" w:rsidP="00414E89">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414E89">
      <w:pPr>
        <w:pStyle w:val="Chapter"/>
        <w:spacing w:line="360" w:lineRule="auto"/>
        <w:outlineLvl w:val="1"/>
        <w:rPr>
          <w:bCs w:val="0"/>
        </w:rPr>
      </w:pPr>
      <w:r w:rsidRPr="000A5B5D">
        <w:rPr>
          <w:rFonts w:hint="eastAsia"/>
          <w:bCs w:val="0"/>
        </w:rPr>
        <w:lastRenderedPageBreak/>
        <w:t>四、报告期内召开的年度股东大会和临时股东大会的有关情况</w:t>
      </w:r>
    </w:p>
    <w:p w:rsidR="00BC4D56" w:rsidRPr="000A5B5D" w:rsidRDefault="00BC4D56" w:rsidP="00414E89">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、本报告期股东大会情况</w:t>
      </w:r>
    </w:p>
    <w:tbl>
      <w:tblPr>
        <w:tblW w:w="0" w:type="auto"/>
        <w:jc w:val="center"/>
        <w:tblLayout w:type="fixed"/>
        <w:tblCellMar>
          <w:left w:w="28" w:type="dxa"/>
          <w:right w:w="28" w:type="dxa"/>
        </w:tblCellMar>
        <w:tblLook w:val="0000" w:firstRow="0" w:lastRow="0" w:firstColumn="0" w:lastColumn="0" w:noHBand="0" w:noVBand="0"/>
      </w:tblPr>
      <w:tblGrid>
        <w:gridCol w:w="1596"/>
        <w:gridCol w:w="1239"/>
        <w:gridCol w:w="1560"/>
        <w:gridCol w:w="1275"/>
        <w:gridCol w:w="1276"/>
        <w:gridCol w:w="2620"/>
      </w:tblGrid>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会议届次</w:t>
            </w:r>
          </w:p>
        </w:tc>
        <w:tc>
          <w:tcPr>
            <w:tcW w:w="1239"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会议类型</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投资者参与比例</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召开日期</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披露日期</w:t>
            </w:r>
          </w:p>
        </w:tc>
        <w:tc>
          <w:tcPr>
            <w:tcW w:w="2620"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414E89">
            <w:pPr>
              <w:jc w:val="center"/>
              <w:rPr>
                <w:szCs w:val="24"/>
              </w:rPr>
            </w:pPr>
            <w:r w:rsidRPr="000A5B5D">
              <w:rPr>
                <w:rFonts w:hint="eastAsia"/>
                <w:szCs w:val="24"/>
              </w:rPr>
              <w:t>披露索引</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年第一次临时股东大会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26</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01</w:t>
            </w:r>
            <w:r w:rsidRPr="000A5B5D">
              <w:rPr>
                <w:rFonts w:hint="eastAsia"/>
                <w:szCs w:val="24"/>
              </w:rPr>
              <w:t>月</w:t>
            </w:r>
            <w:r w:rsidRPr="000A5B5D">
              <w:rPr>
                <w:szCs w:val="24"/>
              </w:rPr>
              <w:t>27</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年第一次临时股东大会决议公告》（公告编号：</w:t>
            </w:r>
            <w:r w:rsidRPr="000A5B5D">
              <w:rPr>
                <w:szCs w:val="24"/>
              </w:rPr>
              <w:t>2015-007</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恒逸石化</w:t>
            </w:r>
            <w:r w:rsidRPr="000A5B5D">
              <w:rPr>
                <w:szCs w:val="24"/>
              </w:rPr>
              <w:t>2014</w:t>
            </w:r>
            <w:r w:rsidRPr="000A5B5D">
              <w:rPr>
                <w:rFonts w:hint="eastAsia"/>
                <w:szCs w:val="24"/>
              </w:rPr>
              <w:t>年度股东大会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年度股东大会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17</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18</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2014</w:t>
            </w:r>
            <w:r w:rsidRPr="000A5B5D">
              <w:rPr>
                <w:rFonts w:hint="eastAsia"/>
                <w:szCs w:val="24"/>
              </w:rPr>
              <w:t>年度股东大会决议公告》（公告编号：</w:t>
            </w:r>
            <w:r w:rsidRPr="000A5B5D">
              <w:rPr>
                <w:szCs w:val="24"/>
              </w:rPr>
              <w:t>2015-025</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年第二次临时股东大会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27</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04</w:t>
            </w:r>
            <w:r w:rsidRPr="000A5B5D">
              <w:rPr>
                <w:rFonts w:hint="eastAsia"/>
                <w:szCs w:val="24"/>
              </w:rPr>
              <w:t>月</w:t>
            </w:r>
            <w:r w:rsidRPr="000A5B5D">
              <w:rPr>
                <w:szCs w:val="24"/>
              </w:rPr>
              <w:t>28</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年第二次临时股东大会决议公告》（公告编号：</w:t>
            </w:r>
            <w:r w:rsidRPr="000A5B5D">
              <w:rPr>
                <w:szCs w:val="24"/>
              </w:rPr>
              <w:t>2015-027</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年第三次临时股东大会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15</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05</w:t>
            </w:r>
            <w:r w:rsidRPr="000A5B5D">
              <w:rPr>
                <w:rFonts w:hint="eastAsia"/>
                <w:szCs w:val="24"/>
              </w:rPr>
              <w:t>月</w:t>
            </w:r>
            <w:r w:rsidRPr="000A5B5D">
              <w:rPr>
                <w:szCs w:val="24"/>
              </w:rPr>
              <w:t>16</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年第三次临时股东大会决议公告》（公告编号：</w:t>
            </w:r>
            <w:r w:rsidRPr="000A5B5D">
              <w:rPr>
                <w:szCs w:val="24"/>
              </w:rPr>
              <w:t>2015-033</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年第四次临时股东大会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07</w:t>
            </w:r>
            <w:r w:rsidRPr="000A5B5D">
              <w:rPr>
                <w:rFonts w:hint="eastAsia"/>
                <w:szCs w:val="24"/>
              </w:rPr>
              <w:t>月</w:t>
            </w:r>
            <w:r w:rsidRPr="000A5B5D">
              <w:rPr>
                <w:szCs w:val="24"/>
              </w:rPr>
              <w:t>10</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07</w:t>
            </w:r>
            <w:r w:rsidRPr="000A5B5D">
              <w:rPr>
                <w:rFonts w:hint="eastAsia"/>
                <w:szCs w:val="24"/>
              </w:rPr>
              <w:t>月</w:t>
            </w:r>
            <w:r w:rsidRPr="000A5B5D">
              <w:rPr>
                <w:szCs w:val="24"/>
              </w:rPr>
              <w:t>11</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年第四次临时股东大会决议公告》（公告编号：</w:t>
            </w:r>
            <w:r w:rsidRPr="000A5B5D">
              <w:rPr>
                <w:szCs w:val="24"/>
              </w:rPr>
              <w:t>2015-044</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年第五次临时股东大会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0.13%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21</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08</w:t>
            </w:r>
            <w:r w:rsidRPr="000A5B5D">
              <w:rPr>
                <w:rFonts w:hint="eastAsia"/>
                <w:szCs w:val="24"/>
              </w:rPr>
              <w:t>月</w:t>
            </w:r>
            <w:r w:rsidRPr="000A5B5D">
              <w:rPr>
                <w:szCs w:val="24"/>
              </w:rPr>
              <w:t>22</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年第五次临时股东大会决议公告》（公告编号：</w:t>
            </w:r>
            <w:r w:rsidRPr="000A5B5D">
              <w:rPr>
                <w:szCs w:val="24"/>
              </w:rPr>
              <w:t>2015-053</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年第六次临时股东大会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24</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09</w:t>
            </w:r>
            <w:r w:rsidRPr="000A5B5D">
              <w:rPr>
                <w:rFonts w:hint="eastAsia"/>
                <w:szCs w:val="24"/>
              </w:rPr>
              <w:t>月</w:t>
            </w:r>
            <w:r w:rsidRPr="000A5B5D">
              <w:rPr>
                <w:szCs w:val="24"/>
              </w:rPr>
              <w:t>25</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年第六次临时股东大会决议公告》（公告编号：</w:t>
            </w:r>
            <w:r w:rsidRPr="000A5B5D">
              <w:rPr>
                <w:szCs w:val="24"/>
              </w:rPr>
              <w:t>2015-066</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年第七次临时股东大会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04</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05</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rFonts w:hint="eastAsia"/>
                <w:szCs w:val="24"/>
              </w:rPr>
              <w:lastRenderedPageBreak/>
              <w:t>《</w:t>
            </w:r>
            <w:r w:rsidRPr="000A5B5D">
              <w:rPr>
                <w:szCs w:val="24"/>
              </w:rPr>
              <w:t xml:space="preserve"> 2015</w:t>
            </w:r>
            <w:r w:rsidRPr="000A5B5D">
              <w:rPr>
                <w:rFonts w:hint="eastAsia"/>
                <w:szCs w:val="24"/>
              </w:rPr>
              <w:t>年第七次临时股东大会决议公告》（公告编号：</w:t>
            </w:r>
            <w:r w:rsidRPr="000A5B5D">
              <w:rPr>
                <w:szCs w:val="24"/>
              </w:rPr>
              <w:t>2015-080</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lastRenderedPageBreak/>
              <w:t>2015</w:t>
            </w:r>
            <w:r w:rsidRPr="000A5B5D">
              <w:rPr>
                <w:rFonts w:hint="eastAsia"/>
                <w:szCs w:val="24"/>
              </w:rPr>
              <w:t>年第八次临时股东大会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11</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12</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年第八次临时股东大会决议公告》（公告编号：</w:t>
            </w:r>
            <w:r w:rsidRPr="000A5B5D">
              <w:rPr>
                <w:szCs w:val="24"/>
              </w:rPr>
              <w:t>2015-092</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年第九次临时股东大会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26</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11</w:t>
            </w:r>
            <w:r w:rsidRPr="000A5B5D">
              <w:rPr>
                <w:rFonts w:hint="eastAsia"/>
                <w:szCs w:val="24"/>
              </w:rPr>
              <w:t>月</w:t>
            </w:r>
            <w:r w:rsidRPr="000A5B5D">
              <w:rPr>
                <w:szCs w:val="24"/>
              </w:rPr>
              <w:t>27</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年第九次临时股东大会决议公告》（公告编号：</w:t>
            </w:r>
            <w:r w:rsidRPr="000A5B5D">
              <w:rPr>
                <w:szCs w:val="24"/>
              </w:rPr>
              <w:t>2015-095</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年第十次临时股东大会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21</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22</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年第十次临时股东大会决议公告》（公告编号：</w:t>
            </w:r>
            <w:r w:rsidRPr="000A5B5D">
              <w:rPr>
                <w:szCs w:val="24"/>
              </w:rPr>
              <w:t>2015-108</w:t>
            </w:r>
            <w:r w:rsidRPr="000A5B5D">
              <w:rPr>
                <w:rFonts w:hint="eastAsia"/>
                <w:szCs w:val="24"/>
              </w:rPr>
              <w:t>）</w:t>
            </w:r>
          </w:p>
        </w:tc>
      </w:tr>
      <w:tr w:rsidR="00BC4D56" w:rsidRPr="000A5B5D" w:rsidTr="00414E89">
        <w:trPr>
          <w:jc w:val="center"/>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年第十一次临时股东大会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rFonts w:hint="eastAsia"/>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0.01%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25</w:t>
            </w:r>
            <w:r w:rsidRPr="000A5B5D">
              <w:rPr>
                <w:rFonts w:hint="eastAsia"/>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center"/>
              <w:rPr>
                <w:szCs w:val="24"/>
              </w:rPr>
            </w:pPr>
            <w:r w:rsidRPr="000A5B5D">
              <w:rPr>
                <w:szCs w:val="24"/>
              </w:rPr>
              <w:t>2015</w:t>
            </w:r>
            <w:r w:rsidRPr="000A5B5D">
              <w:rPr>
                <w:rFonts w:hint="eastAsia"/>
                <w:szCs w:val="24"/>
              </w:rPr>
              <w:t>年</w:t>
            </w:r>
            <w:r w:rsidRPr="000A5B5D">
              <w:rPr>
                <w:szCs w:val="24"/>
              </w:rPr>
              <w:t>12</w:t>
            </w:r>
            <w:r w:rsidRPr="000A5B5D">
              <w:rPr>
                <w:rFonts w:hint="eastAsia"/>
                <w:szCs w:val="24"/>
              </w:rPr>
              <w:t>月</w:t>
            </w:r>
            <w:r w:rsidRPr="000A5B5D">
              <w:rPr>
                <w:szCs w:val="24"/>
              </w:rPr>
              <w:t>26</w:t>
            </w:r>
            <w:r w:rsidRPr="000A5B5D">
              <w:rPr>
                <w:rFonts w:hint="eastAsia"/>
                <w:szCs w:val="24"/>
              </w:rPr>
              <w:t>日</w:t>
            </w:r>
          </w:p>
        </w:tc>
        <w:tc>
          <w:tcPr>
            <w:tcW w:w="2620"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414E89">
            <w:pPr>
              <w:jc w:val="left"/>
              <w:rPr>
                <w:szCs w:val="24"/>
              </w:rPr>
            </w:pPr>
            <w:r w:rsidRPr="000A5B5D">
              <w:rPr>
                <w:rFonts w:hint="eastAsia"/>
                <w:szCs w:val="24"/>
              </w:rPr>
              <w:t>巨潮资讯网（</w:t>
            </w:r>
            <w:r w:rsidRPr="000A5B5D">
              <w:rPr>
                <w:szCs w:val="24"/>
              </w:rPr>
              <w:t xml:space="preserve">www.cninfo.com.cn </w:t>
            </w:r>
            <w:r w:rsidRPr="000A5B5D">
              <w:rPr>
                <w:rFonts w:hint="eastAsia"/>
                <w:szCs w:val="24"/>
              </w:rPr>
              <w:t>）上的《</w:t>
            </w:r>
            <w:r w:rsidRPr="000A5B5D">
              <w:rPr>
                <w:szCs w:val="24"/>
              </w:rPr>
              <w:t xml:space="preserve"> 2015</w:t>
            </w:r>
            <w:r w:rsidRPr="000A5B5D">
              <w:rPr>
                <w:rFonts w:hint="eastAsia"/>
                <w:szCs w:val="24"/>
              </w:rPr>
              <w:t>年第十一次临时股东大会决议公告》（公告编号：</w:t>
            </w:r>
            <w:r w:rsidRPr="000A5B5D">
              <w:rPr>
                <w:szCs w:val="24"/>
              </w:rPr>
              <w:t>2015-109</w:t>
            </w:r>
            <w:r w:rsidRPr="000A5B5D">
              <w:rPr>
                <w:rFonts w:hint="eastAsia"/>
                <w:szCs w:val="24"/>
              </w:rPr>
              <w:t>）</w:t>
            </w:r>
          </w:p>
        </w:tc>
      </w:tr>
    </w:tbl>
    <w:p w:rsidR="00BC4D56" w:rsidRPr="000A5B5D" w:rsidRDefault="00BC4D56" w:rsidP="00115061">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、表决权恢复的优先股股东请求召开临时股东大会</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适用</w:t>
      </w:r>
      <w:r w:rsidRPr="000A5B5D">
        <w:rPr>
          <w:sz w:val="24"/>
          <w:szCs w:val="24"/>
        </w:rPr>
        <w:t xml:space="preserve"> √ </w:t>
      </w:r>
      <w:r w:rsidRPr="000A5B5D">
        <w:rPr>
          <w:rFonts w:hint="eastAsia"/>
          <w:sz w:val="24"/>
          <w:szCs w:val="24"/>
        </w:rPr>
        <w:t>不适用</w:t>
      </w:r>
      <w:r w:rsidRPr="000A5B5D">
        <w:rPr>
          <w:sz w:val="24"/>
          <w:szCs w:val="24"/>
        </w:rPr>
        <w:t xml:space="preserve"> </w:t>
      </w:r>
    </w:p>
    <w:p w:rsidR="00BC4D56" w:rsidRPr="000A5B5D" w:rsidRDefault="00BC4D56" w:rsidP="00115061">
      <w:pPr>
        <w:pStyle w:val="Chapter"/>
        <w:spacing w:line="360" w:lineRule="auto"/>
        <w:outlineLvl w:val="1"/>
        <w:rPr>
          <w:bCs w:val="0"/>
        </w:rPr>
      </w:pPr>
      <w:r w:rsidRPr="000A5B5D">
        <w:rPr>
          <w:rFonts w:hint="eastAsia"/>
          <w:bCs w:val="0"/>
        </w:rPr>
        <w:t>五、报告期内独立董事履行职责的情况</w:t>
      </w:r>
    </w:p>
    <w:p w:rsidR="00BC4D56" w:rsidRPr="000A5B5D" w:rsidRDefault="00BC4D56" w:rsidP="00115061">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、独立董事出席董事会及股东大会的情况</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672"/>
        <w:gridCol w:w="1324"/>
        <w:gridCol w:w="1324"/>
        <w:gridCol w:w="1324"/>
        <w:gridCol w:w="1324"/>
        <w:gridCol w:w="1324"/>
      </w:tblGrid>
      <w:tr w:rsidR="00BC4D56" w:rsidRPr="000A5B5D" w:rsidTr="00115061">
        <w:tc>
          <w:tcPr>
            <w:tcW w:w="9568"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独立董事出席董事会情况</w:t>
            </w:r>
          </w:p>
        </w:tc>
      </w:tr>
      <w:tr w:rsidR="00BC4D56" w:rsidRPr="000A5B5D" w:rsidTr="00115061">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独立董事姓名</w:t>
            </w:r>
          </w:p>
        </w:tc>
        <w:tc>
          <w:tcPr>
            <w:tcW w:w="1672"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本报告期应参加董事会次数</w:t>
            </w:r>
          </w:p>
        </w:tc>
        <w:tc>
          <w:tcPr>
            <w:tcW w:w="13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现场出席次数</w:t>
            </w:r>
          </w:p>
        </w:tc>
        <w:tc>
          <w:tcPr>
            <w:tcW w:w="13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以通讯方式参加次数</w:t>
            </w:r>
          </w:p>
        </w:tc>
        <w:tc>
          <w:tcPr>
            <w:tcW w:w="13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委托出席次数</w:t>
            </w:r>
          </w:p>
        </w:tc>
        <w:tc>
          <w:tcPr>
            <w:tcW w:w="13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缺席次数</w:t>
            </w:r>
          </w:p>
        </w:tc>
        <w:tc>
          <w:tcPr>
            <w:tcW w:w="132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是否连续两次未亲自参加会议</w:t>
            </w:r>
          </w:p>
        </w:tc>
      </w:tr>
      <w:tr w:rsidR="00BC4D56" w:rsidRPr="000A5B5D" w:rsidTr="00115061">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t>贺强</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16</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15</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t>否</w:t>
            </w:r>
          </w:p>
        </w:tc>
      </w:tr>
      <w:tr w:rsidR="00BC4D56" w:rsidRPr="000A5B5D" w:rsidTr="00115061">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lastRenderedPageBreak/>
              <w:t>周琪</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16</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15</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t>否</w:t>
            </w:r>
          </w:p>
        </w:tc>
      </w:tr>
      <w:tr w:rsidR="00BC4D56" w:rsidRPr="000A5B5D" w:rsidTr="00115061">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t>贾路桥</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16</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15</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rFonts w:hint="eastAsia"/>
                <w:sz w:val="24"/>
                <w:szCs w:val="24"/>
              </w:rPr>
              <w:t>否</w:t>
            </w:r>
          </w:p>
        </w:tc>
      </w:tr>
      <w:tr w:rsidR="00BC4D56" w:rsidRPr="000A5B5D" w:rsidTr="00115061">
        <w:tc>
          <w:tcPr>
            <w:tcW w:w="294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sz w:val="24"/>
                <w:szCs w:val="24"/>
              </w:rPr>
            </w:pPr>
            <w:r w:rsidRPr="000A5B5D">
              <w:rPr>
                <w:rFonts w:hint="eastAsia"/>
                <w:sz w:val="24"/>
                <w:szCs w:val="24"/>
              </w:rPr>
              <w:t>独立董事列席股东大会次数</w:t>
            </w:r>
          </w:p>
        </w:tc>
        <w:tc>
          <w:tcPr>
            <w:tcW w:w="662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center"/>
              <w:rPr>
                <w:sz w:val="24"/>
                <w:szCs w:val="24"/>
              </w:rPr>
            </w:pPr>
            <w:r w:rsidRPr="000A5B5D">
              <w:rPr>
                <w:sz w:val="24"/>
                <w:szCs w:val="24"/>
              </w:rPr>
              <w:t>1</w:t>
            </w:r>
          </w:p>
        </w:tc>
      </w:tr>
    </w:tbl>
    <w:p w:rsidR="00BC4D56" w:rsidRPr="000A5B5D" w:rsidRDefault="00BC4D56" w:rsidP="00115061">
      <w:pPr>
        <w:spacing w:line="360" w:lineRule="auto"/>
        <w:jc w:val="left"/>
        <w:rPr>
          <w:sz w:val="24"/>
          <w:szCs w:val="24"/>
        </w:rPr>
      </w:pPr>
      <w:r w:rsidRPr="000A5B5D">
        <w:rPr>
          <w:rFonts w:hint="eastAsia"/>
          <w:sz w:val="24"/>
          <w:szCs w:val="24"/>
        </w:rPr>
        <w:t>连续两次未亲自出席董事会的说明</w:t>
      </w:r>
    </w:p>
    <w:p w:rsidR="00BC4D56" w:rsidRPr="000A5B5D" w:rsidRDefault="00BC4D56" w:rsidP="00115061">
      <w:pPr>
        <w:spacing w:line="360" w:lineRule="auto"/>
        <w:jc w:val="left"/>
        <w:rPr>
          <w:sz w:val="24"/>
          <w:szCs w:val="24"/>
        </w:rPr>
      </w:pPr>
      <w:r w:rsidRPr="000A5B5D">
        <w:rPr>
          <w:rFonts w:hint="eastAsia"/>
          <w:sz w:val="24"/>
          <w:szCs w:val="24"/>
        </w:rPr>
        <w:t>不适用</w:t>
      </w:r>
    </w:p>
    <w:p w:rsidR="00BC4D56" w:rsidRPr="000A5B5D" w:rsidRDefault="00BC4D56" w:rsidP="00115061">
      <w:pPr>
        <w:pStyle w:val="Section"/>
        <w:spacing w:line="360" w:lineRule="auto"/>
        <w:outlineLvl w:val="2"/>
        <w:rPr>
          <w:bCs w:val="0"/>
          <w:sz w:val="24"/>
          <w:szCs w:val="24"/>
        </w:rPr>
      </w:pPr>
      <w:r w:rsidRPr="000A5B5D">
        <w:rPr>
          <w:bCs w:val="0"/>
          <w:sz w:val="24"/>
          <w:szCs w:val="24"/>
        </w:rPr>
        <w:t>2</w:t>
      </w:r>
      <w:r w:rsidRPr="000A5B5D">
        <w:rPr>
          <w:rFonts w:hint="eastAsia"/>
          <w:bCs w:val="0"/>
          <w:sz w:val="24"/>
          <w:szCs w:val="24"/>
        </w:rPr>
        <w:t>、独立董事对公司有关事项提出异议的情况</w:t>
      </w:r>
    </w:p>
    <w:p w:rsidR="00BC4D56" w:rsidRPr="000A5B5D" w:rsidRDefault="00BC4D56" w:rsidP="00115061">
      <w:pPr>
        <w:spacing w:line="360" w:lineRule="auto"/>
        <w:jc w:val="left"/>
        <w:rPr>
          <w:sz w:val="24"/>
          <w:szCs w:val="24"/>
        </w:rPr>
      </w:pPr>
      <w:r w:rsidRPr="000A5B5D">
        <w:rPr>
          <w:rFonts w:hint="eastAsia"/>
          <w:sz w:val="24"/>
          <w:szCs w:val="24"/>
        </w:rPr>
        <w:t>独立董事对公司有关事项是否提出异议</w:t>
      </w:r>
    </w:p>
    <w:p w:rsidR="00BC4D56" w:rsidRPr="000A5B5D" w:rsidRDefault="00BC4D56" w:rsidP="00115061">
      <w:pPr>
        <w:spacing w:line="360" w:lineRule="auto"/>
        <w:ind w:firstLineChars="200" w:firstLine="480"/>
        <w:jc w:val="left"/>
        <w:rPr>
          <w:sz w:val="24"/>
          <w:szCs w:val="24"/>
        </w:rPr>
      </w:pPr>
      <w:r w:rsidRPr="000A5B5D">
        <w:rPr>
          <w:rFonts w:hint="eastAsia"/>
          <w:sz w:val="24"/>
          <w:szCs w:val="24"/>
        </w:rPr>
        <w:t>报告期内独立董事对公司有关事项未提出异议。</w:t>
      </w:r>
    </w:p>
    <w:p w:rsidR="00BC4D56" w:rsidRPr="000A5B5D" w:rsidRDefault="00BC4D56" w:rsidP="00115061">
      <w:pPr>
        <w:pStyle w:val="Section"/>
        <w:spacing w:line="360" w:lineRule="auto"/>
        <w:outlineLvl w:val="2"/>
        <w:rPr>
          <w:bCs w:val="0"/>
          <w:sz w:val="24"/>
          <w:szCs w:val="24"/>
        </w:rPr>
      </w:pPr>
      <w:r w:rsidRPr="000A5B5D">
        <w:rPr>
          <w:bCs w:val="0"/>
          <w:sz w:val="24"/>
          <w:szCs w:val="24"/>
        </w:rPr>
        <w:t>3</w:t>
      </w:r>
      <w:r w:rsidRPr="000A5B5D">
        <w:rPr>
          <w:rFonts w:hint="eastAsia"/>
          <w:bCs w:val="0"/>
          <w:sz w:val="24"/>
          <w:szCs w:val="24"/>
        </w:rPr>
        <w:t>、独立董事履行职责的其他说明</w:t>
      </w:r>
    </w:p>
    <w:p w:rsidR="00BC4D56" w:rsidRPr="000A5B5D" w:rsidRDefault="00BC4D56" w:rsidP="00115061">
      <w:pPr>
        <w:spacing w:line="360" w:lineRule="auto"/>
        <w:jc w:val="left"/>
        <w:rPr>
          <w:sz w:val="24"/>
          <w:szCs w:val="24"/>
        </w:rPr>
      </w:pPr>
      <w:r w:rsidRPr="000A5B5D">
        <w:rPr>
          <w:rFonts w:hint="eastAsia"/>
          <w:sz w:val="24"/>
          <w:szCs w:val="24"/>
        </w:rPr>
        <w:t>独立董事对公司有关建议是否被采纳</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115061">
      <w:pPr>
        <w:spacing w:line="360" w:lineRule="auto"/>
        <w:jc w:val="left"/>
        <w:rPr>
          <w:sz w:val="24"/>
          <w:szCs w:val="24"/>
        </w:rPr>
      </w:pPr>
      <w:r w:rsidRPr="000A5B5D">
        <w:rPr>
          <w:rFonts w:hint="eastAsia"/>
          <w:sz w:val="24"/>
          <w:szCs w:val="24"/>
        </w:rPr>
        <w:t>独立董事对公司有关建议被采纳或未被采纳的说明</w:t>
      </w:r>
    </w:p>
    <w:p w:rsidR="00BC4D56" w:rsidRPr="000A5B5D" w:rsidRDefault="00BC4D56" w:rsidP="00115061">
      <w:pPr>
        <w:autoSpaceDE w:val="0"/>
        <w:autoSpaceDN w:val="0"/>
        <w:adjustRightInd w:val="0"/>
        <w:spacing w:before="0" w:after="0" w:line="360" w:lineRule="auto"/>
        <w:ind w:firstLineChars="200" w:firstLine="480"/>
        <w:jc w:val="left"/>
        <w:rPr>
          <w:rFonts w:eastAsia="Times New Roman"/>
          <w:kern w:val="0"/>
          <w:sz w:val="24"/>
          <w:szCs w:val="24"/>
          <w:lang w:val="zh-CN"/>
        </w:rPr>
      </w:pPr>
      <w:r w:rsidRPr="000A5B5D">
        <w:rPr>
          <w:rFonts w:ascii="宋体" w:hAnsi="宋体" w:cs="宋体" w:hint="eastAsia"/>
          <w:kern w:val="0"/>
          <w:sz w:val="24"/>
          <w:szCs w:val="24"/>
          <w:lang w:val="zh-CN"/>
        </w:rPr>
        <w:t>报告期内，公司独立董事严格按照《深圳证券交易所主板上市公司规范运作指引》、《深圳证券交易所股票上市规则》、《关于在上市公司建立独立董事制度的指导意见》等相关法律法规及《公司章程》等规定，出席公司董事会和股东大会，认真履行职责，对公司的发展决策提出了建设性的意见或建议。公司根据董事会上独立董事提出的各项规范要求，归纳整理成会议通报，不定期发送给公司全体董监高及相关事项负责人，并及时跟踪事项处理进展，切实做到独立董事意见的下达与跟踪反馈；在董事会上，公司相关负责人向独立董事汇报公司相应期间经营以及财务等状况，其他董事会成员及管理人员接受独立董事的问询，独立董事对公司的经营管理提升积极建言献策，就公司关联交易、股权激励、募集资金使用等重大事项进行审核并出具了独立董事意见，有效保证了公司董事会决策的公正性和客观性，维护了公司整体利益和广大中小股东的合法权益。独立董事积极参加公司的管理工作会议，对公司在经营管理中的问题及时进行风险提示，并运用专业技术知识，对公司中高级管理人员进行了专业培训，为公司的规范运作和健康发展发挥了积极作用。</w:t>
      </w:r>
    </w:p>
    <w:p w:rsidR="00BC4D56" w:rsidRPr="000A5B5D" w:rsidRDefault="00BC4D56">
      <w:pPr>
        <w:pStyle w:val="Chapter"/>
        <w:outlineLvl w:val="1"/>
        <w:rPr>
          <w:bCs w:val="0"/>
        </w:rPr>
      </w:pPr>
      <w:r w:rsidRPr="000A5B5D">
        <w:rPr>
          <w:rFonts w:hint="eastAsia"/>
          <w:bCs w:val="0"/>
        </w:rPr>
        <w:lastRenderedPageBreak/>
        <w:t>六、董事会下设专门委员会在报告期内履行职责情况</w:t>
      </w:r>
    </w:p>
    <w:p w:rsidR="00BC4D56" w:rsidRPr="000A5B5D" w:rsidRDefault="00BC4D56" w:rsidP="00115061">
      <w:pPr>
        <w:autoSpaceDE w:val="0"/>
        <w:autoSpaceDN w:val="0"/>
        <w:adjustRightInd w:val="0"/>
        <w:spacing w:before="0" w:after="0" w:line="360" w:lineRule="auto"/>
        <w:ind w:firstLine="480"/>
        <w:rPr>
          <w:rFonts w:eastAsia="Times New Roman"/>
          <w:kern w:val="0"/>
          <w:sz w:val="24"/>
          <w:szCs w:val="24"/>
          <w:lang w:val="zh-CN"/>
        </w:rPr>
      </w:pPr>
      <w:r w:rsidRPr="000A5B5D">
        <w:rPr>
          <w:rFonts w:ascii="宋体" w:hAnsi="宋体" w:cs="宋体" w:hint="eastAsia"/>
          <w:kern w:val="0"/>
          <w:sz w:val="24"/>
          <w:szCs w:val="24"/>
          <w:lang w:val="zh-CN"/>
        </w:rPr>
        <w:t>公司董事会下设立董事会战略与投资委员会、审计委员会、风险控制委员会、薪酬考核与提名委员会，扩大了董事会运作范围。</w:t>
      </w:r>
    </w:p>
    <w:p w:rsidR="00BC4D56" w:rsidRPr="000A5B5D" w:rsidRDefault="00BC4D56" w:rsidP="0011506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1</w:t>
      </w:r>
      <w:r w:rsidRPr="000A5B5D">
        <w:rPr>
          <w:rFonts w:ascii="宋体" w:hAnsi="宋体" w:cs="宋体" w:hint="eastAsia"/>
          <w:kern w:val="0"/>
          <w:sz w:val="24"/>
          <w:szCs w:val="24"/>
          <w:lang w:val="zh-CN"/>
        </w:rPr>
        <w:t>、公司董事会审计委员履职情况</w:t>
      </w:r>
    </w:p>
    <w:p w:rsidR="00BC4D56" w:rsidRPr="000A5B5D" w:rsidRDefault="00BC4D56" w:rsidP="0011506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 xml:space="preserve">    </w:t>
      </w:r>
      <w:r w:rsidRPr="000A5B5D">
        <w:rPr>
          <w:rFonts w:ascii="宋体" w:hAnsi="宋体" w:cs="宋体" w:hint="eastAsia"/>
          <w:kern w:val="0"/>
          <w:sz w:val="24"/>
          <w:szCs w:val="24"/>
          <w:lang w:val="zh-CN"/>
        </w:rPr>
        <w:t>审计委员会由</w:t>
      </w:r>
      <w:r w:rsidRPr="000A5B5D">
        <w:rPr>
          <w:rFonts w:eastAsia="Times New Roman"/>
          <w:kern w:val="0"/>
          <w:sz w:val="24"/>
          <w:szCs w:val="24"/>
          <w:lang w:val="zh-CN"/>
        </w:rPr>
        <w:t>5</w:t>
      </w:r>
      <w:r w:rsidRPr="000A5B5D">
        <w:rPr>
          <w:rFonts w:ascii="宋体" w:hAnsi="宋体" w:cs="宋体" w:hint="eastAsia"/>
          <w:kern w:val="0"/>
          <w:sz w:val="24"/>
          <w:szCs w:val="24"/>
          <w:lang w:val="zh-CN"/>
        </w:rPr>
        <w:t>位董事组成，主任委员为会计专业人士周琪先生担任，报告期内，审计委员会各委员认真、勤勉履行职责，完成了本职工作。公司董事会审计委员会负责对公司日常经营管理及财务状况等涉及公司相关业务的各个环节进行定期审计，监督和核查。针对公司本报告期的定期报告，审计委员会在董事会审议之前，召开专门的会议，对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年度报告》进行监督、核查。</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董事会审计委员会在公司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年报审计工作中履行了如下职责：</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w:t>
      </w:r>
      <w:r w:rsidRPr="000A5B5D">
        <w:rPr>
          <w:rFonts w:eastAsia="Times New Roman"/>
          <w:kern w:val="0"/>
          <w:sz w:val="24"/>
          <w:szCs w:val="24"/>
          <w:lang w:val="zh-CN"/>
        </w:rPr>
        <w:t>1</w:t>
      </w:r>
      <w:r w:rsidRPr="000A5B5D">
        <w:rPr>
          <w:rFonts w:ascii="宋体" w:hAnsi="宋体" w:cs="宋体" w:hint="eastAsia"/>
          <w:kern w:val="0"/>
          <w:sz w:val="24"/>
          <w:szCs w:val="24"/>
          <w:lang w:val="zh-CN"/>
        </w:rPr>
        <w:t>）审计委员会督促公司财务部与会计师事务所做好审计工作；</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w:t>
      </w:r>
      <w:r w:rsidRPr="000A5B5D">
        <w:rPr>
          <w:rFonts w:eastAsia="Times New Roman"/>
          <w:kern w:val="0"/>
          <w:sz w:val="24"/>
          <w:szCs w:val="24"/>
          <w:lang w:val="zh-CN"/>
        </w:rPr>
        <w:t>2</w:t>
      </w:r>
      <w:r w:rsidRPr="000A5B5D">
        <w:rPr>
          <w:rFonts w:ascii="宋体" w:hAnsi="宋体" w:cs="宋体" w:hint="eastAsia"/>
          <w:kern w:val="0"/>
          <w:sz w:val="24"/>
          <w:szCs w:val="24"/>
          <w:lang w:val="zh-CN"/>
        </w:rPr>
        <w:t>）审阅公司编制的财务会计报表；</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w:t>
      </w:r>
      <w:r w:rsidRPr="000A5B5D">
        <w:rPr>
          <w:rFonts w:eastAsia="Times New Roman"/>
          <w:kern w:val="0"/>
          <w:sz w:val="24"/>
          <w:szCs w:val="24"/>
          <w:lang w:val="zh-CN"/>
        </w:rPr>
        <w:t>3</w:t>
      </w:r>
      <w:r w:rsidRPr="000A5B5D">
        <w:rPr>
          <w:rFonts w:ascii="宋体" w:hAnsi="宋体" w:cs="宋体" w:hint="eastAsia"/>
          <w:kern w:val="0"/>
          <w:sz w:val="24"/>
          <w:szCs w:val="24"/>
          <w:lang w:val="zh-CN"/>
        </w:rPr>
        <w:t>）会计师事务所出具初步审计意见，审计委员会审阅财务会计报表，形成书面意见；</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w:t>
      </w:r>
      <w:r w:rsidRPr="000A5B5D">
        <w:rPr>
          <w:rFonts w:eastAsia="Times New Roman"/>
          <w:kern w:val="0"/>
          <w:sz w:val="24"/>
          <w:szCs w:val="24"/>
          <w:lang w:val="zh-CN"/>
        </w:rPr>
        <w:t>4</w:t>
      </w:r>
      <w:r w:rsidRPr="000A5B5D">
        <w:rPr>
          <w:rFonts w:ascii="宋体" w:hAnsi="宋体" w:cs="宋体" w:hint="eastAsia"/>
          <w:kern w:val="0"/>
          <w:sz w:val="24"/>
          <w:szCs w:val="24"/>
          <w:lang w:val="zh-CN"/>
        </w:rPr>
        <w:t>）审阅公司</w:t>
      </w:r>
      <w:r w:rsidRPr="000A5B5D">
        <w:rPr>
          <w:rFonts w:eastAsia="Times New Roman"/>
          <w:kern w:val="0"/>
          <w:sz w:val="24"/>
          <w:szCs w:val="24"/>
          <w:lang w:val="zh-CN"/>
        </w:rPr>
        <w:t>2015</w:t>
      </w:r>
      <w:r w:rsidRPr="000A5B5D">
        <w:rPr>
          <w:rFonts w:ascii="宋体" w:hAnsi="宋体" w:cs="宋体" w:hint="eastAsia"/>
          <w:kern w:val="0"/>
          <w:sz w:val="24"/>
          <w:szCs w:val="24"/>
          <w:lang w:val="zh-CN"/>
        </w:rPr>
        <w:t>年度审计报告。</w:t>
      </w:r>
    </w:p>
    <w:p w:rsidR="00BC4D56" w:rsidRPr="000A5B5D" w:rsidRDefault="00BC4D56" w:rsidP="0011506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2</w:t>
      </w:r>
      <w:r w:rsidRPr="000A5B5D">
        <w:rPr>
          <w:rFonts w:ascii="宋体" w:hAnsi="宋体" w:cs="宋体" w:hint="eastAsia"/>
          <w:kern w:val="0"/>
          <w:sz w:val="24"/>
          <w:szCs w:val="24"/>
          <w:lang w:val="zh-CN"/>
        </w:rPr>
        <w:t>、薪酬考核与提名委员会履职情况</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公司董事会薪酬考核与提名委员会由</w:t>
      </w:r>
      <w:r w:rsidRPr="000A5B5D">
        <w:rPr>
          <w:rFonts w:eastAsia="Times New Roman"/>
          <w:kern w:val="0"/>
          <w:sz w:val="24"/>
          <w:szCs w:val="24"/>
          <w:lang w:val="zh-CN"/>
        </w:rPr>
        <w:t>3</w:t>
      </w:r>
      <w:r w:rsidRPr="000A5B5D">
        <w:rPr>
          <w:rFonts w:ascii="宋体" w:hAnsi="宋体" w:cs="宋体" w:hint="eastAsia"/>
          <w:kern w:val="0"/>
          <w:sz w:val="24"/>
          <w:szCs w:val="24"/>
          <w:lang w:val="zh-CN"/>
        </w:rPr>
        <w:t>位董事组成，主任委员为贾路桥先生担任。报告期内，公司董事会薪酬与考核委员会根据公司董事、监事及高级管理人员的主要职责范围、重点工作的完成等情况进行了考核。</w:t>
      </w:r>
    </w:p>
    <w:p w:rsidR="00BC4D56" w:rsidRPr="000A5B5D" w:rsidRDefault="00BC4D56" w:rsidP="0011506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3</w:t>
      </w:r>
      <w:r w:rsidRPr="000A5B5D">
        <w:rPr>
          <w:rFonts w:ascii="宋体" w:hAnsi="宋体" w:cs="宋体" w:hint="eastAsia"/>
          <w:kern w:val="0"/>
          <w:sz w:val="24"/>
          <w:szCs w:val="24"/>
          <w:lang w:val="zh-CN"/>
        </w:rPr>
        <w:t>、战略与投资委员会</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公司董事会战略与投资委员会由</w:t>
      </w:r>
      <w:r w:rsidRPr="000A5B5D">
        <w:rPr>
          <w:rFonts w:eastAsia="Times New Roman"/>
          <w:kern w:val="0"/>
          <w:sz w:val="24"/>
          <w:szCs w:val="24"/>
          <w:lang w:val="zh-CN"/>
        </w:rPr>
        <w:t>5</w:t>
      </w:r>
      <w:r w:rsidRPr="000A5B5D">
        <w:rPr>
          <w:rFonts w:ascii="宋体" w:hAnsi="宋体" w:cs="宋体" w:hint="eastAsia"/>
          <w:kern w:val="0"/>
          <w:sz w:val="24"/>
          <w:szCs w:val="24"/>
          <w:lang w:val="zh-CN"/>
        </w:rPr>
        <w:t>位董事组成，主任委员由董事长方贤水先生担任，报告期内，战略与投资委员会各委员认真、勤勉履行职责，完成了本职工作。</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报告期内，公司董事会战略与投资委员会对公司重大的投资事项进行了讨论和分析，提出意见及建议，对增强公司核心竞争力，加强决策科学性，提高决策效益和质量发挥了重要作用。</w:t>
      </w:r>
    </w:p>
    <w:p w:rsidR="00BC4D56" w:rsidRPr="000A5B5D" w:rsidRDefault="00BC4D56" w:rsidP="00115061">
      <w:pPr>
        <w:autoSpaceDE w:val="0"/>
        <w:autoSpaceDN w:val="0"/>
        <w:adjustRightInd w:val="0"/>
        <w:spacing w:before="0" w:after="0" w:line="360" w:lineRule="auto"/>
        <w:jc w:val="left"/>
        <w:rPr>
          <w:rFonts w:eastAsia="Times New Roman"/>
          <w:kern w:val="0"/>
          <w:sz w:val="24"/>
          <w:szCs w:val="24"/>
          <w:lang w:val="zh-CN"/>
        </w:rPr>
      </w:pPr>
      <w:r w:rsidRPr="000A5B5D">
        <w:rPr>
          <w:rFonts w:eastAsia="Times New Roman"/>
          <w:kern w:val="0"/>
          <w:sz w:val="24"/>
          <w:szCs w:val="24"/>
          <w:lang w:val="zh-CN"/>
        </w:rPr>
        <w:t>4</w:t>
      </w:r>
      <w:r w:rsidRPr="000A5B5D">
        <w:rPr>
          <w:rFonts w:ascii="宋体" w:hAnsi="宋体" w:cs="宋体" w:hint="eastAsia"/>
          <w:kern w:val="0"/>
          <w:sz w:val="24"/>
          <w:szCs w:val="24"/>
          <w:lang w:val="zh-CN"/>
        </w:rPr>
        <w:t>、风险控制委员会</w:t>
      </w:r>
    </w:p>
    <w:p w:rsidR="00BC4D56" w:rsidRPr="000A5B5D" w:rsidRDefault="00BC4D56" w:rsidP="00115061">
      <w:pPr>
        <w:autoSpaceDE w:val="0"/>
        <w:autoSpaceDN w:val="0"/>
        <w:adjustRightInd w:val="0"/>
        <w:spacing w:before="0" w:after="0" w:line="360" w:lineRule="auto"/>
        <w:ind w:firstLine="480"/>
        <w:jc w:val="left"/>
        <w:rPr>
          <w:rFonts w:eastAsia="Times New Roman"/>
          <w:kern w:val="0"/>
          <w:sz w:val="24"/>
          <w:szCs w:val="24"/>
          <w:lang w:val="zh-CN"/>
        </w:rPr>
      </w:pPr>
      <w:r w:rsidRPr="000A5B5D">
        <w:rPr>
          <w:rFonts w:ascii="宋体" w:hAnsi="宋体" w:cs="宋体" w:hint="eastAsia"/>
          <w:kern w:val="0"/>
          <w:sz w:val="24"/>
          <w:szCs w:val="24"/>
          <w:lang w:val="zh-CN"/>
        </w:rPr>
        <w:t>公司董事会风险控制委员会委员由</w:t>
      </w:r>
      <w:r w:rsidRPr="000A5B5D">
        <w:rPr>
          <w:rFonts w:eastAsia="Times New Roman"/>
          <w:kern w:val="0"/>
          <w:sz w:val="24"/>
          <w:szCs w:val="24"/>
          <w:lang w:val="zh-CN"/>
        </w:rPr>
        <w:t>3</w:t>
      </w:r>
      <w:r w:rsidRPr="000A5B5D">
        <w:rPr>
          <w:rFonts w:ascii="宋体" w:hAnsi="宋体" w:cs="宋体" w:hint="eastAsia"/>
          <w:kern w:val="0"/>
          <w:sz w:val="24"/>
          <w:szCs w:val="24"/>
          <w:lang w:val="zh-CN"/>
        </w:rPr>
        <w:t>位董事组成，主任委员为贺强先生，报告期内，风险控制委员会各委员认真、勤勉履行职责，完成了本职工作。报告期内，公司董事会风险控制委员会对公司重大投资项目、经营管理中的可能存在的风险问题进行了论证与分析，并提</w:t>
      </w:r>
      <w:r w:rsidRPr="000A5B5D">
        <w:rPr>
          <w:rFonts w:ascii="宋体" w:hAnsi="宋体" w:cs="宋体" w:hint="eastAsia"/>
          <w:kern w:val="0"/>
          <w:sz w:val="24"/>
          <w:szCs w:val="24"/>
          <w:lang w:val="zh-CN"/>
        </w:rPr>
        <w:lastRenderedPageBreak/>
        <w:t>出相关建议，对公司的稳健经营发挥了重要作用。</w:t>
      </w:r>
    </w:p>
    <w:p w:rsidR="00BC4D56" w:rsidRPr="000A5B5D" w:rsidRDefault="00BC4D56" w:rsidP="00115061">
      <w:pPr>
        <w:autoSpaceDE w:val="0"/>
        <w:autoSpaceDN w:val="0"/>
        <w:adjustRightInd w:val="0"/>
        <w:spacing w:line="360" w:lineRule="auto"/>
        <w:ind w:firstLine="480"/>
        <w:rPr>
          <w:rFonts w:eastAsiaTheme="minorEastAsia"/>
          <w:kern w:val="0"/>
          <w:sz w:val="24"/>
          <w:szCs w:val="24"/>
          <w:lang w:val="zh-CN"/>
        </w:rPr>
      </w:pPr>
      <w:r w:rsidRPr="000A5B5D">
        <w:rPr>
          <w:rFonts w:ascii="宋体" w:hAnsi="宋体" w:cs="宋体" w:hint="eastAsia"/>
          <w:kern w:val="0"/>
          <w:sz w:val="24"/>
          <w:szCs w:val="24"/>
          <w:lang w:val="zh-CN"/>
        </w:rPr>
        <w:t>有效保证了公司董事会决策的公正性和客观性，维护了公司整体利益和广大中小股东的合法权益。独立董事积极参加公司的管理工作会议，对公司在经营管理中的问题及时进行风险提示，并运用专业技术知识，对公司中高级管理人员进行了专业培训，为公司的规范运作和健康发展发挥了积极作用。</w:t>
      </w:r>
    </w:p>
    <w:p w:rsidR="00BC4D56" w:rsidRPr="000A5B5D" w:rsidRDefault="00BC4D56">
      <w:pPr>
        <w:pStyle w:val="Chapter"/>
        <w:outlineLvl w:val="1"/>
        <w:rPr>
          <w:bCs w:val="0"/>
        </w:rPr>
      </w:pPr>
      <w:r w:rsidRPr="000A5B5D">
        <w:rPr>
          <w:rFonts w:hint="eastAsia"/>
          <w:bCs w:val="0"/>
        </w:rPr>
        <w:t>七、监事会工作情况</w:t>
      </w:r>
    </w:p>
    <w:p w:rsidR="00BC4D56" w:rsidRPr="000A5B5D" w:rsidRDefault="00BC4D56" w:rsidP="00115061">
      <w:pPr>
        <w:spacing w:line="360" w:lineRule="auto"/>
        <w:jc w:val="left"/>
        <w:rPr>
          <w:sz w:val="24"/>
          <w:szCs w:val="24"/>
        </w:rPr>
      </w:pPr>
      <w:r w:rsidRPr="000A5B5D">
        <w:rPr>
          <w:rFonts w:hint="eastAsia"/>
          <w:sz w:val="24"/>
          <w:szCs w:val="24"/>
        </w:rPr>
        <w:t>监事会在报告期内的监督活动中发现公司是否存在风险</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115061">
      <w:pPr>
        <w:spacing w:line="360" w:lineRule="auto"/>
        <w:jc w:val="left"/>
        <w:rPr>
          <w:sz w:val="24"/>
          <w:szCs w:val="24"/>
        </w:rPr>
      </w:pPr>
      <w:r w:rsidRPr="000A5B5D">
        <w:rPr>
          <w:rFonts w:hint="eastAsia"/>
          <w:sz w:val="24"/>
          <w:szCs w:val="24"/>
        </w:rPr>
        <w:t>监事会对报告期内的监督事项无异议。</w:t>
      </w:r>
    </w:p>
    <w:p w:rsidR="00BC4D56" w:rsidRPr="000A5B5D" w:rsidRDefault="00BC4D56">
      <w:pPr>
        <w:pStyle w:val="Chapter"/>
        <w:outlineLvl w:val="1"/>
        <w:rPr>
          <w:bCs w:val="0"/>
        </w:rPr>
      </w:pPr>
      <w:r w:rsidRPr="000A5B5D">
        <w:rPr>
          <w:rFonts w:hint="eastAsia"/>
          <w:bCs w:val="0"/>
        </w:rPr>
        <w:t>八、高级管理人员的考评及激励情况</w:t>
      </w:r>
    </w:p>
    <w:p w:rsidR="00BC4D56" w:rsidRPr="000A5B5D" w:rsidRDefault="00BC4D56" w:rsidP="00115061">
      <w:pPr>
        <w:autoSpaceDE w:val="0"/>
        <w:autoSpaceDN w:val="0"/>
        <w:adjustRightInd w:val="0"/>
        <w:spacing w:line="360" w:lineRule="auto"/>
        <w:ind w:firstLine="480"/>
        <w:jc w:val="left"/>
        <w:rPr>
          <w:rFonts w:eastAsiaTheme="minorEastAsia"/>
          <w:kern w:val="0"/>
          <w:sz w:val="24"/>
          <w:szCs w:val="24"/>
          <w:lang w:val="zh-CN"/>
        </w:rPr>
      </w:pPr>
      <w:r w:rsidRPr="000A5B5D">
        <w:rPr>
          <w:rFonts w:ascii="宋体" w:hAnsi="宋体" w:cs="宋体" w:hint="eastAsia"/>
          <w:kern w:val="0"/>
          <w:sz w:val="24"/>
          <w:szCs w:val="24"/>
          <w:lang w:val="zh-CN"/>
        </w:rPr>
        <w:t>依照《高级管理人员薪酬与绩效考核管理制度》等相关规定，公司高级管理人员的考核以企业经营经济指标与综合管理为基础，根据年度经营计划、高级管理人员分管工作职责及工作目标，进行综合考核，根据考核结果确定高管人员的年度薪酬分配。</w:t>
      </w:r>
    </w:p>
    <w:p w:rsidR="00BC4D56" w:rsidRPr="000A5B5D" w:rsidRDefault="00BC4D56" w:rsidP="00115061">
      <w:pPr>
        <w:pStyle w:val="Chapter"/>
        <w:spacing w:line="360" w:lineRule="auto"/>
        <w:outlineLvl w:val="1"/>
        <w:rPr>
          <w:bCs w:val="0"/>
        </w:rPr>
      </w:pPr>
      <w:r w:rsidRPr="000A5B5D">
        <w:rPr>
          <w:rFonts w:hint="eastAsia"/>
          <w:bCs w:val="0"/>
        </w:rPr>
        <w:t>九、内部控制情况</w:t>
      </w:r>
    </w:p>
    <w:p w:rsidR="00BC4D56" w:rsidRPr="000A5B5D" w:rsidRDefault="00BC4D56" w:rsidP="00115061">
      <w:pPr>
        <w:pStyle w:val="Section"/>
        <w:spacing w:line="360" w:lineRule="auto"/>
        <w:outlineLvl w:val="2"/>
        <w:rPr>
          <w:bCs w:val="0"/>
          <w:sz w:val="24"/>
          <w:szCs w:val="24"/>
        </w:rPr>
      </w:pPr>
      <w:r w:rsidRPr="000A5B5D">
        <w:rPr>
          <w:bCs w:val="0"/>
          <w:sz w:val="24"/>
          <w:szCs w:val="24"/>
        </w:rPr>
        <w:t>1</w:t>
      </w:r>
      <w:r w:rsidRPr="000A5B5D">
        <w:rPr>
          <w:rFonts w:hint="eastAsia"/>
          <w:bCs w:val="0"/>
          <w:sz w:val="24"/>
          <w:szCs w:val="24"/>
        </w:rPr>
        <w:t>、报告期内发现的内部控制重大缺陷的具体情况</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pPr>
        <w:pStyle w:val="Section"/>
        <w:outlineLvl w:val="2"/>
        <w:rPr>
          <w:bCs w:val="0"/>
          <w:szCs w:val="24"/>
        </w:rPr>
      </w:pPr>
      <w:r w:rsidRPr="000A5B5D">
        <w:rPr>
          <w:bCs w:val="0"/>
          <w:szCs w:val="24"/>
        </w:rPr>
        <w:t>2</w:t>
      </w:r>
      <w:r w:rsidRPr="000A5B5D">
        <w:rPr>
          <w:rFonts w:hint="eastAsia"/>
          <w:bCs w:val="0"/>
          <w:szCs w:val="24"/>
        </w:rPr>
        <w:t>、内控自我评价报告</w:t>
      </w:r>
    </w:p>
    <w:tbl>
      <w:tblPr>
        <w:tblW w:w="0" w:type="auto"/>
        <w:tblInd w:w="28" w:type="dxa"/>
        <w:tblLayout w:type="fixed"/>
        <w:tblCellMar>
          <w:left w:w="28" w:type="dxa"/>
          <w:right w:w="28" w:type="dxa"/>
        </w:tblCellMar>
        <w:tblLook w:val="0000" w:firstRow="0" w:lastRow="0" w:firstColumn="0" w:lastColumn="0" w:noHBand="0" w:noVBand="0"/>
      </w:tblPr>
      <w:tblGrid>
        <w:gridCol w:w="3194"/>
        <w:gridCol w:w="3323"/>
        <w:gridCol w:w="3051"/>
      </w:tblGrid>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内部控制评价报告全文披露日期</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2016</w:t>
            </w:r>
            <w:r w:rsidRPr="000A5B5D">
              <w:rPr>
                <w:rFonts w:hint="eastAsia"/>
                <w:szCs w:val="24"/>
              </w:rPr>
              <w:t>年</w:t>
            </w:r>
            <w:r w:rsidRPr="000A5B5D">
              <w:rPr>
                <w:szCs w:val="24"/>
              </w:rPr>
              <w:t>04</w:t>
            </w:r>
            <w:r w:rsidRPr="000A5B5D">
              <w:rPr>
                <w:rFonts w:hint="eastAsia"/>
                <w:szCs w:val="24"/>
              </w:rPr>
              <w:t>月</w:t>
            </w:r>
            <w:r w:rsidRPr="000A5B5D">
              <w:rPr>
                <w:szCs w:val="24"/>
              </w:rPr>
              <w:t>25</w:t>
            </w:r>
            <w:r w:rsidRPr="000A5B5D">
              <w:rPr>
                <w:rFonts w:hint="eastAsia"/>
                <w:szCs w:val="24"/>
              </w:rPr>
              <w:t>日</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内部控制评价报告全文披露索引</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szCs w:val="24"/>
              </w:rPr>
              <w:t>http://www.cninfo.com.cn</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纳入评价范围单位资产总额占公司合并财务报表资产总额的比例</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90.00%</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纳入评价范围单位营业收入占公司合并财务报表营业收入的比例</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100.00%</w:t>
            </w:r>
          </w:p>
        </w:tc>
      </w:tr>
      <w:tr w:rsidR="00BC4D56" w:rsidRPr="000A5B5D">
        <w:tc>
          <w:tcPr>
            <w:tcW w:w="9568"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缺陷认定标准</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类别</w:t>
            </w:r>
          </w:p>
        </w:tc>
        <w:tc>
          <w:tcPr>
            <w:tcW w:w="332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财务报告</w:t>
            </w:r>
          </w:p>
        </w:tc>
        <w:tc>
          <w:tcPr>
            <w:tcW w:w="3051"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center"/>
              <w:rPr>
                <w:szCs w:val="24"/>
              </w:rPr>
            </w:pPr>
            <w:r w:rsidRPr="000A5B5D">
              <w:rPr>
                <w:rFonts w:hint="eastAsia"/>
                <w:szCs w:val="24"/>
              </w:rPr>
              <w:t>非财务报告</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定性标准</w:t>
            </w:r>
          </w:p>
        </w:tc>
        <w:tc>
          <w:tcPr>
            <w:tcW w:w="332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ascii="宋体" w:hAnsi="宋体" w:cs="宋体" w:hint="eastAsia"/>
                <w:szCs w:val="24"/>
              </w:rPr>
              <w:t>⑴</w:t>
            </w:r>
            <w:r w:rsidRPr="000A5B5D">
              <w:rPr>
                <w:rFonts w:hint="eastAsia"/>
                <w:szCs w:val="24"/>
              </w:rPr>
              <w:t>重大缺陷认定标准：</w:t>
            </w:r>
            <w:r w:rsidRPr="000A5B5D">
              <w:rPr>
                <w:rFonts w:ascii="宋体" w:hAnsi="宋体" w:cs="宋体" w:hint="eastAsia"/>
                <w:szCs w:val="24"/>
              </w:rPr>
              <w:t>①</w:t>
            </w:r>
            <w:r w:rsidRPr="000A5B5D">
              <w:rPr>
                <w:rFonts w:hint="eastAsia"/>
                <w:szCs w:val="24"/>
              </w:rPr>
              <w:t>缺乏民主决策程</w:t>
            </w:r>
            <w:r w:rsidRPr="000A5B5D">
              <w:rPr>
                <w:rFonts w:hint="eastAsia"/>
                <w:szCs w:val="24"/>
              </w:rPr>
              <w:lastRenderedPageBreak/>
              <w:t>序；</w:t>
            </w:r>
            <w:r w:rsidRPr="000A5B5D">
              <w:rPr>
                <w:rFonts w:ascii="宋体" w:hAnsi="宋体" w:cs="宋体" w:hint="eastAsia"/>
                <w:szCs w:val="24"/>
              </w:rPr>
              <w:t>②</w:t>
            </w:r>
            <w:r w:rsidRPr="000A5B5D">
              <w:rPr>
                <w:rFonts w:hint="eastAsia"/>
                <w:szCs w:val="24"/>
              </w:rPr>
              <w:t>决策程序导致重大失误；</w:t>
            </w:r>
            <w:r w:rsidRPr="000A5B5D">
              <w:rPr>
                <w:rFonts w:ascii="宋体" w:hAnsi="宋体" w:cs="宋体" w:hint="eastAsia"/>
                <w:szCs w:val="24"/>
              </w:rPr>
              <w:t>③</w:t>
            </w:r>
            <w:r w:rsidRPr="000A5B5D">
              <w:rPr>
                <w:rFonts w:hint="eastAsia"/>
                <w:szCs w:val="24"/>
              </w:rPr>
              <w:t>违反国家法律法规并受到处罚；</w:t>
            </w:r>
            <w:r w:rsidRPr="000A5B5D">
              <w:rPr>
                <w:rFonts w:ascii="宋体" w:hAnsi="宋体" w:cs="宋体" w:hint="eastAsia"/>
                <w:szCs w:val="24"/>
              </w:rPr>
              <w:t>④</w:t>
            </w:r>
            <w:r w:rsidRPr="000A5B5D">
              <w:rPr>
                <w:rFonts w:hint="eastAsia"/>
                <w:szCs w:val="24"/>
              </w:rPr>
              <w:t>中高级管理人员和高级技术人员流失严重；</w:t>
            </w:r>
            <w:r w:rsidRPr="000A5B5D">
              <w:rPr>
                <w:rFonts w:ascii="宋体" w:hAnsi="宋体" w:cs="宋体" w:hint="eastAsia"/>
                <w:szCs w:val="24"/>
              </w:rPr>
              <w:t>⑤</w:t>
            </w:r>
            <w:r w:rsidRPr="000A5B5D">
              <w:rPr>
                <w:rFonts w:hint="eastAsia"/>
                <w:szCs w:val="24"/>
              </w:rPr>
              <w:t>媒体频现负面新闻，涉及面广；</w:t>
            </w:r>
            <w:r w:rsidRPr="000A5B5D">
              <w:rPr>
                <w:rFonts w:ascii="宋体" w:hAnsi="宋体" w:cs="宋体" w:hint="eastAsia"/>
                <w:szCs w:val="24"/>
              </w:rPr>
              <w:t>⑥</w:t>
            </w:r>
            <w:r w:rsidRPr="000A5B5D">
              <w:rPr>
                <w:rFonts w:hint="eastAsia"/>
                <w:szCs w:val="24"/>
              </w:rPr>
              <w:t>重要业务缺乏制度或制度体系失效；</w:t>
            </w:r>
            <w:r w:rsidRPr="000A5B5D">
              <w:rPr>
                <w:rFonts w:ascii="宋体" w:hAnsi="宋体" w:cs="宋体" w:hint="eastAsia"/>
                <w:szCs w:val="24"/>
              </w:rPr>
              <w:t>⑦</w:t>
            </w:r>
            <w:r w:rsidRPr="000A5B5D">
              <w:rPr>
                <w:rFonts w:hint="eastAsia"/>
                <w:szCs w:val="24"/>
              </w:rPr>
              <w:t>内部控制重大或重要缺陷未得到整改。</w:t>
            </w:r>
            <w:r w:rsidRPr="000A5B5D">
              <w:rPr>
                <w:szCs w:val="24"/>
              </w:rPr>
              <w:t xml:space="preserve">                           </w:t>
            </w:r>
            <w:r w:rsidRPr="000A5B5D">
              <w:rPr>
                <w:rFonts w:ascii="宋体" w:hAnsi="宋体" w:cs="宋体" w:hint="eastAsia"/>
                <w:szCs w:val="24"/>
              </w:rPr>
              <w:t>⑵</w:t>
            </w:r>
            <w:r w:rsidRPr="000A5B5D">
              <w:rPr>
                <w:rFonts w:hint="eastAsia"/>
                <w:szCs w:val="24"/>
              </w:rPr>
              <w:t>重要缺陷认定标准：</w:t>
            </w:r>
            <w:r w:rsidRPr="000A5B5D">
              <w:rPr>
                <w:rFonts w:ascii="宋体" w:hAnsi="宋体" w:cs="宋体" w:hint="eastAsia"/>
                <w:szCs w:val="24"/>
              </w:rPr>
              <w:t>①</w:t>
            </w:r>
            <w:r w:rsidRPr="000A5B5D">
              <w:rPr>
                <w:rFonts w:hint="eastAsia"/>
                <w:szCs w:val="24"/>
              </w:rPr>
              <w:t>民主决策程序存在但不够完善；</w:t>
            </w:r>
            <w:r w:rsidRPr="000A5B5D">
              <w:rPr>
                <w:rFonts w:ascii="宋体" w:hAnsi="宋体" w:cs="宋体" w:hint="eastAsia"/>
                <w:szCs w:val="24"/>
              </w:rPr>
              <w:t>②</w:t>
            </w:r>
            <w:r w:rsidRPr="000A5B5D">
              <w:rPr>
                <w:rFonts w:hint="eastAsia"/>
                <w:szCs w:val="24"/>
              </w:rPr>
              <w:t>决策程序导致出现一般失误；</w:t>
            </w:r>
            <w:r w:rsidRPr="000A5B5D">
              <w:rPr>
                <w:rFonts w:ascii="宋体" w:hAnsi="宋体" w:cs="宋体" w:hint="eastAsia"/>
                <w:szCs w:val="24"/>
              </w:rPr>
              <w:t>③</w:t>
            </w:r>
            <w:r w:rsidRPr="000A5B5D">
              <w:rPr>
                <w:rFonts w:hint="eastAsia"/>
                <w:szCs w:val="24"/>
              </w:rPr>
              <w:t>违反企业内部规章，形成损失；</w:t>
            </w:r>
            <w:r w:rsidRPr="000A5B5D">
              <w:rPr>
                <w:rFonts w:ascii="宋体" w:hAnsi="宋体" w:cs="宋体" w:hint="eastAsia"/>
                <w:szCs w:val="24"/>
              </w:rPr>
              <w:t>④</w:t>
            </w:r>
            <w:r w:rsidRPr="000A5B5D">
              <w:rPr>
                <w:rFonts w:hint="eastAsia"/>
                <w:szCs w:val="24"/>
              </w:rPr>
              <w:t>关键岗位业务人员流失严重；</w:t>
            </w:r>
            <w:r w:rsidRPr="000A5B5D">
              <w:rPr>
                <w:rFonts w:ascii="宋体" w:hAnsi="宋体" w:cs="宋体" w:hint="eastAsia"/>
                <w:szCs w:val="24"/>
              </w:rPr>
              <w:t>⑤</w:t>
            </w:r>
            <w:r w:rsidRPr="000A5B5D">
              <w:rPr>
                <w:rFonts w:hint="eastAsia"/>
                <w:szCs w:val="24"/>
              </w:rPr>
              <w:t>媒体出现负面新闻，波及局部区域；</w:t>
            </w:r>
            <w:r w:rsidRPr="000A5B5D">
              <w:rPr>
                <w:rFonts w:ascii="宋体" w:hAnsi="宋体" w:cs="宋体" w:hint="eastAsia"/>
                <w:szCs w:val="24"/>
              </w:rPr>
              <w:t>⑥</w:t>
            </w:r>
            <w:r w:rsidRPr="000A5B5D">
              <w:rPr>
                <w:rFonts w:hint="eastAsia"/>
                <w:szCs w:val="24"/>
              </w:rPr>
              <w:t>重要业务制度或系统存在缺陷；</w:t>
            </w:r>
            <w:r w:rsidRPr="000A5B5D">
              <w:rPr>
                <w:rFonts w:ascii="宋体" w:hAnsi="宋体" w:cs="宋体" w:hint="eastAsia"/>
                <w:szCs w:val="24"/>
              </w:rPr>
              <w:t>⑦</w:t>
            </w:r>
            <w:r w:rsidRPr="000A5B5D">
              <w:rPr>
                <w:rFonts w:hint="eastAsia"/>
                <w:szCs w:val="24"/>
              </w:rPr>
              <w:t>内部控制重要或一般缺陷未得到整改。</w:t>
            </w:r>
            <w:r w:rsidRPr="000A5B5D">
              <w:rPr>
                <w:szCs w:val="24"/>
              </w:rPr>
              <w:t xml:space="preserve">                                                   </w:t>
            </w:r>
            <w:r w:rsidRPr="000A5B5D">
              <w:rPr>
                <w:rFonts w:ascii="宋体" w:hAnsi="宋体" w:cs="宋体" w:hint="eastAsia"/>
                <w:szCs w:val="24"/>
              </w:rPr>
              <w:t>⑶</w:t>
            </w:r>
            <w:r w:rsidRPr="000A5B5D">
              <w:rPr>
                <w:rFonts w:hint="eastAsia"/>
                <w:szCs w:val="24"/>
              </w:rPr>
              <w:t>一般缺陷认定标准：</w:t>
            </w:r>
            <w:r w:rsidRPr="000A5B5D">
              <w:rPr>
                <w:rFonts w:ascii="宋体" w:hAnsi="宋体" w:cs="宋体" w:hint="eastAsia"/>
                <w:szCs w:val="24"/>
              </w:rPr>
              <w:t>①</w:t>
            </w:r>
            <w:r w:rsidRPr="000A5B5D">
              <w:rPr>
                <w:rFonts w:hint="eastAsia"/>
                <w:szCs w:val="24"/>
              </w:rPr>
              <w:t>决策程序效率不高；</w:t>
            </w:r>
            <w:r w:rsidRPr="000A5B5D">
              <w:rPr>
                <w:rFonts w:ascii="宋体" w:hAnsi="宋体" w:cs="宋体" w:hint="eastAsia"/>
                <w:szCs w:val="24"/>
              </w:rPr>
              <w:t>②</w:t>
            </w:r>
            <w:r w:rsidRPr="000A5B5D">
              <w:rPr>
                <w:rFonts w:hint="eastAsia"/>
                <w:szCs w:val="24"/>
              </w:rPr>
              <w:t>违反企业内部规章，但未形成损失；</w:t>
            </w:r>
            <w:r w:rsidRPr="000A5B5D">
              <w:rPr>
                <w:rFonts w:ascii="宋体" w:hAnsi="宋体" w:cs="宋体" w:hint="eastAsia"/>
                <w:szCs w:val="24"/>
              </w:rPr>
              <w:t>③</w:t>
            </w:r>
            <w:r w:rsidRPr="000A5B5D">
              <w:rPr>
                <w:rFonts w:hint="eastAsia"/>
                <w:szCs w:val="24"/>
              </w:rPr>
              <w:t>一般岗位业务人员流失严重；</w:t>
            </w:r>
            <w:r w:rsidRPr="000A5B5D">
              <w:rPr>
                <w:rFonts w:ascii="宋体" w:hAnsi="宋体" w:cs="宋体" w:hint="eastAsia"/>
                <w:szCs w:val="24"/>
              </w:rPr>
              <w:t>④</w:t>
            </w:r>
            <w:r w:rsidRPr="000A5B5D">
              <w:rPr>
                <w:rFonts w:hint="eastAsia"/>
                <w:szCs w:val="24"/>
              </w:rPr>
              <w:t>媒体出现负面新闻，但影响不大；</w:t>
            </w:r>
            <w:r w:rsidRPr="000A5B5D">
              <w:rPr>
                <w:rFonts w:ascii="宋体" w:hAnsi="宋体" w:cs="宋体" w:hint="eastAsia"/>
                <w:szCs w:val="24"/>
              </w:rPr>
              <w:t>⑤</w:t>
            </w:r>
            <w:r w:rsidRPr="000A5B5D">
              <w:rPr>
                <w:rFonts w:hint="eastAsia"/>
                <w:szCs w:val="24"/>
              </w:rPr>
              <w:t>一般业务制度或系统存在缺陷；</w:t>
            </w:r>
            <w:r w:rsidRPr="000A5B5D">
              <w:rPr>
                <w:rFonts w:ascii="宋体" w:hAnsi="宋体" w:cs="宋体" w:hint="eastAsia"/>
                <w:szCs w:val="24"/>
              </w:rPr>
              <w:t>⑥</w:t>
            </w:r>
            <w:r w:rsidRPr="000A5B5D">
              <w:rPr>
                <w:rFonts w:hint="eastAsia"/>
                <w:szCs w:val="24"/>
              </w:rPr>
              <w:t>一般缺陷未得到整改；</w:t>
            </w:r>
            <w:r w:rsidRPr="000A5B5D">
              <w:rPr>
                <w:rFonts w:ascii="宋体" w:hAnsi="宋体" w:cs="宋体" w:hint="eastAsia"/>
                <w:szCs w:val="24"/>
              </w:rPr>
              <w:t>⑦</w:t>
            </w:r>
            <w:r w:rsidRPr="000A5B5D">
              <w:rPr>
                <w:rFonts w:hint="eastAsia"/>
                <w:szCs w:val="24"/>
              </w:rPr>
              <w:t>存在其他缺陷</w:t>
            </w:r>
          </w:p>
        </w:tc>
        <w:tc>
          <w:tcPr>
            <w:tcW w:w="30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ascii="宋体" w:hAnsi="宋体" w:cs="宋体" w:hint="eastAsia"/>
                <w:szCs w:val="24"/>
              </w:rPr>
              <w:lastRenderedPageBreak/>
              <w:t>⑴</w:t>
            </w:r>
            <w:r w:rsidRPr="000A5B5D">
              <w:rPr>
                <w:rFonts w:hint="eastAsia"/>
                <w:szCs w:val="24"/>
              </w:rPr>
              <w:t>重大缺陷：关于企业安全、环保、</w:t>
            </w:r>
            <w:r w:rsidRPr="000A5B5D">
              <w:rPr>
                <w:rFonts w:hint="eastAsia"/>
                <w:szCs w:val="24"/>
              </w:rPr>
              <w:lastRenderedPageBreak/>
              <w:t>社会责任、执业道德、经营状况的负面消息流传全国各地，被政府或监管机构专项调查，引起公众媒体连续专题报道，企业因此出现资金借贷和回收、行政许可被暂停或吊销、资产被质押、大量索偿等不利事件（发生</w:t>
            </w:r>
            <w:r w:rsidRPr="000A5B5D">
              <w:rPr>
                <w:szCs w:val="24"/>
              </w:rPr>
              <w:t>I</w:t>
            </w:r>
            <w:r w:rsidRPr="000A5B5D">
              <w:rPr>
                <w:rFonts w:hint="eastAsia"/>
                <w:szCs w:val="24"/>
              </w:rPr>
              <w:t>级群体事件）。</w:t>
            </w:r>
            <w:r w:rsidRPr="000A5B5D">
              <w:rPr>
                <w:szCs w:val="24"/>
              </w:rPr>
              <w:t xml:space="preserve">                                                                </w:t>
            </w:r>
            <w:r w:rsidRPr="000A5B5D">
              <w:rPr>
                <w:rFonts w:ascii="宋体" w:hAnsi="宋体" w:cs="宋体" w:hint="eastAsia"/>
                <w:szCs w:val="24"/>
              </w:rPr>
              <w:t>⑵</w:t>
            </w:r>
            <w:r w:rsidRPr="000A5B5D">
              <w:rPr>
                <w:rFonts w:hint="eastAsia"/>
                <w:szCs w:val="24"/>
              </w:rPr>
              <w:t>重要缺陷：关于企业安全、环保、社会责任、执业道德、经营状况的负面消息，被公众媒体连续报道</w:t>
            </w:r>
            <w:r w:rsidRPr="000A5B5D">
              <w:rPr>
                <w:szCs w:val="24"/>
              </w:rPr>
              <w:t>3</w:t>
            </w:r>
            <w:r w:rsidRPr="000A5B5D">
              <w:rPr>
                <w:rFonts w:hint="eastAsia"/>
                <w:szCs w:val="24"/>
              </w:rPr>
              <w:t>次，受到行业或监管机构关注、调查，在行业范围内造成不利影响（发生</w:t>
            </w:r>
            <w:r w:rsidRPr="000A5B5D">
              <w:rPr>
                <w:szCs w:val="24"/>
              </w:rPr>
              <w:t>II</w:t>
            </w:r>
            <w:r w:rsidRPr="000A5B5D">
              <w:rPr>
                <w:rFonts w:hint="eastAsia"/>
                <w:szCs w:val="24"/>
              </w:rPr>
              <w:t>级群体事件）。</w:t>
            </w:r>
            <w:r w:rsidRPr="000A5B5D">
              <w:rPr>
                <w:szCs w:val="24"/>
              </w:rPr>
              <w:t xml:space="preserve">                     </w:t>
            </w:r>
            <w:r w:rsidRPr="000A5B5D">
              <w:rPr>
                <w:rFonts w:ascii="宋体" w:hAnsi="宋体" w:cs="宋体" w:hint="eastAsia"/>
                <w:szCs w:val="24"/>
              </w:rPr>
              <w:t>⑶</w:t>
            </w:r>
            <w:r w:rsidRPr="000A5B5D">
              <w:rPr>
                <w:rFonts w:hint="eastAsia"/>
                <w:szCs w:val="24"/>
              </w:rPr>
              <w:t>一般缺陷：关于企业安全、环保、社会责任、执业道德、经营状况的负面消息，被公众媒体连续报道</w:t>
            </w:r>
            <w:r w:rsidRPr="000A5B5D">
              <w:rPr>
                <w:szCs w:val="24"/>
              </w:rPr>
              <w:t>3</w:t>
            </w:r>
            <w:r w:rsidRPr="000A5B5D">
              <w:rPr>
                <w:rFonts w:hint="eastAsia"/>
                <w:szCs w:val="24"/>
              </w:rPr>
              <w:t>次，受到行业或监管机构关注、调查，在行业范围内造成不利影响（发生</w:t>
            </w:r>
            <w:r w:rsidRPr="000A5B5D">
              <w:rPr>
                <w:szCs w:val="24"/>
              </w:rPr>
              <w:t>III</w:t>
            </w:r>
            <w:r w:rsidRPr="000A5B5D">
              <w:rPr>
                <w:rFonts w:hint="eastAsia"/>
                <w:szCs w:val="24"/>
              </w:rPr>
              <w:t>或</w:t>
            </w:r>
            <w:r w:rsidRPr="000A5B5D">
              <w:rPr>
                <w:rFonts w:ascii="宋体" w:hAnsi="宋体" w:cs="宋体" w:hint="eastAsia"/>
                <w:szCs w:val="24"/>
              </w:rPr>
              <w:t>Ⅳ</w:t>
            </w:r>
            <w:r w:rsidRPr="000A5B5D">
              <w:rPr>
                <w:rFonts w:hint="eastAsia"/>
                <w:szCs w:val="24"/>
              </w:rPr>
              <w:t>级群体事件）</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lastRenderedPageBreak/>
              <w:t>定量标准</w:t>
            </w:r>
          </w:p>
        </w:tc>
        <w:tc>
          <w:tcPr>
            <w:tcW w:w="3323"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ascii="宋体" w:hAnsi="宋体" w:cs="宋体" w:hint="eastAsia"/>
                <w:szCs w:val="24"/>
              </w:rPr>
              <w:t>⑴</w:t>
            </w:r>
            <w:r w:rsidRPr="000A5B5D">
              <w:rPr>
                <w:rFonts w:hint="eastAsia"/>
                <w:szCs w:val="24"/>
              </w:rPr>
              <w:t>重大缺陷：总体影响水平高于重要性水平（上年税前利润的</w:t>
            </w:r>
            <w:r w:rsidRPr="000A5B5D">
              <w:rPr>
                <w:szCs w:val="24"/>
              </w:rPr>
              <w:t>10%</w:t>
            </w:r>
            <w:r w:rsidRPr="000A5B5D">
              <w:rPr>
                <w:rFonts w:hint="eastAsia"/>
                <w:szCs w:val="24"/>
              </w:rPr>
              <w:t>）。</w:t>
            </w:r>
            <w:r w:rsidRPr="000A5B5D">
              <w:rPr>
                <w:szCs w:val="24"/>
              </w:rPr>
              <w:t xml:space="preserve">                                                                </w:t>
            </w:r>
            <w:r w:rsidRPr="000A5B5D">
              <w:rPr>
                <w:rFonts w:ascii="宋体" w:hAnsi="宋体" w:cs="宋体" w:hint="eastAsia"/>
                <w:szCs w:val="24"/>
              </w:rPr>
              <w:t>⑵</w:t>
            </w:r>
            <w:r w:rsidRPr="000A5B5D">
              <w:rPr>
                <w:rFonts w:hint="eastAsia"/>
                <w:szCs w:val="24"/>
              </w:rPr>
              <w:t>重要缺陷：上年税前利润的</w:t>
            </w:r>
            <w:r w:rsidRPr="000A5B5D">
              <w:rPr>
                <w:szCs w:val="24"/>
              </w:rPr>
              <w:t>5%&lt;</w:t>
            </w:r>
            <w:r w:rsidRPr="000A5B5D">
              <w:rPr>
                <w:rFonts w:hint="eastAsia"/>
                <w:szCs w:val="24"/>
              </w:rPr>
              <w:t>总体重要性水平</w:t>
            </w:r>
            <w:r w:rsidRPr="000A5B5D">
              <w:rPr>
                <w:szCs w:val="24"/>
              </w:rPr>
              <w:t>&lt;</w:t>
            </w:r>
            <w:r w:rsidRPr="000A5B5D">
              <w:rPr>
                <w:rFonts w:hint="eastAsia"/>
                <w:szCs w:val="24"/>
              </w:rPr>
              <w:t>上年税前利润的</w:t>
            </w:r>
            <w:r w:rsidRPr="000A5B5D">
              <w:rPr>
                <w:szCs w:val="24"/>
              </w:rPr>
              <w:t>10%</w:t>
            </w:r>
            <w:r w:rsidRPr="000A5B5D">
              <w:rPr>
                <w:rFonts w:hint="eastAsia"/>
                <w:szCs w:val="24"/>
              </w:rPr>
              <w:t>。</w:t>
            </w:r>
            <w:r w:rsidRPr="000A5B5D">
              <w:rPr>
                <w:szCs w:val="24"/>
              </w:rPr>
              <w:t xml:space="preserve">                                                         </w:t>
            </w:r>
            <w:r w:rsidRPr="000A5B5D">
              <w:rPr>
                <w:rFonts w:ascii="宋体" w:hAnsi="宋体" w:cs="宋体" w:hint="eastAsia"/>
                <w:szCs w:val="24"/>
              </w:rPr>
              <w:t>⑶</w:t>
            </w:r>
            <w:r w:rsidRPr="000A5B5D">
              <w:rPr>
                <w:rFonts w:hint="eastAsia"/>
                <w:szCs w:val="24"/>
              </w:rPr>
              <w:t>一般缺陷：总体重要性水平</w:t>
            </w:r>
            <w:r w:rsidRPr="000A5B5D">
              <w:rPr>
                <w:szCs w:val="24"/>
              </w:rPr>
              <w:t>&lt;</w:t>
            </w:r>
            <w:r w:rsidRPr="000A5B5D">
              <w:rPr>
                <w:rFonts w:hint="eastAsia"/>
                <w:szCs w:val="24"/>
              </w:rPr>
              <w:t>上年税前利润水平的</w:t>
            </w:r>
            <w:r w:rsidRPr="000A5B5D">
              <w:rPr>
                <w:szCs w:val="24"/>
              </w:rPr>
              <w:t>5%</w:t>
            </w:r>
          </w:p>
        </w:tc>
        <w:tc>
          <w:tcPr>
            <w:tcW w:w="3051"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pPr>
              <w:jc w:val="left"/>
              <w:rPr>
                <w:szCs w:val="24"/>
              </w:rPr>
            </w:pPr>
            <w:r w:rsidRPr="000A5B5D">
              <w:rPr>
                <w:rFonts w:ascii="宋体" w:hAnsi="宋体" w:cs="宋体" w:hint="eastAsia"/>
                <w:szCs w:val="24"/>
              </w:rPr>
              <w:t>⑴</w:t>
            </w:r>
            <w:r w:rsidRPr="000A5B5D">
              <w:rPr>
                <w:rFonts w:hint="eastAsia"/>
                <w:szCs w:val="24"/>
              </w:rPr>
              <w:t>重大缺陷：直接财务损失</w:t>
            </w:r>
            <w:r w:rsidRPr="000A5B5D">
              <w:rPr>
                <w:szCs w:val="24"/>
              </w:rPr>
              <w:t>5000</w:t>
            </w:r>
            <w:r w:rsidRPr="000A5B5D">
              <w:rPr>
                <w:rFonts w:hint="eastAsia"/>
                <w:szCs w:val="24"/>
              </w:rPr>
              <w:t>万元（含）以上；人员健康安全影响</w:t>
            </w:r>
            <w:r w:rsidRPr="000A5B5D">
              <w:rPr>
                <w:szCs w:val="24"/>
              </w:rPr>
              <w:t>10</w:t>
            </w:r>
            <w:r w:rsidRPr="000A5B5D">
              <w:rPr>
                <w:rFonts w:hint="eastAsia"/>
                <w:szCs w:val="24"/>
              </w:rPr>
              <w:t>人以上死亡、或者</w:t>
            </w:r>
            <w:r w:rsidRPr="000A5B5D">
              <w:rPr>
                <w:szCs w:val="24"/>
              </w:rPr>
              <w:t>50</w:t>
            </w:r>
            <w:r w:rsidRPr="000A5B5D">
              <w:rPr>
                <w:rFonts w:hint="eastAsia"/>
                <w:szCs w:val="24"/>
              </w:rPr>
              <w:t>人以上重伤。</w:t>
            </w:r>
            <w:r w:rsidRPr="000A5B5D">
              <w:rPr>
                <w:rFonts w:ascii="宋体" w:hAnsi="宋体" w:cs="宋体" w:hint="eastAsia"/>
                <w:szCs w:val="24"/>
              </w:rPr>
              <w:t>⑵</w:t>
            </w:r>
            <w:r w:rsidRPr="000A5B5D">
              <w:rPr>
                <w:rFonts w:hint="eastAsia"/>
                <w:szCs w:val="24"/>
              </w:rPr>
              <w:t>重要缺陷：直接财务损失</w:t>
            </w:r>
            <w:r w:rsidRPr="000A5B5D">
              <w:rPr>
                <w:szCs w:val="24"/>
              </w:rPr>
              <w:t>1000</w:t>
            </w:r>
            <w:r w:rsidRPr="000A5B5D">
              <w:rPr>
                <w:rFonts w:hint="eastAsia"/>
                <w:szCs w:val="24"/>
              </w:rPr>
              <w:t>万（含）</w:t>
            </w:r>
            <w:r w:rsidRPr="000A5B5D">
              <w:rPr>
                <w:szCs w:val="24"/>
              </w:rPr>
              <w:t>~5000</w:t>
            </w:r>
            <w:r w:rsidRPr="000A5B5D">
              <w:rPr>
                <w:rFonts w:hint="eastAsia"/>
                <w:szCs w:val="24"/>
              </w:rPr>
              <w:t>万元；人员健康安全影响</w:t>
            </w:r>
            <w:r w:rsidRPr="000A5B5D">
              <w:rPr>
                <w:szCs w:val="24"/>
              </w:rPr>
              <w:t>3</w:t>
            </w:r>
            <w:r w:rsidRPr="000A5B5D">
              <w:rPr>
                <w:rFonts w:hint="eastAsia"/>
                <w:szCs w:val="24"/>
              </w:rPr>
              <w:t>人以上</w:t>
            </w:r>
            <w:r w:rsidRPr="000A5B5D">
              <w:rPr>
                <w:szCs w:val="24"/>
              </w:rPr>
              <w:t>10</w:t>
            </w:r>
            <w:r w:rsidRPr="000A5B5D">
              <w:rPr>
                <w:rFonts w:hint="eastAsia"/>
                <w:szCs w:val="24"/>
              </w:rPr>
              <w:t>人以下死亡、或者</w:t>
            </w:r>
            <w:r w:rsidRPr="000A5B5D">
              <w:rPr>
                <w:szCs w:val="24"/>
              </w:rPr>
              <w:t>10</w:t>
            </w:r>
            <w:r w:rsidRPr="000A5B5D">
              <w:rPr>
                <w:rFonts w:hint="eastAsia"/>
                <w:szCs w:val="24"/>
              </w:rPr>
              <w:t>人以上</w:t>
            </w:r>
            <w:r w:rsidRPr="000A5B5D">
              <w:rPr>
                <w:szCs w:val="24"/>
              </w:rPr>
              <w:t>50</w:t>
            </w:r>
            <w:r w:rsidRPr="000A5B5D">
              <w:rPr>
                <w:rFonts w:hint="eastAsia"/>
                <w:szCs w:val="24"/>
              </w:rPr>
              <w:t>人以下重伤。</w:t>
            </w:r>
            <w:r w:rsidRPr="000A5B5D">
              <w:rPr>
                <w:szCs w:val="24"/>
              </w:rPr>
              <w:t xml:space="preserve">                                       </w:t>
            </w:r>
            <w:r w:rsidRPr="000A5B5D">
              <w:rPr>
                <w:rFonts w:ascii="宋体" w:hAnsi="宋体" w:cs="宋体" w:hint="eastAsia"/>
                <w:szCs w:val="24"/>
              </w:rPr>
              <w:t>⑶</w:t>
            </w:r>
            <w:r w:rsidRPr="000A5B5D">
              <w:rPr>
                <w:rFonts w:hint="eastAsia"/>
                <w:szCs w:val="24"/>
              </w:rPr>
              <w:t>一般缺陷：直接财务损失</w:t>
            </w:r>
            <w:r w:rsidRPr="000A5B5D">
              <w:rPr>
                <w:szCs w:val="24"/>
              </w:rPr>
              <w:t>1000</w:t>
            </w:r>
            <w:r w:rsidRPr="000A5B5D">
              <w:rPr>
                <w:rFonts w:hint="eastAsia"/>
                <w:szCs w:val="24"/>
              </w:rPr>
              <w:t>万元以下；人员健康安全影响</w:t>
            </w:r>
            <w:r w:rsidRPr="000A5B5D">
              <w:rPr>
                <w:szCs w:val="24"/>
              </w:rPr>
              <w:t>3</w:t>
            </w:r>
            <w:r w:rsidRPr="000A5B5D">
              <w:rPr>
                <w:rFonts w:hint="eastAsia"/>
                <w:szCs w:val="24"/>
              </w:rPr>
              <w:t>人以下死亡、或者</w:t>
            </w:r>
            <w:r w:rsidRPr="000A5B5D">
              <w:rPr>
                <w:szCs w:val="24"/>
              </w:rPr>
              <w:t>10</w:t>
            </w:r>
            <w:r w:rsidRPr="000A5B5D">
              <w:rPr>
                <w:rFonts w:hint="eastAsia"/>
                <w:szCs w:val="24"/>
              </w:rPr>
              <w:t>人以下重伤。</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财务报告重大缺陷数量（个）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0</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非财务报告重大缺陷数量（个）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0</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财务报告重要缺陷数量（个）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0</w:t>
            </w:r>
          </w:p>
        </w:tc>
      </w:tr>
      <w:tr w:rsidR="00BC4D56" w:rsidRPr="000A5B5D">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pPr>
              <w:jc w:val="left"/>
              <w:rPr>
                <w:szCs w:val="24"/>
              </w:rPr>
            </w:pPr>
            <w:r w:rsidRPr="000A5B5D">
              <w:rPr>
                <w:rFonts w:hint="eastAsia"/>
                <w:szCs w:val="24"/>
              </w:rPr>
              <w:t>非财务报告重要缺陷数量（个）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jc w:val="left"/>
              <w:rPr>
                <w:szCs w:val="24"/>
              </w:rPr>
            </w:pPr>
            <w:r w:rsidRPr="000A5B5D">
              <w:rPr>
                <w:szCs w:val="24"/>
              </w:rPr>
              <w:t>0</w:t>
            </w:r>
          </w:p>
        </w:tc>
      </w:tr>
    </w:tbl>
    <w:p w:rsidR="00BC4D56" w:rsidRPr="000A5B5D" w:rsidRDefault="00BC4D56">
      <w:pPr>
        <w:pStyle w:val="Chapter"/>
        <w:outlineLvl w:val="1"/>
        <w:rPr>
          <w:bCs w:val="0"/>
        </w:rPr>
      </w:pPr>
      <w:r w:rsidRPr="000A5B5D">
        <w:rPr>
          <w:rFonts w:hint="eastAsia"/>
          <w:bCs w:val="0"/>
        </w:rPr>
        <w:t>十、内部控制审计报告</w:t>
      </w:r>
    </w:p>
    <w:tbl>
      <w:tblPr>
        <w:tblW w:w="0" w:type="auto"/>
        <w:tblInd w:w="28" w:type="dxa"/>
        <w:tblLayout w:type="fixed"/>
        <w:tblCellMar>
          <w:left w:w="28" w:type="dxa"/>
          <w:right w:w="28" w:type="dxa"/>
        </w:tblCellMar>
        <w:tblLook w:val="0000" w:firstRow="0" w:lastRow="0" w:firstColumn="0" w:lastColumn="0" w:noHBand="0" w:noVBand="0"/>
      </w:tblPr>
      <w:tblGrid>
        <w:gridCol w:w="3686"/>
        <w:gridCol w:w="5882"/>
      </w:tblGrid>
      <w:tr w:rsidR="00BC4D56" w:rsidRPr="000A5B5D">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center"/>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内部控制审计报告中的审议意见段</w:t>
            </w:r>
          </w:p>
        </w:tc>
      </w:tr>
      <w:tr w:rsidR="00BC4D56" w:rsidRPr="000A5B5D">
        <w:tc>
          <w:tcPr>
            <w:tcW w:w="9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我们认为，恒逸石化股份有限公司于</w:t>
            </w:r>
            <w:r w:rsidRPr="000A5B5D">
              <w:rPr>
                <w:rFonts w:asciiTheme="minorEastAsia" w:eastAsiaTheme="minorEastAsia" w:hAnsiTheme="minorEastAsia"/>
                <w:sz w:val="24"/>
                <w:szCs w:val="24"/>
              </w:rPr>
              <w:t>2015</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12</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31</w:t>
            </w:r>
            <w:r w:rsidRPr="000A5B5D">
              <w:rPr>
                <w:rFonts w:asciiTheme="minorEastAsia" w:eastAsiaTheme="minorEastAsia" w:hAnsiTheme="minorEastAsia" w:hint="eastAsia"/>
                <w:sz w:val="24"/>
                <w:szCs w:val="24"/>
              </w:rPr>
              <w:t>日按照《企业内部控制基本规范》和相关规定在所有重大方面保持了有效的财务报告内部控制。</w:t>
            </w:r>
          </w:p>
        </w:tc>
      </w:tr>
      <w:tr w:rsidR="00BC4D56" w:rsidRPr="000A5B5D" w:rsidTr="00115061">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内控审计报告披露情况</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披露</w:t>
            </w:r>
          </w:p>
        </w:tc>
      </w:tr>
      <w:tr w:rsidR="00BC4D56" w:rsidRPr="000A5B5D" w:rsidTr="00115061">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lastRenderedPageBreak/>
              <w:t>内部控制审计报告全文披露日期</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sz w:val="24"/>
                <w:szCs w:val="24"/>
              </w:rPr>
              <w:t>2016</w:t>
            </w:r>
            <w:r w:rsidRPr="000A5B5D">
              <w:rPr>
                <w:rFonts w:asciiTheme="minorEastAsia" w:eastAsiaTheme="minorEastAsia" w:hAnsiTheme="minorEastAsia" w:hint="eastAsia"/>
                <w:sz w:val="24"/>
                <w:szCs w:val="24"/>
              </w:rPr>
              <w:t>年</w:t>
            </w:r>
            <w:r w:rsidRPr="000A5B5D">
              <w:rPr>
                <w:rFonts w:asciiTheme="minorEastAsia" w:eastAsiaTheme="minorEastAsia" w:hAnsiTheme="minorEastAsia"/>
                <w:sz w:val="24"/>
                <w:szCs w:val="24"/>
              </w:rPr>
              <w:t>04</w:t>
            </w:r>
            <w:r w:rsidRPr="000A5B5D">
              <w:rPr>
                <w:rFonts w:asciiTheme="minorEastAsia" w:eastAsiaTheme="minorEastAsia" w:hAnsiTheme="minorEastAsia" w:hint="eastAsia"/>
                <w:sz w:val="24"/>
                <w:szCs w:val="24"/>
              </w:rPr>
              <w:t>月</w:t>
            </w:r>
            <w:r w:rsidRPr="000A5B5D">
              <w:rPr>
                <w:rFonts w:asciiTheme="minorEastAsia" w:eastAsiaTheme="minorEastAsia" w:hAnsiTheme="minorEastAsia"/>
                <w:sz w:val="24"/>
                <w:szCs w:val="24"/>
              </w:rPr>
              <w:t>25</w:t>
            </w:r>
            <w:r w:rsidRPr="000A5B5D">
              <w:rPr>
                <w:rFonts w:asciiTheme="minorEastAsia" w:eastAsiaTheme="minorEastAsia" w:hAnsiTheme="minorEastAsia" w:hint="eastAsia"/>
                <w:sz w:val="24"/>
                <w:szCs w:val="24"/>
              </w:rPr>
              <w:t>日</w:t>
            </w:r>
          </w:p>
        </w:tc>
      </w:tr>
      <w:tr w:rsidR="00BC4D56" w:rsidRPr="000A5B5D" w:rsidTr="00115061">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内部控制审计报告全文披露索引</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巨潮资讯网（</w:t>
            </w:r>
            <w:r w:rsidRPr="000A5B5D">
              <w:rPr>
                <w:rFonts w:asciiTheme="minorEastAsia" w:eastAsiaTheme="minorEastAsia" w:hAnsiTheme="minorEastAsia"/>
                <w:sz w:val="24"/>
                <w:szCs w:val="24"/>
              </w:rPr>
              <w:t>http://www.cninfo.com.cn</w:t>
            </w:r>
            <w:r w:rsidRPr="000A5B5D">
              <w:rPr>
                <w:rFonts w:asciiTheme="minorEastAsia" w:eastAsiaTheme="minorEastAsia" w:hAnsiTheme="minorEastAsia" w:hint="eastAsia"/>
                <w:sz w:val="24"/>
                <w:szCs w:val="24"/>
              </w:rPr>
              <w:t>）</w:t>
            </w:r>
          </w:p>
        </w:tc>
      </w:tr>
      <w:tr w:rsidR="00BC4D56" w:rsidRPr="000A5B5D" w:rsidTr="00115061">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内控审计报告意见类型</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标准无保留意见</w:t>
            </w:r>
          </w:p>
        </w:tc>
      </w:tr>
      <w:tr w:rsidR="00BC4D56" w:rsidRPr="000A5B5D" w:rsidTr="00115061">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非财务报告是否存在重大缺陷</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rFonts w:asciiTheme="minorEastAsia" w:eastAsiaTheme="minorEastAsia" w:hAnsiTheme="minorEastAsia"/>
                <w:sz w:val="24"/>
                <w:szCs w:val="24"/>
              </w:rPr>
            </w:pPr>
            <w:r w:rsidRPr="000A5B5D">
              <w:rPr>
                <w:rFonts w:asciiTheme="minorEastAsia" w:eastAsiaTheme="minorEastAsia" w:hAnsiTheme="minorEastAsia" w:hint="eastAsia"/>
                <w:sz w:val="24"/>
                <w:szCs w:val="24"/>
              </w:rPr>
              <w:t>否</w:t>
            </w:r>
          </w:p>
        </w:tc>
      </w:tr>
    </w:tbl>
    <w:p w:rsidR="00BC4D56" w:rsidRPr="000A5B5D" w:rsidRDefault="00BC4D56" w:rsidP="00115061">
      <w:pPr>
        <w:spacing w:line="360" w:lineRule="auto"/>
        <w:jc w:val="left"/>
        <w:rPr>
          <w:sz w:val="24"/>
          <w:szCs w:val="24"/>
        </w:rPr>
      </w:pPr>
      <w:r w:rsidRPr="000A5B5D">
        <w:rPr>
          <w:rFonts w:hint="eastAsia"/>
          <w:sz w:val="24"/>
          <w:szCs w:val="24"/>
        </w:rPr>
        <w:t>会计师事务所是否出具非标准意见的内部控制审计报告</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115061">
      <w:pPr>
        <w:spacing w:line="360" w:lineRule="auto"/>
        <w:jc w:val="left"/>
        <w:rPr>
          <w:sz w:val="24"/>
          <w:szCs w:val="24"/>
        </w:rPr>
      </w:pPr>
      <w:r w:rsidRPr="000A5B5D">
        <w:rPr>
          <w:rFonts w:hint="eastAsia"/>
          <w:sz w:val="24"/>
          <w:szCs w:val="24"/>
        </w:rPr>
        <w:t>会计师事务所出具的内部控制审计报告与董事会的自我评价报告意见是否一致</w:t>
      </w:r>
    </w:p>
    <w:p w:rsidR="00BC4D56" w:rsidRPr="000A5B5D" w:rsidRDefault="00BC4D56" w:rsidP="00115061">
      <w:pPr>
        <w:spacing w:line="360" w:lineRule="auto"/>
        <w:jc w:val="left"/>
        <w:rPr>
          <w:sz w:val="24"/>
          <w:szCs w:val="24"/>
        </w:rPr>
      </w:pPr>
      <w:r w:rsidRPr="000A5B5D">
        <w:rPr>
          <w:sz w:val="24"/>
          <w:szCs w:val="24"/>
        </w:rPr>
        <w:t xml:space="preserve">√ </w:t>
      </w:r>
      <w:r w:rsidRPr="000A5B5D">
        <w:rPr>
          <w:rFonts w:hint="eastAsia"/>
          <w:sz w:val="24"/>
          <w:szCs w:val="24"/>
        </w:rPr>
        <w:t>是</w:t>
      </w:r>
      <w:r w:rsidRPr="000A5B5D">
        <w:rPr>
          <w:sz w:val="24"/>
          <w:szCs w:val="24"/>
        </w:rPr>
        <w:t xml:space="preserve"> □ </w:t>
      </w:r>
      <w:r w:rsidRPr="000A5B5D">
        <w:rPr>
          <w:rFonts w:hint="eastAsia"/>
          <w:sz w:val="24"/>
          <w:szCs w:val="24"/>
        </w:rPr>
        <w:t>否</w:t>
      </w:r>
      <w:r w:rsidRPr="000A5B5D">
        <w:rPr>
          <w:sz w:val="24"/>
          <w:szCs w:val="24"/>
        </w:rPr>
        <w:t xml:space="preserve"> </w:t>
      </w:r>
    </w:p>
    <w:p w:rsidR="00BC4D56" w:rsidRPr="000A5B5D" w:rsidRDefault="00BC4D56" w:rsidP="00115061">
      <w:pPr>
        <w:spacing w:line="360" w:lineRule="auto"/>
        <w:jc w:val="left"/>
        <w:rPr>
          <w:sz w:val="24"/>
          <w:szCs w:val="24"/>
        </w:rPr>
        <w:sectPr w:rsidR="00BC4D56" w:rsidRPr="000A5B5D">
          <w:pgSz w:w="11906" w:h="16838"/>
          <w:pgMar w:top="1440" w:right="1134" w:bottom="1440" w:left="1134" w:header="851" w:footer="992" w:gutter="0"/>
          <w:cols w:space="425"/>
          <w:docGrid w:type="lines" w:linePitch="312"/>
        </w:sectPr>
      </w:pPr>
    </w:p>
    <w:p w:rsidR="00BC4D56" w:rsidRPr="000A5B5D" w:rsidRDefault="00BC4D56">
      <w:pPr>
        <w:pStyle w:val="a3"/>
        <w:outlineLvl w:val="0"/>
        <w:rPr>
          <w:bCs w:val="0"/>
          <w:szCs w:val="24"/>
        </w:rPr>
      </w:pPr>
      <w:bookmarkStart w:id="11" w:name="_Toc449101534"/>
      <w:r w:rsidRPr="000A5B5D">
        <w:rPr>
          <w:rFonts w:hint="eastAsia"/>
          <w:bCs w:val="0"/>
          <w:szCs w:val="24"/>
        </w:rPr>
        <w:lastRenderedPageBreak/>
        <w:t>第十节</w:t>
      </w:r>
      <w:r w:rsidRPr="000A5B5D">
        <w:rPr>
          <w:bCs w:val="0"/>
          <w:szCs w:val="24"/>
        </w:rPr>
        <w:t xml:space="preserve"> </w:t>
      </w:r>
      <w:r w:rsidRPr="000A5B5D">
        <w:rPr>
          <w:rFonts w:hint="eastAsia"/>
          <w:bCs w:val="0"/>
          <w:szCs w:val="24"/>
        </w:rPr>
        <w:t>财务报告</w:t>
      </w:r>
      <w:bookmarkEnd w:id="11"/>
    </w:p>
    <w:p w:rsidR="00BC4D56" w:rsidRPr="000A5B5D" w:rsidRDefault="00BC4D56">
      <w:pPr>
        <w:pStyle w:val="Chapter"/>
        <w:outlineLvl w:val="1"/>
        <w:rPr>
          <w:bCs w:val="0"/>
        </w:rPr>
      </w:pPr>
      <w:r w:rsidRPr="000A5B5D">
        <w:rPr>
          <w:rFonts w:hint="eastAsia"/>
          <w:bCs w:val="0"/>
        </w:rPr>
        <w:t>一、审计报告</w:t>
      </w:r>
    </w:p>
    <w:tbl>
      <w:tblPr>
        <w:tblW w:w="0" w:type="auto"/>
        <w:tblInd w:w="28" w:type="dxa"/>
        <w:tblLayout w:type="fixed"/>
        <w:tblCellMar>
          <w:left w:w="28" w:type="dxa"/>
          <w:right w:w="28" w:type="dxa"/>
        </w:tblCellMar>
        <w:tblLook w:val="0000" w:firstRow="0" w:lastRow="0" w:firstColumn="0" w:lastColumn="0" w:noHBand="0" w:noVBand="0"/>
      </w:tblPr>
      <w:tblGrid>
        <w:gridCol w:w="4783"/>
        <w:gridCol w:w="4785"/>
      </w:tblGrid>
      <w:tr w:rsidR="00BC4D56" w:rsidRPr="000A5B5D">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sz w:val="24"/>
                <w:szCs w:val="24"/>
              </w:rPr>
            </w:pPr>
            <w:r w:rsidRPr="000A5B5D">
              <w:rPr>
                <w:rFonts w:hint="eastAsia"/>
                <w:sz w:val="24"/>
                <w:szCs w:val="24"/>
              </w:rPr>
              <w:t>审计意见类型</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sz w:val="24"/>
                <w:szCs w:val="24"/>
              </w:rPr>
            </w:pPr>
            <w:r w:rsidRPr="000A5B5D">
              <w:rPr>
                <w:rFonts w:hint="eastAsia"/>
                <w:sz w:val="24"/>
                <w:szCs w:val="24"/>
              </w:rPr>
              <w:t>标准无保留审计意见</w:t>
            </w:r>
          </w:p>
        </w:tc>
      </w:tr>
      <w:tr w:rsidR="00BC4D56" w:rsidRPr="000A5B5D">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sz w:val="24"/>
                <w:szCs w:val="24"/>
              </w:rPr>
            </w:pPr>
            <w:r w:rsidRPr="000A5B5D">
              <w:rPr>
                <w:rFonts w:hint="eastAsia"/>
                <w:sz w:val="24"/>
                <w:szCs w:val="24"/>
              </w:rPr>
              <w:t>审计报告签署日期</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sz w:val="24"/>
                <w:szCs w:val="24"/>
              </w:rPr>
            </w:pPr>
            <w:r w:rsidRPr="000A5B5D">
              <w:rPr>
                <w:sz w:val="24"/>
                <w:szCs w:val="24"/>
              </w:rPr>
              <w:t>2016</w:t>
            </w:r>
            <w:r w:rsidRPr="000A5B5D">
              <w:rPr>
                <w:rFonts w:hint="eastAsia"/>
                <w:sz w:val="24"/>
                <w:szCs w:val="24"/>
              </w:rPr>
              <w:t>年</w:t>
            </w:r>
            <w:r w:rsidRPr="000A5B5D">
              <w:rPr>
                <w:sz w:val="24"/>
                <w:szCs w:val="24"/>
              </w:rPr>
              <w:t>04</w:t>
            </w:r>
            <w:r w:rsidRPr="000A5B5D">
              <w:rPr>
                <w:rFonts w:hint="eastAsia"/>
                <w:sz w:val="24"/>
                <w:szCs w:val="24"/>
              </w:rPr>
              <w:t>月</w:t>
            </w:r>
            <w:r w:rsidRPr="000A5B5D">
              <w:rPr>
                <w:sz w:val="24"/>
                <w:szCs w:val="24"/>
              </w:rPr>
              <w:t>25</w:t>
            </w:r>
            <w:r w:rsidRPr="000A5B5D">
              <w:rPr>
                <w:rFonts w:hint="eastAsia"/>
                <w:sz w:val="24"/>
                <w:szCs w:val="24"/>
              </w:rPr>
              <w:t>日</w:t>
            </w:r>
          </w:p>
        </w:tc>
      </w:tr>
      <w:tr w:rsidR="00BC4D56" w:rsidRPr="000A5B5D">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sz w:val="24"/>
                <w:szCs w:val="24"/>
              </w:rPr>
            </w:pPr>
            <w:r w:rsidRPr="000A5B5D">
              <w:rPr>
                <w:rFonts w:hint="eastAsia"/>
                <w:sz w:val="24"/>
                <w:szCs w:val="24"/>
              </w:rPr>
              <w:t>审计机构名称</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sz w:val="24"/>
                <w:szCs w:val="24"/>
              </w:rPr>
            </w:pPr>
            <w:r w:rsidRPr="000A5B5D">
              <w:rPr>
                <w:rFonts w:hint="eastAsia"/>
                <w:sz w:val="24"/>
                <w:szCs w:val="24"/>
              </w:rPr>
              <w:t>瑞华会计师事务所（特殊普通合伙）</w:t>
            </w:r>
          </w:p>
        </w:tc>
      </w:tr>
      <w:tr w:rsidR="00BC4D56" w:rsidRPr="000A5B5D">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sz w:val="24"/>
                <w:szCs w:val="24"/>
              </w:rPr>
            </w:pPr>
            <w:r w:rsidRPr="000A5B5D">
              <w:rPr>
                <w:rFonts w:hint="eastAsia"/>
                <w:sz w:val="24"/>
                <w:szCs w:val="24"/>
              </w:rPr>
              <w:t>审计报告文号</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sz w:val="24"/>
                <w:szCs w:val="24"/>
              </w:rPr>
            </w:pPr>
            <w:r w:rsidRPr="000A5B5D">
              <w:rPr>
                <w:rFonts w:hint="eastAsia"/>
                <w:sz w:val="24"/>
                <w:szCs w:val="24"/>
              </w:rPr>
              <w:t>瑞华审字【</w:t>
            </w:r>
            <w:r w:rsidRPr="000A5B5D">
              <w:rPr>
                <w:sz w:val="24"/>
                <w:szCs w:val="24"/>
              </w:rPr>
              <w:t>2016</w:t>
            </w:r>
            <w:r w:rsidRPr="000A5B5D">
              <w:rPr>
                <w:rFonts w:hint="eastAsia"/>
                <w:sz w:val="24"/>
                <w:szCs w:val="24"/>
              </w:rPr>
              <w:t>】</w:t>
            </w:r>
            <w:r w:rsidRPr="000A5B5D">
              <w:rPr>
                <w:sz w:val="24"/>
                <w:szCs w:val="24"/>
              </w:rPr>
              <w:t>01970075</w:t>
            </w:r>
            <w:r w:rsidRPr="000A5B5D">
              <w:rPr>
                <w:rFonts w:hint="eastAsia"/>
                <w:sz w:val="24"/>
                <w:szCs w:val="24"/>
              </w:rPr>
              <w:t>号</w:t>
            </w:r>
          </w:p>
        </w:tc>
      </w:tr>
      <w:tr w:rsidR="00BC4D56" w:rsidRPr="000A5B5D">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rsidR="00BC4D56" w:rsidRPr="000A5B5D" w:rsidRDefault="00BC4D56" w:rsidP="00115061">
            <w:pPr>
              <w:spacing w:line="360" w:lineRule="auto"/>
              <w:jc w:val="left"/>
              <w:rPr>
                <w:sz w:val="24"/>
                <w:szCs w:val="24"/>
              </w:rPr>
            </w:pPr>
            <w:r w:rsidRPr="000A5B5D">
              <w:rPr>
                <w:rFonts w:hint="eastAsia"/>
                <w:sz w:val="24"/>
                <w:szCs w:val="24"/>
              </w:rPr>
              <w:t>注册会计师姓名</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rsidR="00BC4D56" w:rsidRPr="000A5B5D" w:rsidRDefault="00BC4D56" w:rsidP="00115061">
            <w:pPr>
              <w:spacing w:line="360" w:lineRule="auto"/>
              <w:jc w:val="left"/>
              <w:rPr>
                <w:sz w:val="24"/>
                <w:szCs w:val="24"/>
              </w:rPr>
            </w:pPr>
            <w:r w:rsidRPr="000A5B5D">
              <w:rPr>
                <w:rFonts w:hint="eastAsia"/>
                <w:sz w:val="24"/>
                <w:szCs w:val="24"/>
              </w:rPr>
              <w:t>刘洪跃、王志伟</w:t>
            </w:r>
          </w:p>
        </w:tc>
      </w:tr>
    </w:tbl>
    <w:p w:rsidR="00B30B6B" w:rsidRPr="000A5B5D" w:rsidRDefault="00B30B6B" w:rsidP="00B30B6B">
      <w:pPr>
        <w:spacing w:line="360" w:lineRule="exact"/>
        <w:jc w:val="center"/>
        <w:rPr>
          <w:rFonts w:ascii="宋体" w:cs="Arial"/>
          <w:b/>
          <w:sz w:val="36"/>
        </w:rPr>
      </w:pPr>
    </w:p>
    <w:p w:rsidR="00B30B6B" w:rsidRPr="000A5B5D" w:rsidRDefault="00B30B6B" w:rsidP="00B30B6B">
      <w:pPr>
        <w:spacing w:line="360" w:lineRule="exact"/>
        <w:jc w:val="center"/>
        <w:rPr>
          <w:rFonts w:ascii="宋体" w:cs="Arial"/>
          <w:b/>
          <w:sz w:val="36"/>
        </w:rPr>
      </w:pPr>
      <w:r w:rsidRPr="000A5B5D">
        <w:rPr>
          <w:rFonts w:ascii="宋体" w:hAnsi="宋体" w:cs="Arial" w:hint="eastAsia"/>
          <w:b/>
          <w:sz w:val="36"/>
        </w:rPr>
        <w:t>审</w:t>
      </w:r>
      <w:r w:rsidRPr="000A5B5D">
        <w:rPr>
          <w:rFonts w:ascii="宋体" w:hAnsi="宋体" w:cs="Arial"/>
          <w:b/>
          <w:sz w:val="36"/>
        </w:rPr>
        <w:t xml:space="preserve"> </w:t>
      </w:r>
      <w:r w:rsidRPr="000A5B5D">
        <w:rPr>
          <w:rFonts w:ascii="宋体" w:hAnsi="宋体" w:cs="Arial" w:hint="eastAsia"/>
          <w:b/>
          <w:sz w:val="36"/>
        </w:rPr>
        <w:t>计</w:t>
      </w:r>
      <w:r w:rsidRPr="000A5B5D">
        <w:rPr>
          <w:rFonts w:ascii="宋体" w:hAnsi="宋体" w:cs="Arial"/>
          <w:b/>
          <w:sz w:val="36"/>
        </w:rPr>
        <w:t xml:space="preserve"> </w:t>
      </w:r>
      <w:r w:rsidRPr="000A5B5D">
        <w:rPr>
          <w:rFonts w:ascii="宋体" w:hAnsi="宋体" w:cs="Arial" w:hint="eastAsia"/>
          <w:b/>
          <w:sz w:val="36"/>
        </w:rPr>
        <w:t>报</w:t>
      </w:r>
      <w:r w:rsidRPr="000A5B5D">
        <w:rPr>
          <w:rFonts w:ascii="宋体" w:hAnsi="宋体" w:cs="Arial"/>
          <w:b/>
          <w:sz w:val="36"/>
        </w:rPr>
        <w:t xml:space="preserve"> </w:t>
      </w:r>
      <w:r w:rsidRPr="000A5B5D">
        <w:rPr>
          <w:rFonts w:ascii="宋体" w:hAnsi="宋体" w:cs="Arial" w:hint="eastAsia"/>
          <w:b/>
          <w:sz w:val="36"/>
        </w:rPr>
        <w:t>告</w:t>
      </w:r>
    </w:p>
    <w:p w:rsidR="00B30B6B" w:rsidRPr="000A5B5D" w:rsidRDefault="00B30B6B" w:rsidP="00B30B6B">
      <w:pPr>
        <w:spacing w:line="360" w:lineRule="exact"/>
        <w:rPr>
          <w:rFonts w:ascii="宋体" w:cs="Arial"/>
          <w:sz w:val="24"/>
        </w:rPr>
      </w:pPr>
    </w:p>
    <w:p w:rsidR="00B30B6B" w:rsidRPr="000A5B5D" w:rsidRDefault="00B30B6B" w:rsidP="00B30B6B">
      <w:pPr>
        <w:spacing w:line="360" w:lineRule="exact"/>
        <w:ind w:rightChars="12" w:right="22" w:firstLineChars="1000" w:firstLine="2400"/>
        <w:jc w:val="right"/>
        <w:rPr>
          <w:rFonts w:ascii="Arial" w:hAnsi="Arial" w:cs="Arial"/>
          <w:sz w:val="24"/>
        </w:rPr>
      </w:pPr>
      <w:r w:rsidRPr="000A5B5D">
        <w:rPr>
          <w:rFonts w:ascii="Arial" w:hAnsi="宋体" w:cs="Arial" w:hint="eastAsia"/>
          <w:sz w:val="24"/>
        </w:rPr>
        <w:t>瑞华审字【</w:t>
      </w:r>
      <w:r w:rsidRPr="000A5B5D">
        <w:rPr>
          <w:rFonts w:ascii="Arial" w:hAnsi="宋体" w:cs="Arial"/>
          <w:sz w:val="24"/>
        </w:rPr>
        <w:t>2016</w:t>
      </w:r>
      <w:r w:rsidRPr="000A5B5D">
        <w:rPr>
          <w:rFonts w:ascii="Arial" w:hAnsi="宋体" w:cs="Arial" w:hint="eastAsia"/>
          <w:sz w:val="24"/>
        </w:rPr>
        <w:t>】</w:t>
      </w:r>
      <w:r w:rsidRPr="000A5B5D">
        <w:rPr>
          <w:rFonts w:ascii="Arial" w:hAnsi="宋体" w:cs="Arial"/>
          <w:sz w:val="24"/>
        </w:rPr>
        <w:t>01970075</w:t>
      </w:r>
      <w:r w:rsidRPr="000A5B5D">
        <w:rPr>
          <w:rFonts w:ascii="Arial" w:hAnsi="宋体" w:cs="Arial" w:hint="eastAsia"/>
          <w:sz w:val="24"/>
        </w:rPr>
        <w:t>号</w:t>
      </w:r>
    </w:p>
    <w:p w:rsidR="00B30B6B" w:rsidRPr="000A5B5D" w:rsidRDefault="00B30B6B" w:rsidP="00B30B6B">
      <w:pPr>
        <w:spacing w:line="360" w:lineRule="exact"/>
        <w:ind w:rightChars="12" w:right="22"/>
        <w:outlineLvl w:val="0"/>
        <w:rPr>
          <w:rFonts w:ascii="Arial" w:hAnsi="Arial" w:cs="Arial"/>
          <w:b/>
          <w:sz w:val="24"/>
        </w:rPr>
      </w:pPr>
      <w:r w:rsidRPr="000A5B5D">
        <w:rPr>
          <w:rFonts w:ascii="宋体" w:hAnsi="宋体" w:cs="Arial" w:hint="eastAsia"/>
          <w:b/>
          <w:sz w:val="24"/>
        </w:rPr>
        <w:t>恒逸石化</w:t>
      </w:r>
      <w:r w:rsidRPr="000A5B5D">
        <w:rPr>
          <w:rFonts w:ascii="Arial" w:hAnsi="宋体" w:cs="Arial" w:hint="eastAsia"/>
          <w:b/>
          <w:sz w:val="24"/>
        </w:rPr>
        <w:t>股份有限公司全体股东：</w:t>
      </w:r>
    </w:p>
    <w:p w:rsidR="00B30B6B" w:rsidRPr="000A5B5D" w:rsidRDefault="00B30B6B" w:rsidP="00B30B6B">
      <w:pPr>
        <w:spacing w:line="360" w:lineRule="exact"/>
        <w:rPr>
          <w:rFonts w:ascii="Arial" w:hAnsi="Arial" w:cs="Arial"/>
          <w:sz w:val="24"/>
        </w:rPr>
      </w:pPr>
    </w:p>
    <w:p w:rsidR="00B30B6B" w:rsidRPr="000A5B5D" w:rsidRDefault="00B30B6B" w:rsidP="00B30B6B">
      <w:pPr>
        <w:spacing w:line="360" w:lineRule="auto"/>
        <w:ind w:firstLineChars="200" w:firstLine="480"/>
        <w:rPr>
          <w:rFonts w:ascii="Arial" w:hAnsi="宋体" w:cs="Arial"/>
          <w:sz w:val="24"/>
        </w:rPr>
      </w:pPr>
      <w:r w:rsidRPr="000A5B5D">
        <w:rPr>
          <w:rFonts w:ascii="Arial" w:hAnsi="宋体" w:cs="Arial" w:hint="eastAsia"/>
          <w:sz w:val="24"/>
        </w:rPr>
        <w:t>我们审计了后附的</w:t>
      </w:r>
      <w:r w:rsidRPr="000A5B5D">
        <w:rPr>
          <w:rFonts w:ascii="宋体" w:hAnsi="宋体" w:cs="Arial" w:hint="eastAsia"/>
          <w:sz w:val="24"/>
        </w:rPr>
        <w:t>恒逸石化</w:t>
      </w:r>
      <w:r w:rsidRPr="000A5B5D">
        <w:rPr>
          <w:rFonts w:ascii="Arial" w:hAnsi="宋体" w:cs="Arial" w:hint="eastAsia"/>
          <w:sz w:val="24"/>
        </w:rPr>
        <w:t>股份有限公司</w:t>
      </w:r>
      <w:r w:rsidRPr="000A5B5D">
        <w:rPr>
          <w:rFonts w:ascii="Arial" w:hAnsi="Arial" w:cs="Arial" w:hint="eastAsia"/>
          <w:sz w:val="24"/>
        </w:rPr>
        <w:t>（</w:t>
      </w:r>
      <w:r w:rsidRPr="000A5B5D">
        <w:rPr>
          <w:rFonts w:ascii="Arial" w:hAnsi="宋体" w:cs="Arial" w:hint="eastAsia"/>
          <w:sz w:val="24"/>
        </w:rPr>
        <w:t>以下简称</w:t>
      </w:r>
      <w:r w:rsidRPr="000A5B5D">
        <w:rPr>
          <w:rFonts w:ascii="Arial" w:hAnsi="Arial" w:cs="Arial" w:hint="eastAsia"/>
          <w:sz w:val="24"/>
        </w:rPr>
        <w:t>“</w:t>
      </w:r>
      <w:r w:rsidRPr="000A5B5D">
        <w:rPr>
          <w:rFonts w:ascii="Arial" w:hAnsi="宋体" w:cs="Arial" w:hint="eastAsia"/>
          <w:sz w:val="24"/>
        </w:rPr>
        <w:t>恒逸石化公司</w:t>
      </w:r>
      <w:r w:rsidRPr="000A5B5D">
        <w:rPr>
          <w:rFonts w:ascii="Arial" w:hAnsi="Arial" w:cs="Arial" w:hint="eastAsia"/>
          <w:sz w:val="24"/>
        </w:rPr>
        <w:t>”）的</w:t>
      </w:r>
      <w:r w:rsidRPr="000A5B5D">
        <w:rPr>
          <w:rFonts w:ascii="Arial" w:hAnsi="宋体" w:cs="Arial" w:hint="eastAsia"/>
          <w:sz w:val="24"/>
        </w:rPr>
        <w:t>财务报表，包括</w:t>
      </w:r>
      <w:r w:rsidRPr="000A5B5D">
        <w:rPr>
          <w:rFonts w:ascii="Arial" w:hAnsi="Arial" w:cs="Arial"/>
          <w:sz w:val="24"/>
        </w:rPr>
        <w:t>2015</w:t>
      </w:r>
      <w:r w:rsidRPr="000A5B5D">
        <w:rPr>
          <w:rFonts w:ascii="Arial" w:hAnsi="宋体" w:cs="Arial" w:hint="eastAsia"/>
          <w:sz w:val="24"/>
        </w:rPr>
        <w:t>年</w:t>
      </w:r>
      <w:r w:rsidRPr="000A5B5D">
        <w:rPr>
          <w:rFonts w:ascii="Arial" w:hAnsi="Arial" w:cs="Arial"/>
          <w:sz w:val="24"/>
        </w:rPr>
        <w:t>12</w:t>
      </w:r>
      <w:r w:rsidRPr="000A5B5D">
        <w:rPr>
          <w:rFonts w:ascii="Arial" w:hAnsi="宋体" w:cs="Arial" w:hint="eastAsia"/>
          <w:sz w:val="24"/>
        </w:rPr>
        <w:t>月</w:t>
      </w:r>
      <w:r w:rsidRPr="000A5B5D">
        <w:rPr>
          <w:rFonts w:ascii="Arial" w:hAnsi="Arial" w:cs="Arial"/>
          <w:sz w:val="24"/>
        </w:rPr>
        <w:t>31</w:t>
      </w:r>
      <w:r w:rsidRPr="000A5B5D">
        <w:rPr>
          <w:rFonts w:ascii="Arial" w:hAnsi="宋体" w:cs="Arial" w:hint="eastAsia"/>
          <w:sz w:val="24"/>
        </w:rPr>
        <w:t>日合并及公司的资产负债表，</w:t>
      </w:r>
      <w:r w:rsidRPr="000A5B5D">
        <w:rPr>
          <w:rFonts w:ascii="Arial" w:hAnsi="Arial" w:cs="Arial"/>
          <w:sz w:val="24"/>
        </w:rPr>
        <w:t>2015</w:t>
      </w:r>
      <w:r w:rsidRPr="000A5B5D">
        <w:rPr>
          <w:rFonts w:ascii="Arial" w:hAnsi="宋体" w:cs="Arial" w:hint="eastAsia"/>
          <w:sz w:val="24"/>
        </w:rPr>
        <w:t>年度合并及公司的利润表、合并及公司的现金流量表和合并及公司的股东权益变动表以及财务报表附注。</w:t>
      </w:r>
    </w:p>
    <w:p w:rsidR="00B30B6B" w:rsidRPr="000A5B5D" w:rsidRDefault="00B30B6B" w:rsidP="00B30B6B">
      <w:pPr>
        <w:spacing w:line="360" w:lineRule="auto"/>
        <w:ind w:firstLine="200"/>
        <w:rPr>
          <w:rFonts w:ascii="Arial" w:hAnsi="Arial" w:cs="Arial"/>
          <w:sz w:val="24"/>
        </w:rPr>
      </w:pPr>
    </w:p>
    <w:p w:rsidR="00B30B6B" w:rsidRPr="000A5B5D" w:rsidRDefault="00B30B6B" w:rsidP="00B30B6B">
      <w:pPr>
        <w:spacing w:line="360" w:lineRule="auto"/>
        <w:ind w:firstLineChars="200" w:firstLine="482"/>
        <w:outlineLvl w:val="0"/>
        <w:rPr>
          <w:rFonts w:ascii="Arial" w:hAnsi="Arial" w:cs="Arial"/>
          <w:b/>
          <w:sz w:val="24"/>
        </w:rPr>
      </w:pPr>
      <w:r w:rsidRPr="000A5B5D">
        <w:rPr>
          <w:rFonts w:ascii="Arial" w:hAnsi="宋体" w:cs="Arial" w:hint="eastAsia"/>
          <w:b/>
          <w:sz w:val="24"/>
        </w:rPr>
        <w:t>一、管理层对财务报表的责任</w:t>
      </w:r>
    </w:p>
    <w:p w:rsidR="00B30B6B" w:rsidRPr="000A5B5D" w:rsidRDefault="00B30B6B" w:rsidP="00B30B6B">
      <w:pPr>
        <w:spacing w:line="360" w:lineRule="auto"/>
        <w:ind w:firstLineChars="200" w:firstLine="480"/>
        <w:rPr>
          <w:rFonts w:ascii="Arial" w:hAnsi="Arial" w:cs="Arial"/>
          <w:sz w:val="24"/>
        </w:rPr>
      </w:pPr>
      <w:r w:rsidRPr="000A5B5D">
        <w:rPr>
          <w:rFonts w:ascii="Arial" w:hAnsi="宋体" w:cs="Arial" w:hint="eastAsia"/>
          <w:sz w:val="24"/>
        </w:rPr>
        <w:t>编制和公允列报财务报表是恒逸石化公司管理层的责任。这种责任包括：（</w:t>
      </w:r>
      <w:r w:rsidRPr="000A5B5D">
        <w:rPr>
          <w:rFonts w:ascii="Arial" w:hAnsi="Arial" w:cs="Arial"/>
          <w:sz w:val="24"/>
        </w:rPr>
        <w:t>1</w:t>
      </w:r>
      <w:r w:rsidRPr="000A5B5D">
        <w:rPr>
          <w:rFonts w:ascii="Arial" w:hAnsi="宋体" w:cs="Arial" w:hint="eastAsia"/>
          <w:sz w:val="24"/>
        </w:rPr>
        <w:t>）按照企业会计准则的规定编制财务报表，并使其实现公允反映；（</w:t>
      </w:r>
      <w:r w:rsidRPr="000A5B5D">
        <w:rPr>
          <w:rFonts w:ascii="Arial" w:hAnsi="Arial" w:cs="Arial"/>
          <w:sz w:val="24"/>
        </w:rPr>
        <w:t>2</w:t>
      </w:r>
      <w:r w:rsidRPr="000A5B5D">
        <w:rPr>
          <w:rFonts w:ascii="Arial" w:hAnsi="宋体" w:cs="Arial" w:hint="eastAsia"/>
          <w:sz w:val="24"/>
        </w:rPr>
        <w:t>）设计、执行和维护必要的内部控制，以使财务报表不存在由于舞弊或错误导致的重大错报。</w:t>
      </w:r>
    </w:p>
    <w:p w:rsidR="00B30B6B" w:rsidRPr="000A5B5D" w:rsidRDefault="00B30B6B" w:rsidP="00B30B6B">
      <w:pPr>
        <w:spacing w:line="360" w:lineRule="auto"/>
        <w:ind w:firstLine="200"/>
        <w:rPr>
          <w:rFonts w:ascii="Arial" w:hAnsi="Arial" w:cs="Arial"/>
          <w:sz w:val="24"/>
        </w:rPr>
      </w:pPr>
    </w:p>
    <w:p w:rsidR="00B30B6B" w:rsidRPr="000A5B5D" w:rsidRDefault="00B30B6B" w:rsidP="00B30B6B">
      <w:pPr>
        <w:spacing w:line="360" w:lineRule="auto"/>
        <w:ind w:firstLineChars="200" w:firstLine="482"/>
        <w:outlineLvl w:val="0"/>
        <w:rPr>
          <w:rFonts w:ascii="Arial" w:hAnsi="Arial" w:cs="Arial"/>
          <w:b/>
          <w:sz w:val="24"/>
        </w:rPr>
      </w:pPr>
      <w:r w:rsidRPr="000A5B5D">
        <w:rPr>
          <w:rFonts w:ascii="Arial" w:hAnsi="宋体" w:cs="Arial" w:hint="eastAsia"/>
          <w:b/>
          <w:sz w:val="24"/>
        </w:rPr>
        <w:t>二、注册会计师的责任</w:t>
      </w:r>
    </w:p>
    <w:p w:rsidR="00B30B6B" w:rsidRPr="000A5B5D" w:rsidRDefault="00B30B6B" w:rsidP="00B30B6B">
      <w:pPr>
        <w:spacing w:line="360" w:lineRule="auto"/>
        <w:ind w:firstLineChars="200" w:firstLine="480"/>
        <w:rPr>
          <w:rFonts w:ascii="Arial" w:hAnsi="Arial" w:cs="Arial"/>
          <w:sz w:val="24"/>
        </w:rPr>
      </w:pPr>
      <w:r w:rsidRPr="000A5B5D">
        <w:rPr>
          <w:rFonts w:ascii="Arial" w:hAnsi="宋体" w:cs="Arial" w:hint="eastAsia"/>
          <w:sz w:val="24"/>
        </w:rPr>
        <w:t>我们的责任是在执行审计工作的基础上对财务报表发表审计意见。我们按照中国注册会计师审计准则的规定执行了审计工作。中国注册会计师审计准则要求我们遵守中国注册会计师职业道德守则，计划和执行审计工作以对财务报表是否不存在重大错报获取合理保证。</w:t>
      </w:r>
    </w:p>
    <w:p w:rsidR="00B30B6B" w:rsidRPr="000A5B5D" w:rsidRDefault="00B30B6B" w:rsidP="00B30B6B">
      <w:pPr>
        <w:spacing w:line="360" w:lineRule="auto"/>
        <w:ind w:firstLineChars="200" w:firstLine="480"/>
        <w:rPr>
          <w:rFonts w:ascii="Arial" w:hAnsi="Arial" w:cs="Arial"/>
          <w:sz w:val="24"/>
        </w:rPr>
      </w:pPr>
      <w:r w:rsidRPr="000A5B5D">
        <w:rPr>
          <w:rFonts w:ascii="Arial" w:hAnsi="宋体" w:cs="Arial" w:hint="eastAsia"/>
          <w:sz w:val="24"/>
        </w:rPr>
        <w:lastRenderedPageBreak/>
        <w:t>审计工作涉及实施审计程序，以获取有关财务报表金额和披露的审计证据。选择的审计程序取决于注册会计师的判断，包括对由于舞弊或错误导致的财务报表重大错报风险的评估。在进行风险评估时，注册会计师考虑与财务报表编制和公允列报相关的内部控制，以设计恰当的审计程序。审计工作还包括评价管理层选用会计政策的恰当性和作出会计估计的合理性，以及评价财务报表的总体列报。</w:t>
      </w:r>
    </w:p>
    <w:p w:rsidR="00B30B6B" w:rsidRPr="000A5B5D" w:rsidRDefault="00B30B6B" w:rsidP="00B30B6B">
      <w:pPr>
        <w:spacing w:line="360" w:lineRule="auto"/>
        <w:ind w:firstLineChars="200" w:firstLine="480"/>
        <w:rPr>
          <w:rFonts w:ascii="Arial" w:hAnsi="宋体" w:cs="Arial"/>
          <w:sz w:val="24"/>
        </w:rPr>
      </w:pPr>
    </w:p>
    <w:p w:rsidR="00B30B6B" w:rsidRPr="000A5B5D" w:rsidRDefault="00B30B6B" w:rsidP="00B30B6B">
      <w:pPr>
        <w:spacing w:line="360" w:lineRule="auto"/>
        <w:ind w:firstLineChars="200" w:firstLine="480"/>
        <w:rPr>
          <w:rFonts w:ascii="Arial" w:hAnsi="宋体" w:cs="Arial"/>
          <w:sz w:val="24"/>
        </w:rPr>
      </w:pPr>
    </w:p>
    <w:p w:rsidR="00B30B6B" w:rsidRPr="000A5B5D" w:rsidRDefault="00B30B6B" w:rsidP="00B30B6B">
      <w:pPr>
        <w:spacing w:line="360" w:lineRule="auto"/>
        <w:ind w:firstLineChars="200" w:firstLine="480"/>
        <w:rPr>
          <w:rFonts w:ascii="Arial" w:hAnsi="宋体" w:cs="Arial"/>
          <w:sz w:val="24"/>
        </w:rPr>
      </w:pPr>
    </w:p>
    <w:p w:rsidR="00B30B6B" w:rsidRPr="000A5B5D" w:rsidRDefault="00B30B6B" w:rsidP="00B30B6B">
      <w:pPr>
        <w:spacing w:line="360" w:lineRule="auto"/>
        <w:ind w:firstLineChars="200" w:firstLine="480"/>
        <w:rPr>
          <w:rFonts w:ascii="Arial" w:hAnsi="Arial" w:cs="Arial"/>
          <w:sz w:val="24"/>
        </w:rPr>
      </w:pPr>
      <w:r w:rsidRPr="000A5B5D">
        <w:rPr>
          <w:rFonts w:ascii="Arial" w:hAnsi="宋体" w:cs="Arial" w:hint="eastAsia"/>
          <w:sz w:val="24"/>
        </w:rPr>
        <w:t>我们相信，我们获取的审计证据是充分、适当的，为发表审计意见提供了基础。</w:t>
      </w:r>
    </w:p>
    <w:p w:rsidR="00B30B6B" w:rsidRPr="000A5B5D" w:rsidRDefault="00B30B6B" w:rsidP="00B30B6B">
      <w:pPr>
        <w:spacing w:line="360" w:lineRule="auto"/>
        <w:ind w:firstLine="200"/>
        <w:rPr>
          <w:rFonts w:ascii="Arial" w:hAnsi="Arial" w:cs="Arial"/>
          <w:sz w:val="24"/>
        </w:rPr>
      </w:pPr>
    </w:p>
    <w:p w:rsidR="00B30B6B" w:rsidRPr="000A5B5D" w:rsidRDefault="00B30B6B" w:rsidP="00B30B6B">
      <w:pPr>
        <w:spacing w:line="360" w:lineRule="auto"/>
        <w:ind w:firstLineChars="200" w:firstLine="482"/>
        <w:outlineLvl w:val="0"/>
        <w:rPr>
          <w:rFonts w:ascii="Arial" w:hAnsi="Arial" w:cs="Arial"/>
          <w:sz w:val="24"/>
        </w:rPr>
      </w:pPr>
      <w:r w:rsidRPr="000A5B5D">
        <w:rPr>
          <w:rFonts w:ascii="Arial" w:hAnsi="宋体" w:cs="Arial" w:hint="eastAsia"/>
          <w:b/>
          <w:sz w:val="24"/>
        </w:rPr>
        <w:t>三、审计意见</w:t>
      </w:r>
    </w:p>
    <w:p w:rsidR="00B30B6B" w:rsidRPr="000A5B5D" w:rsidRDefault="00B30B6B" w:rsidP="00B30B6B">
      <w:pPr>
        <w:spacing w:line="360" w:lineRule="auto"/>
        <w:ind w:firstLineChars="200" w:firstLine="480"/>
        <w:rPr>
          <w:rFonts w:ascii="Arial" w:hAnsi="宋体" w:cs="Arial"/>
          <w:sz w:val="24"/>
        </w:rPr>
      </w:pPr>
      <w:r w:rsidRPr="000A5B5D">
        <w:rPr>
          <w:rFonts w:ascii="Arial" w:hAnsi="宋体" w:cs="Arial" w:hint="eastAsia"/>
          <w:sz w:val="24"/>
        </w:rPr>
        <w:t>我们认为，上述财务报表在所有重大方面按照企业会计准则的规定编制，公允反映了恒逸石化股份有限公司</w:t>
      </w:r>
      <w:r w:rsidRPr="000A5B5D">
        <w:rPr>
          <w:rFonts w:ascii="Arial" w:hAnsi="宋体" w:cs="Arial"/>
          <w:sz w:val="24"/>
        </w:rPr>
        <w:t>2015</w:t>
      </w:r>
      <w:r w:rsidRPr="000A5B5D">
        <w:rPr>
          <w:rFonts w:ascii="Arial" w:hAnsi="宋体" w:cs="Arial" w:hint="eastAsia"/>
          <w:sz w:val="24"/>
        </w:rPr>
        <w:t>年</w:t>
      </w:r>
      <w:r w:rsidRPr="000A5B5D">
        <w:rPr>
          <w:rFonts w:ascii="Arial" w:hAnsi="宋体" w:cs="Arial"/>
          <w:sz w:val="24"/>
        </w:rPr>
        <w:t>12</w:t>
      </w:r>
      <w:r w:rsidRPr="000A5B5D">
        <w:rPr>
          <w:rFonts w:ascii="Arial" w:hAnsi="宋体" w:cs="Arial" w:hint="eastAsia"/>
          <w:sz w:val="24"/>
        </w:rPr>
        <w:t>月</w:t>
      </w:r>
      <w:r w:rsidRPr="000A5B5D">
        <w:rPr>
          <w:rFonts w:ascii="Arial" w:hAnsi="宋体" w:cs="Arial"/>
          <w:sz w:val="24"/>
        </w:rPr>
        <w:t>31</w:t>
      </w:r>
      <w:r w:rsidRPr="000A5B5D">
        <w:rPr>
          <w:rFonts w:ascii="Arial" w:hAnsi="宋体" w:cs="Arial" w:hint="eastAsia"/>
          <w:sz w:val="24"/>
        </w:rPr>
        <w:t>日合并及公司的财务状况以及</w:t>
      </w:r>
      <w:r w:rsidRPr="000A5B5D">
        <w:rPr>
          <w:rFonts w:ascii="Arial" w:hAnsi="宋体" w:cs="Arial"/>
          <w:sz w:val="24"/>
        </w:rPr>
        <w:t>2015</w:t>
      </w:r>
      <w:r w:rsidRPr="000A5B5D">
        <w:rPr>
          <w:rFonts w:ascii="Arial" w:hAnsi="宋体" w:cs="Arial" w:hint="eastAsia"/>
          <w:sz w:val="24"/>
        </w:rPr>
        <w:t>年度合并及公司的经营成果和现金流量。</w:t>
      </w:r>
    </w:p>
    <w:p w:rsidR="00B30B6B" w:rsidRPr="000A5B5D" w:rsidRDefault="00B30B6B" w:rsidP="00B30B6B">
      <w:pPr>
        <w:spacing w:line="360" w:lineRule="auto"/>
        <w:ind w:firstLineChars="200" w:firstLine="480"/>
        <w:rPr>
          <w:rFonts w:ascii="Arial" w:hAnsi="Arial" w:cs="Arial"/>
          <w:sz w:val="24"/>
        </w:rPr>
      </w:pPr>
    </w:p>
    <w:p w:rsidR="00B30B6B" w:rsidRPr="000A5B5D" w:rsidRDefault="00B30B6B" w:rsidP="00B30B6B">
      <w:pPr>
        <w:spacing w:line="360" w:lineRule="auto"/>
        <w:ind w:firstLineChars="200" w:firstLine="480"/>
        <w:rPr>
          <w:rFonts w:ascii="Arial" w:hAnsi="Arial" w:cs="Arial"/>
          <w:sz w:val="24"/>
        </w:rPr>
      </w:pPr>
    </w:p>
    <w:p w:rsidR="00B30B6B" w:rsidRPr="000A5B5D" w:rsidRDefault="00B30B6B" w:rsidP="00B30B6B">
      <w:pPr>
        <w:spacing w:line="360" w:lineRule="auto"/>
        <w:ind w:firstLineChars="200" w:firstLine="480"/>
        <w:rPr>
          <w:rFonts w:ascii="Arial" w:hAnsi="Arial" w:cs="Arial"/>
          <w:sz w:val="24"/>
        </w:rPr>
      </w:pPr>
    </w:p>
    <w:p w:rsidR="00B30B6B" w:rsidRPr="000A5B5D" w:rsidRDefault="00B30B6B" w:rsidP="00B30B6B">
      <w:pPr>
        <w:spacing w:line="360" w:lineRule="auto"/>
        <w:ind w:firstLineChars="200" w:firstLine="480"/>
        <w:rPr>
          <w:rFonts w:ascii="Arial" w:hAnsi="Arial" w:cs="Arial"/>
          <w:sz w:val="24"/>
        </w:rPr>
      </w:pPr>
    </w:p>
    <w:p w:rsidR="00B30B6B" w:rsidRPr="000A5B5D" w:rsidRDefault="00B30B6B" w:rsidP="00B30B6B">
      <w:pPr>
        <w:spacing w:line="360" w:lineRule="auto"/>
        <w:ind w:firstLineChars="200" w:firstLine="480"/>
        <w:rPr>
          <w:rFonts w:ascii="Arial" w:hAnsi="Arial" w:cs="Arial"/>
          <w:sz w:val="24"/>
        </w:rPr>
      </w:pPr>
    </w:p>
    <w:tbl>
      <w:tblPr>
        <w:tblW w:w="8820" w:type="dxa"/>
        <w:tblInd w:w="-72" w:type="dxa"/>
        <w:tblLayout w:type="fixed"/>
        <w:tblLook w:val="0000" w:firstRow="0" w:lastRow="0" w:firstColumn="0" w:lastColumn="0" w:noHBand="0" w:noVBand="0"/>
      </w:tblPr>
      <w:tblGrid>
        <w:gridCol w:w="4534"/>
        <w:gridCol w:w="4286"/>
      </w:tblGrid>
      <w:tr w:rsidR="00B30B6B" w:rsidRPr="000A5B5D" w:rsidTr="00716A2C">
        <w:trPr>
          <w:trHeight w:val="1180"/>
        </w:trPr>
        <w:tc>
          <w:tcPr>
            <w:tcW w:w="4534" w:type="dxa"/>
          </w:tcPr>
          <w:p w:rsidR="00B30B6B" w:rsidRPr="000A5B5D" w:rsidRDefault="00B30B6B" w:rsidP="00716A2C">
            <w:pPr>
              <w:spacing w:line="360" w:lineRule="atLeast"/>
              <w:jc w:val="center"/>
              <w:rPr>
                <w:rFonts w:ascii="Arial" w:hAnsi="Arial" w:cs="Arial"/>
                <w:sz w:val="24"/>
              </w:rPr>
            </w:pPr>
            <w:r w:rsidRPr="000A5B5D">
              <w:rPr>
                <w:rFonts w:ascii="Arial" w:hAnsi="宋体" w:cs="Arial" w:hint="eastAsia"/>
                <w:sz w:val="24"/>
              </w:rPr>
              <w:t>瑞华会计师事务所（特殊普通合伙）</w:t>
            </w:r>
          </w:p>
        </w:tc>
        <w:tc>
          <w:tcPr>
            <w:tcW w:w="4286" w:type="dxa"/>
          </w:tcPr>
          <w:p w:rsidR="00B30B6B" w:rsidRPr="000A5B5D" w:rsidRDefault="00B30B6B" w:rsidP="00716A2C">
            <w:pPr>
              <w:spacing w:line="360" w:lineRule="atLeast"/>
              <w:rPr>
                <w:rFonts w:ascii="Arial" w:hAnsi="Arial" w:cs="Arial"/>
                <w:sz w:val="24"/>
              </w:rPr>
            </w:pPr>
            <w:r w:rsidRPr="000A5B5D">
              <w:rPr>
                <w:rFonts w:ascii="Arial" w:hAnsi="Arial" w:cs="Arial"/>
                <w:sz w:val="24"/>
              </w:rPr>
              <w:t xml:space="preserve">   </w:t>
            </w:r>
            <w:r w:rsidRPr="000A5B5D">
              <w:rPr>
                <w:rFonts w:ascii="Arial" w:hAnsi="宋体" w:cs="Arial" w:hint="eastAsia"/>
                <w:sz w:val="24"/>
              </w:rPr>
              <w:t>中国注册会计师：</w:t>
            </w:r>
          </w:p>
        </w:tc>
      </w:tr>
      <w:tr w:rsidR="00B30B6B" w:rsidRPr="000A5B5D" w:rsidTr="00716A2C">
        <w:trPr>
          <w:trHeight w:val="1110"/>
        </w:trPr>
        <w:tc>
          <w:tcPr>
            <w:tcW w:w="4534" w:type="dxa"/>
          </w:tcPr>
          <w:p w:rsidR="00B30B6B" w:rsidRPr="000A5B5D" w:rsidRDefault="00B30B6B" w:rsidP="00716A2C">
            <w:pPr>
              <w:spacing w:line="360" w:lineRule="atLeast"/>
              <w:jc w:val="center"/>
              <w:rPr>
                <w:rFonts w:ascii="Arial" w:hAnsi="Arial" w:cs="Arial"/>
                <w:sz w:val="24"/>
              </w:rPr>
            </w:pPr>
            <w:r w:rsidRPr="000A5B5D">
              <w:rPr>
                <w:rFonts w:ascii="Arial" w:hAnsi="宋体" w:cs="Arial" w:hint="eastAsia"/>
                <w:sz w:val="24"/>
              </w:rPr>
              <w:t>中国</w:t>
            </w:r>
            <w:r w:rsidRPr="000A5B5D">
              <w:rPr>
                <w:rFonts w:ascii="Arial" w:hAnsi="Arial" w:cs="Arial"/>
                <w:sz w:val="24"/>
              </w:rPr>
              <w:t>·</w:t>
            </w:r>
            <w:r w:rsidRPr="000A5B5D">
              <w:rPr>
                <w:rFonts w:ascii="Arial" w:hAnsi="宋体" w:cs="Arial" w:hint="eastAsia"/>
                <w:sz w:val="24"/>
              </w:rPr>
              <w:t>北京</w:t>
            </w:r>
          </w:p>
        </w:tc>
        <w:tc>
          <w:tcPr>
            <w:tcW w:w="4286" w:type="dxa"/>
          </w:tcPr>
          <w:p w:rsidR="00B30B6B" w:rsidRPr="000A5B5D" w:rsidRDefault="00B30B6B" w:rsidP="00716A2C">
            <w:pPr>
              <w:spacing w:line="360" w:lineRule="atLeast"/>
              <w:rPr>
                <w:rFonts w:ascii="Arial" w:hAnsi="Arial" w:cs="Arial"/>
                <w:sz w:val="24"/>
              </w:rPr>
            </w:pPr>
            <w:r w:rsidRPr="000A5B5D">
              <w:rPr>
                <w:rFonts w:ascii="Arial" w:hAnsi="Arial" w:cs="Arial"/>
                <w:sz w:val="24"/>
              </w:rPr>
              <w:t xml:space="preserve">   </w:t>
            </w:r>
            <w:r w:rsidRPr="000A5B5D">
              <w:rPr>
                <w:rFonts w:ascii="Arial" w:hAnsi="宋体" w:cs="Arial" w:hint="eastAsia"/>
                <w:sz w:val="24"/>
              </w:rPr>
              <w:t>中国注册会计师：</w:t>
            </w:r>
          </w:p>
        </w:tc>
      </w:tr>
      <w:tr w:rsidR="00B30B6B" w:rsidRPr="000A5B5D" w:rsidTr="00716A2C">
        <w:trPr>
          <w:trHeight w:val="602"/>
        </w:trPr>
        <w:tc>
          <w:tcPr>
            <w:tcW w:w="4534" w:type="dxa"/>
          </w:tcPr>
          <w:p w:rsidR="00B30B6B" w:rsidRPr="000A5B5D" w:rsidRDefault="00B30B6B" w:rsidP="00716A2C">
            <w:pPr>
              <w:spacing w:line="360" w:lineRule="atLeast"/>
              <w:jc w:val="center"/>
              <w:rPr>
                <w:rFonts w:ascii="Arial" w:hAnsi="Arial" w:cs="Arial"/>
                <w:sz w:val="24"/>
              </w:rPr>
            </w:pPr>
          </w:p>
        </w:tc>
        <w:tc>
          <w:tcPr>
            <w:tcW w:w="4286" w:type="dxa"/>
          </w:tcPr>
          <w:p w:rsidR="00B30B6B" w:rsidRPr="000A5B5D" w:rsidRDefault="00B30B6B" w:rsidP="00716A2C">
            <w:pPr>
              <w:spacing w:line="360" w:lineRule="atLeast"/>
              <w:jc w:val="center"/>
              <w:rPr>
                <w:rFonts w:ascii="Arial" w:hAnsi="Arial" w:cs="Arial"/>
                <w:sz w:val="24"/>
              </w:rPr>
            </w:pPr>
            <w:r w:rsidRPr="000A5B5D">
              <w:rPr>
                <w:rFonts w:ascii="Arial" w:hAnsi="Arial" w:cs="Arial" w:hint="eastAsia"/>
                <w:sz w:val="24"/>
              </w:rPr>
              <w:t>二</w:t>
            </w:r>
            <w:r w:rsidRPr="000A5B5D">
              <w:rPr>
                <w:rFonts w:ascii="宋体" w:hAnsi="宋体" w:cs="Arial" w:hint="eastAsia"/>
                <w:sz w:val="24"/>
              </w:rPr>
              <w:t>〇</w:t>
            </w:r>
            <w:r w:rsidRPr="000A5B5D">
              <w:rPr>
                <w:rFonts w:ascii="Arial" w:hAnsi="Arial" w:cs="Arial" w:hint="eastAsia"/>
                <w:sz w:val="24"/>
              </w:rPr>
              <w:t>一六</w:t>
            </w:r>
            <w:r w:rsidRPr="000A5B5D">
              <w:rPr>
                <w:rFonts w:ascii="Arial" w:hAnsi="宋体" w:cs="Arial" w:hint="eastAsia"/>
                <w:sz w:val="24"/>
              </w:rPr>
              <w:t>年</w:t>
            </w:r>
            <w:r w:rsidRPr="000A5B5D">
              <w:rPr>
                <w:rFonts w:ascii="Arial" w:hAnsi="Arial" w:cs="Arial" w:hint="eastAsia"/>
                <w:sz w:val="24"/>
              </w:rPr>
              <w:t>四</w:t>
            </w:r>
            <w:r w:rsidRPr="000A5B5D">
              <w:rPr>
                <w:rFonts w:ascii="Arial" w:hAnsi="宋体" w:cs="Arial" w:hint="eastAsia"/>
                <w:sz w:val="24"/>
              </w:rPr>
              <w:t>月</w:t>
            </w:r>
            <w:r w:rsidRPr="000A5B5D">
              <w:rPr>
                <w:rFonts w:ascii="Arial" w:hAnsi="Arial" w:cs="Arial" w:hint="eastAsia"/>
                <w:sz w:val="24"/>
              </w:rPr>
              <w:t>二十二</w:t>
            </w:r>
            <w:r w:rsidRPr="000A5B5D">
              <w:rPr>
                <w:rFonts w:ascii="Arial" w:hAnsi="宋体" w:cs="Arial" w:hint="eastAsia"/>
                <w:sz w:val="24"/>
              </w:rPr>
              <w:t>日</w:t>
            </w:r>
          </w:p>
        </w:tc>
      </w:tr>
      <w:tr w:rsidR="007D5813" w:rsidRPr="000A5B5D" w:rsidTr="00716A2C">
        <w:trPr>
          <w:trHeight w:val="602"/>
        </w:trPr>
        <w:tc>
          <w:tcPr>
            <w:tcW w:w="4534" w:type="dxa"/>
          </w:tcPr>
          <w:p w:rsidR="007D5813" w:rsidRPr="000A5B5D" w:rsidRDefault="007D5813" w:rsidP="00716A2C">
            <w:pPr>
              <w:spacing w:line="360" w:lineRule="atLeast"/>
              <w:jc w:val="center"/>
              <w:rPr>
                <w:rFonts w:ascii="Arial" w:hAnsi="Arial" w:cs="Arial"/>
                <w:sz w:val="24"/>
              </w:rPr>
            </w:pPr>
          </w:p>
        </w:tc>
        <w:tc>
          <w:tcPr>
            <w:tcW w:w="4286" w:type="dxa"/>
          </w:tcPr>
          <w:p w:rsidR="007D5813" w:rsidRPr="000A5B5D" w:rsidRDefault="007D5813" w:rsidP="00716A2C">
            <w:pPr>
              <w:spacing w:line="360" w:lineRule="atLeast"/>
              <w:jc w:val="center"/>
              <w:rPr>
                <w:rFonts w:ascii="Arial" w:hAnsi="Arial" w:cs="Arial"/>
                <w:sz w:val="24"/>
              </w:rPr>
            </w:pPr>
          </w:p>
        </w:tc>
      </w:tr>
    </w:tbl>
    <w:p w:rsidR="00BC4D56" w:rsidRPr="000A5B5D" w:rsidRDefault="0024594D" w:rsidP="007D5813">
      <w:pPr>
        <w:pStyle w:val="Chapter"/>
        <w:outlineLvl w:val="1"/>
        <w:rPr>
          <w:bCs w:val="0"/>
        </w:rPr>
      </w:pPr>
      <w:r w:rsidRPr="000A5B5D">
        <w:rPr>
          <w:noProof/>
        </w:rPr>
        <w:lastRenderedPageBreak/>
        <w:drawing>
          <wp:anchor distT="0" distB="0" distL="114300" distR="114300" simplePos="0" relativeHeight="251664384" behindDoc="1" locked="0" layoutInCell="1" allowOverlap="1">
            <wp:simplePos x="0" y="0"/>
            <wp:positionH relativeFrom="column">
              <wp:posOffset>-117475</wp:posOffset>
            </wp:positionH>
            <wp:positionV relativeFrom="paragraph">
              <wp:posOffset>36830</wp:posOffset>
            </wp:positionV>
            <wp:extent cx="6245860" cy="8833485"/>
            <wp:effectExtent l="0" t="0" r="2540" b="5715"/>
            <wp:wrapNone/>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5860" cy="8833485"/>
                    </a:xfrm>
                    <a:prstGeom prst="rect">
                      <a:avLst/>
                    </a:prstGeom>
                    <a:noFill/>
                    <a:ln>
                      <a:noFill/>
                    </a:ln>
                  </pic:spPr>
                </pic:pic>
              </a:graphicData>
            </a:graphic>
            <wp14:sizeRelH relativeFrom="page">
              <wp14:pctWidth>0</wp14:pctWidth>
            </wp14:sizeRelH>
            <wp14:sizeRelV relativeFrom="page">
              <wp14:pctHeight>0</wp14:pctHeight>
            </wp14:sizeRelV>
          </wp:anchor>
        </w:drawing>
      </w:r>
      <w:r w:rsidR="00BC4D56" w:rsidRPr="000A5B5D">
        <w:rPr>
          <w:rFonts w:hint="eastAsia"/>
          <w:bCs w:val="0"/>
        </w:rPr>
        <w:t>二、财务报表</w:t>
      </w:r>
    </w:p>
    <w:p w:rsidR="003417F3" w:rsidRPr="000A5B5D" w:rsidRDefault="0024594D" w:rsidP="009D339B">
      <w:pPr>
        <w:jc w:val="center"/>
        <w:rPr>
          <w:szCs w:val="24"/>
        </w:rPr>
      </w:pPr>
      <w:r w:rsidRPr="000A5B5D">
        <w:rPr>
          <w:noProof/>
        </w:rPr>
        <w:lastRenderedPageBreak/>
        <w:drawing>
          <wp:anchor distT="0" distB="0" distL="114300" distR="114300" simplePos="0" relativeHeight="251666432" behindDoc="0" locked="0" layoutInCell="1" allowOverlap="1">
            <wp:simplePos x="0" y="0"/>
            <wp:positionH relativeFrom="column">
              <wp:posOffset>-92075</wp:posOffset>
            </wp:positionH>
            <wp:positionV relativeFrom="paragraph">
              <wp:posOffset>39370</wp:posOffset>
            </wp:positionV>
            <wp:extent cx="6221730" cy="8799830"/>
            <wp:effectExtent l="0" t="0" r="7620" b="1270"/>
            <wp:wrapNone/>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1730" cy="8799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B5D">
        <w:rPr>
          <w:noProof/>
          <w:szCs w:val="24"/>
        </w:rPr>
        <w:drawing>
          <wp:inline distT="0" distB="0" distL="0" distR="0">
            <wp:extent cx="6048375" cy="85534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8375" cy="8553450"/>
                    </a:xfrm>
                    <a:prstGeom prst="rect">
                      <a:avLst/>
                    </a:prstGeom>
                    <a:noFill/>
                    <a:ln>
                      <a:noFill/>
                    </a:ln>
                  </pic:spPr>
                </pic:pic>
              </a:graphicData>
            </a:graphic>
          </wp:inline>
        </w:drawing>
      </w:r>
    </w:p>
    <w:p w:rsidR="003417F3" w:rsidRPr="000A5B5D" w:rsidRDefault="0024594D" w:rsidP="009D339B">
      <w:pPr>
        <w:jc w:val="center"/>
        <w:rPr>
          <w:szCs w:val="24"/>
        </w:rPr>
      </w:pPr>
      <w:r w:rsidRPr="000A5B5D">
        <w:rPr>
          <w:noProof/>
        </w:rPr>
        <w:lastRenderedPageBreak/>
        <w:drawing>
          <wp:anchor distT="0" distB="0" distL="114300" distR="114300" simplePos="0" relativeHeight="251668480" behindDoc="0" locked="0" layoutInCell="1" allowOverlap="1">
            <wp:simplePos x="0" y="0"/>
            <wp:positionH relativeFrom="column">
              <wp:posOffset>-158115</wp:posOffset>
            </wp:positionH>
            <wp:positionV relativeFrom="paragraph">
              <wp:posOffset>-123825</wp:posOffset>
            </wp:positionV>
            <wp:extent cx="6391275" cy="9053195"/>
            <wp:effectExtent l="0" t="0" r="9525" b="0"/>
            <wp:wrapNone/>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1275" cy="9053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B5D">
        <w:rPr>
          <w:noProof/>
          <w:szCs w:val="24"/>
        </w:rPr>
        <w:drawing>
          <wp:inline distT="0" distB="0" distL="0" distR="0">
            <wp:extent cx="6048375" cy="8553450"/>
            <wp:effectExtent l="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8375" cy="8553450"/>
                    </a:xfrm>
                    <a:prstGeom prst="rect">
                      <a:avLst/>
                    </a:prstGeom>
                    <a:noFill/>
                    <a:ln>
                      <a:noFill/>
                    </a:ln>
                  </pic:spPr>
                </pic:pic>
              </a:graphicData>
            </a:graphic>
          </wp:inline>
        </w:drawing>
      </w:r>
    </w:p>
    <w:p w:rsidR="007D5813" w:rsidRPr="000A5B5D" w:rsidRDefault="003417F3" w:rsidP="009D339B">
      <w:pPr>
        <w:jc w:val="center"/>
        <w:rPr>
          <w:szCs w:val="24"/>
        </w:rPr>
        <w:sectPr w:rsidR="007D5813" w:rsidRPr="000A5B5D">
          <w:pgSz w:w="11906" w:h="16838"/>
          <w:pgMar w:top="1440" w:right="1134" w:bottom="1440" w:left="1134" w:header="851" w:footer="992" w:gutter="0"/>
          <w:cols w:space="425"/>
          <w:docGrid w:type="lines" w:linePitch="312"/>
        </w:sectPr>
      </w:pPr>
      <w:r w:rsidRPr="000A5B5D">
        <w:rPr>
          <w:szCs w:val="24"/>
        </w:rPr>
        <w:lastRenderedPageBreak/>
        <w:br w:type="page"/>
      </w:r>
      <w:r w:rsidR="0024594D" w:rsidRPr="000A5B5D">
        <w:rPr>
          <w:noProof/>
        </w:rPr>
        <w:drawing>
          <wp:anchor distT="0" distB="0" distL="114300" distR="114300" simplePos="0" relativeHeight="251670528" behindDoc="1" locked="0" layoutInCell="1" allowOverlap="1">
            <wp:simplePos x="0" y="0"/>
            <wp:positionH relativeFrom="column">
              <wp:posOffset>-243840</wp:posOffset>
            </wp:positionH>
            <wp:positionV relativeFrom="paragraph">
              <wp:posOffset>-122555</wp:posOffset>
            </wp:positionV>
            <wp:extent cx="6524625" cy="9229725"/>
            <wp:effectExtent l="0" t="0" r="9525" b="9525"/>
            <wp:wrapNone/>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24625" cy="922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5A4B" w:rsidRPr="000A5B5D" w:rsidRDefault="0024594D" w:rsidP="009D339B">
      <w:pPr>
        <w:jc w:val="center"/>
        <w:rPr>
          <w:szCs w:val="24"/>
        </w:rPr>
      </w:pPr>
      <w:r w:rsidRPr="000A5B5D">
        <w:rPr>
          <w:noProof/>
          <w:szCs w:val="24"/>
        </w:rPr>
        <w:lastRenderedPageBreak/>
        <w:drawing>
          <wp:inline distT="0" distB="0" distL="0" distR="0">
            <wp:extent cx="8658225" cy="61245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58225" cy="6124575"/>
                    </a:xfrm>
                    <a:prstGeom prst="rect">
                      <a:avLst/>
                    </a:prstGeom>
                    <a:noFill/>
                    <a:ln>
                      <a:noFill/>
                    </a:ln>
                  </pic:spPr>
                </pic:pic>
              </a:graphicData>
            </a:graphic>
          </wp:inline>
        </w:drawing>
      </w:r>
    </w:p>
    <w:p w:rsidR="007D5813" w:rsidRPr="000A5B5D" w:rsidRDefault="007D5813" w:rsidP="009D339B">
      <w:pPr>
        <w:jc w:val="center"/>
        <w:rPr>
          <w:szCs w:val="24"/>
        </w:rPr>
        <w:sectPr w:rsidR="007D5813" w:rsidRPr="000A5B5D" w:rsidSect="007D5813">
          <w:pgSz w:w="16838" w:h="11906" w:orient="landscape"/>
          <w:pgMar w:top="1134" w:right="1440" w:bottom="1134" w:left="1440" w:header="851" w:footer="992" w:gutter="0"/>
          <w:cols w:space="425"/>
          <w:docGrid w:type="lines" w:linePitch="312"/>
        </w:sectPr>
      </w:pPr>
    </w:p>
    <w:p w:rsidR="00DB5A4B" w:rsidRPr="000A5B5D" w:rsidRDefault="0024594D" w:rsidP="009D339B">
      <w:pPr>
        <w:jc w:val="center"/>
        <w:rPr>
          <w:szCs w:val="24"/>
        </w:rPr>
      </w:pPr>
      <w:r w:rsidRPr="000A5B5D">
        <w:rPr>
          <w:noProof/>
        </w:rPr>
        <w:lastRenderedPageBreak/>
        <w:drawing>
          <wp:anchor distT="0" distB="0" distL="114300" distR="114300" simplePos="0" relativeHeight="251672576" behindDoc="0" locked="0" layoutInCell="1" allowOverlap="1">
            <wp:simplePos x="0" y="0"/>
            <wp:positionH relativeFrom="column">
              <wp:posOffset>38100</wp:posOffset>
            </wp:positionH>
            <wp:positionV relativeFrom="paragraph">
              <wp:posOffset>71755</wp:posOffset>
            </wp:positionV>
            <wp:extent cx="8639810" cy="6108700"/>
            <wp:effectExtent l="0" t="0" r="8890" b="6350"/>
            <wp:wrapNone/>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39810" cy="610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5813" w:rsidRPr="000A5B5D" w:rsidRDefault="007D5813" w:rsidP="009D339B">
      <w:pPr>
        <w:jc w:val="center"/>
        <w:rPr>
          <w:szCs w:val="24"/>
        </w:rPr>
        <w:sectPr w:rsidR="007D5813" w:rsidRPr="000A5B5D" w:rsidSect="007D5813">
          <w:pgSz w:w="16838" w:h="11906" w:orient="landscape"/>
          <w:pgMar w:top="1134" w:right="1440" w:bottom="1134" w:left="1440" w:header="851" w:footer="992" w:gutter="0"/>
          <w:cols w:space="425"/>
          <w:docGrid w:type="lines" w:linePitch="312"/>
        </w:sectPr>
      </w:pPr>
    </w:p>
    <w:p w:rsidR="007D5813" w:rsidRPr="000A5B5D" w:rsidRDefault="0024594D" w:rsidP="009D339B">
      <w:pPr>
        <w:jc w:val="center"/>
        <w:rPr>
          <w:szCs w:val="24"/>
        </w:rPr>
      </w:pPr>
      <w:r w:rsidRPr="000A5B5D">
        <w:rPr>
          <w:noProof/>
        </w:rPr>
        <w:lastRenderedPageBreak/>
        <w:drawing>
          <wp:anchor distT="0" distB="0" distL="114300" distR="114300" simplePos="0" relativeHeight="251674624" behindDoc="0" locked="0" layoutInCell="1" allowOverlap="1">
            <wp:simplePos x="0" y="0"/>
            <wp:positionH relativeFrom="column">
              <wp:posOffset>-139065</wp:posOffset>
            </wp:positionH>
            <wp:positionV relativeFrom="paragraph">
              <wp:posOffset>36195</wp:posOffset>
            </wp:positionV>
            <wp:extent cx="6305550" cy="8915400"/>
            <wp:effectExtent l="0" t="0" r="0" b="0"/>
            <wp:wrapNone/>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05550" cy="891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294B" w:rsidRPr="000A5B5D" w:rsidRDefault="005E294B" w:rsidP="009D339B">
      <w:pPr>
        <w:jc w:val="center"/>
        <w:rPr>
          <w:szCs w:val="24"/>
        </w:rPr>
      </w:pPr>
    </w:p>
    <w:p w:rsidR="005E294B" w:rsidRPr="000A5B5D" w:rsidRDefault="005E294B">
      <w:pPr>
        <w:widowControl/>
        <w:spacing w:before="0" w:after="0"/>
        <w:jc w:val="left"/>
        <w:rPr>
          <w:szCs w:val="24"/>
        </w:rPr>
      </w:pPr>
      <w:r w:rsidRPr="000A5B5D">
        <w:rPr>
          <w:szCs w:val="24"/>
        </w:rPr>
        <w:br w:type="page"/>
      </w:r>
    </w:p>
    <w:p w:rsidR="005E294B" w:rsidRPr="000A5B5D" w:rsidRDefault="005E294B" w:rsidP="009D339B">
      <w:pPr>
        <w:jc w:val="center"/>
        <w:rPr>
          <w:szCs w:val="24"/>
        </w:rPr>
      </w:pPr>
      <w:r w:rsidRPr="000A5B5D">
        <w:rPr>
          <w:noProof/>
          <w:szCs w:val="24"/>
        </w:rPr>
        <w:lastRenderedPageBreak/>
        <w:drawing>
          <wp:inline distT="0" distB="0" distL="0" distR="0">
            <wp:extent cx="6120130" cy="8661958"/>
            <wp:effectExtent l="0" t="0" r="0" b="6350"/>
            <wp:docPr id="93" name="图片 93" descr="C:\Users\CSS\Desktop\3、财务报表（2015年度）-股份合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S\Desktop\3、财务报表（2015年度）-股份合并.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8661958"/>
                    </a:xfrm>
                    <a:prstGeom prst="rect">
                      <a:avLst/>
                    </a:prstGeom>
                    <a:noFill/>
                    <a:ln>
                      <a:noFill/>
                    </a:ln>
                  </pic:spPr>
                </pic:pic>
              </a:graphicData>
            </a:graphic>
          </wp:inline>
        </w:drawing>
      </w:r>
    </w:p>
    <w:p w:rsidR="007D5813" w:rsidRPr="000A5B5D" w:rsidRDefault="005E294B" w:rsidP="00244FA3">
      <w:pPr>
        <w:widowControl/>
        <w:spacing w:before="0" w:after="0"/>
        <w:jc w:val="left"/>
        <w:rPr>
          <w:szCs w:val="24"/>
        </w:rPr>
      </w:pPr>
      <w:r w:rsidRPr="000A5B5D">
        <w:rPr>
          <w:szCs w:val="24"/>
        </w:rPr>
        <w:br w:type="page"/>
      </w:r>
      <w:r w:rsidR="00244FA3" w:rsidRPr="000A5B5D">
        <w:rPr>
          <w:noProof/>
          <w:szCs w:val="24"/>
        </w:rPr>
        <w:lastRenderedPageBreak/>
        <w:drawing>
          <wp:inline distT="0" distB="0" distL="0" distR="0">
            <wp:extent cx="6120130" cy="8653102"/>
            <wp:effectExtent l="0" t="0" r="0" b="0"/>
            <wp:docPr id="94" name="图片 94" descr="C:\Users\CSS\Desktop\3、财务报表（2015年度）-股份合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SS\Desktop\3、财务报表（2015年度）-股份合并.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8653102"/>
                    </a:xfrm>
                    <a:prstGeom prst="rect">
                      <a:avLst/>
                    </a:prstGeom>
                    <a:noFill/>
                    <a:ln>
                      <a:noFill/>
                    </a:ln>
                  </pic:spPr>
                </pic:pic>
              </a:graphicData>
            </a:graphic>
          </wp:inline>
        </w:drawing>
      </w:r>
    </w:p>
    <w:p w:rsidR="009B4FDA" w:rsidRPr="000A5B5D" w:rsidRDefault="0024594D" w:rsidP="009D339B">
      <w:pPr>
        <w:jc w:val="center"/>
        <w:rPr>
          <w:szCs w:val="24"/>
        </w:rPr>
      </w:pPr>
      <w:r w:rsidRPr="000A5B5D">
        <w:rPr>
          <w:noProof/>
        </w:rPr>
        <w:lastRenderedPageBreak/>
        <w:drawing>
          <wp:anchor distT="0" distB="0" distL="114300" distR="114300" simplePos="0" relativeHeight="251678720" behindDoc="0" locked="0" layoutInCell="1" allowOverlap="0">
            <wp:simplePos x="0" y="0"/>
            <wp:positionH relativeFrom="column">
              <wp:posOffset>-253365</wp:posOffset>
            </wp:positionH>
            <wp:positionV relativeFrom="paragraph">
              <wp:posOffset>-114300</wp:posOffset>
            </wp:positionV>
            <wp:extent cx="6334125" cy="8958660"/>
            <wp:effectExtent l="0" t="0" r="0" b="0"/>
            <wp:wrapNone/>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4196" cy="8958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B5D">
        <w:rPr>
          <w:noProof/>
        </w:rPr>
        <w:drawing>
          <wp:anchor distT="0" distB="0" distL="114300" distR="114300" simplePos="0" relativeHeight="251676672" behindDoc="0" locked="0" layoutInCell="1" allowOverlap="1">
            <wp:simplePos x="0" y="0"/>
            <wp:positionH relativeFrom="column">
              <wp:posOffset>-91440</wp:posOffset>
            </wp:positionH>
            <wp:positionV relativeFrom="paragraph">
              <wp:posOffset>-110490</wp:posOffset>
            </wp:positionV>
            <wp:extent cx="6221095" cy="8798560"/>
            <wp:effectExtent l="0" t="0" r="8255" b="2540"/>
            <wp:wrapNone/>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21095" cy="8798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B5D">
        <w:rPr>
          <w:noProof/>
          <w:szCs w:val="24"/>
        </w:rPr>
        <w:drawing>
          <wp:inline distT="0" distB="0" distL="0" distR="0">
            <wp:extent cx="6048375" cy="855345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48375" cy="8553450"/>
                    </a:xfrm>
                    <a:prstGeom prst="rect">
                      <a:avLst/>
                    </a:prstGeom>
                    <a:noFill/>
                    <a:ln>
                      <a:noFill/>
                    </a:ln>
                  </pic:spPr>
                </pic:pic>
              </a:graphicData>
            </a:graphic>
          </wp:inline>
        </w:drawing>
      </w:r>
    </w:p>
    <w:p w:rsidR="009B4FDA" w:rsidRPr="000A5B5D" w:rsidRDefault="009B4FDA" w:rsidP="009D339B">
      <w:pPr>
        <w:jc w:val="center"/>
        <w:rPr>
          <w:szCs w:val="24"/>
        </w:rPr>
        <w:sectPr w:rsidR="009B4FDA" w:rsidRPr="000A5B5D" w:rsidSect="007D5813">
          <w:pgSz w:w="11906" w:h="16838"/>
          <w:pgMar w:top="1440" w:right="1134" w:bottom="1440" w:left="1134" w:header="851" w:footer="992" w:gutter="0"/>
          <w:cols w:space="425"/>
          <w:docGrid w:type="lines" w:linePitch="312"/>
        </w:sectPr>
      </w:pPr>
    </w:p>
    <w:p w:rsidR="009B4FDA" w:rsidRPr="000A5B5D" w:rsidRDefault="0024594D" w:rsidP="009D339B">
      <w:pPr>
        <w:jc w:val="center"/>
        <w:rPr>
          <w:szCs w:val="24"/>
        </w:rPr>
      </w:pPr>
      <w:r w:rsidRPr="000A5B5D">
        <w:rPr>
          <w:noProof/>
          <w:szCs w:val="24"/>
        </w:rPr>
        <w:lastRenderedPageBreak/>
        <w:drawing>
          <wp:inline distT="0" distB="0" distL="0" distR="0">
            <wp:extent cx="8982075" cy="6353175"/>
            <wp:effectExtent l="0" t="0" r="9525"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982075" cy="6353175"/>
                    </a:xfrm>
                    <a:prstGeom prst="rect">
                      <a:avLst/>
                    </a:prstGeom>
                    <a:noFill/>
                    <a:ln>
                      <a:noFill/>
                    </a:ln>
                  </pic:spPr>
                </pic:pic>
              </a:graphicData>
            </a:graphic>
          </wp:inline>
        </w:drawing>
      </w:r>
    </w:p>
    <w:p w:rsidR="00E0772B" w:rsidRPr="000A5B5D" w:rsidRDefault="0024594D" w:rsidP="009D339B">
      <w:pPr>
        <w:jc w:val="center"/>
        <w:rPr>
          <w:szCs w:val="24"/>
        </w:rPr>
      </w:pPr>
      <w:r w:rsidRPr="000A5B5D">
        <w:rPr>
          <w:noProof/>
          <w:szCs w:val="24"/>
        </w:rPr>
        <w:lastRenderedPageBreak/>
        <w:drawing>
          <wp:inline distT="0" distB="0" distL="0" distR="0">
            <wp:extent cx="8877300" cy="6276975"/>
            <wp:effectExtent l="0" t="0" r="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77300" cy="6276975"/>
                    </a:xfrm>
                    <a:prstGeom prst="rect">
                      <a:avLst/>
                    </a:prstGeom>
                    <a:noFill/>
                    <a:ln>
                      <a:noFill/>
                    </a:ln>
                  </pic:spPr>
                </pic:pic>
              </a:graphicData>
            </a:graphic>
          </wp:inline>
        </w:drawing>
      </w:r>
    </w:p>
    <w:p w:rsidR="00E0772B" w:rsidRPr="000A5B5D" w:rsidRDefault="00E0772B" w:rsidP="009D339B">
      <w:pPr>
        <w:jc w:val="center"/>
        <w:rPr>
          <w:szCs w:val="24"/>
        </w:rPr>
        <w:sectPr w:rsidR="00E0772B" w:rsidRPr="000A5B5D" w:rsidSect="009B4FDA">
          <w:pgSz w:w="16838" w:h="11906" w:orient="landscape"/>
          <w:pgMar w:top="1134" w:right="1440" w:bottom="1134" w:left="1440" w:header="851" w:footer="992" w:gutter="0"/>
          <w:cols w:space="425"/>
          <w:docGrid w:type="lines" w:linePitch="312"/>
        </w:sectPr>
      </w:pPr>
    </w:p>
    <w:p w:rsidR="00851B9D" w:rsidRPr="000A5B5D" w:rsidRDefault="00851B9D" w:rsidP="00851B9D">
      <w:pPr>
        <w:spacing w:line="400" w:lineRule="exact"/>
        <w:ind w:right="357"/>
        <w:jc w:val="center"/>
        <w:outlineLvl w:val="0"/>
        <w:rPr>
          <w:rFonts w:ascii="Arial" w:hAnsi="Arial" w:cs="Arial"/>
          <w:b/>
          <w:sz w:val="28"/>
          <w:szCs w:val="28"/>
        </w:rPr>
      </w:pPr>
      <w:bookmarkStart w:id="12" w:name="_Toc449101535"/>
      <w:r w:rsidRPr="000A5B5D">
        <w:rPr>
          <w:rFonts w:ascii="Arial" w:hAnsi="Arial" w:cs="Arial" w:hint="eastAsia"/>
          <w:b/>
          <w:sz w:val="28"/>
          <w:szCs w:val="28"/>
        </w:rPr>
        <w:lastRenderedPageBreak/>
        <w:t>恒逸石化股份有限公司</w:t>
      </w:r>
    </w:p>
    <w:p w:rsidR="00851B9D" w:rsidRPr="000A5B5D" w:rsidRDefault="00851B9D" w:rsidP="00851B9D">
      <w:pPr>
        <w:spacing w:line="400" w:lineRule="exact"/>
        <w:ind w:right="357"/>
        <w:jc w:val="center"/>
        <w:rPr>
          <w:rFonts w:ascii="Arial" w:hAnsi="Arial" w:cs="Arial"/>
          <w:b/>
          <w:sz w:val="28"/>
          <w:szCs w:val="28"/>
        </w:rPr>
      </w:pPr>
      <w:r w:rsidRPr="000A5B5D">
        <w:rPr>
          <w:rFonts w:ascii="Arial" w:hAnsi="Arial" w:cs="Arial"/>
          <w:b/>
          <w:sz w:val="28"/>
          <w:szCs w:val="28"/>
        </w:rPr>
        <w:t>2015</w:t>
      </w:r>
      <w:r w:rsidRPr="000A5B5D">
        <w:rPr>
          <w:rFonts w:ascii="Arial" w:hAnsi="Arial" w:cs="Arial" w:hint="eastAsia"/>
          <w:b/>
          <w:sz w:val="28"/>
          <w:szCs w:val="28"/>
        </w:rPr>
        <w:t>年度财务报表附注</w:t>
      </w:r>
    </w:p>
    <w:p w:rsidR="00851B9D" w:rsidRPr="000A5B5D" w:rsidRDefault="00851B9D" w:rsidP="00851B9D">
      <w:pPr>
        <w:spacing w:line="400" w:lineRule="exact"/>
        <w:ind w:right="357"/>
        <w:jc w:val="center"/>
        <w:rPr>
          <w:rFonts w:ascii="Arial" w:hAnsi="Arial" w:cs="Arial"/>
          <w:b/>
          <w:sz w:val="24"/>
          <w:szCs w:val="24"/>
        </w:rPr>
      </w:pPr>
      <w:r w:rsidRPr="000A5B5D">
        <w:rPr>
          <w:rFonts w:ascii="Arial" w:hAnsi="Arial" w:cs="Arial" w:hint="eastAsia"/>
          <w:b/>
          <w:sz w:val="24"/>
          <w:szCs w:val="24"/>
        </w:rPr>
        <w:t>（除特别说明外，金额单位为人民币元）</w:t>
      </w:r>
    </w:p>
    <w:p w:rsidR="00851B9D" w:rsidRPr="000A5B5D" w:rsidRDefault="00851B9D" w:rsidP="00851B9D">
      <w:pPr>
        <w:pStyle w:val="af5"/>
        <w:numPr>
          <w:ilvl w:val="0"/>
          <w:numId w:val="7"/>
        </w:numPr>
        <w:spacing w:line="400" w:lineRule="exact"/>
        <w:ind w:left="0" w:firstLineChars="0" w:firstLine="482"/>
        <w:outlineLvl w:val="0"/>
        <w:rPr>
          <w:rFonts w:ascii="Arial" w:hAnsi="Arial" w:cs="Arial"/>
          <w:b/>
          <w:bCs/>
          <w:sz w:val="24"/>
        </w:rPr>
      </w:pPr>
      <w:r w:rsidRPr="000A5B5D">
        <w:rPr>
          <w:rFonts w:ascii="Arial" w:hAnsi="Arial" w:cs="Arial" w:hint="eastAsia"/>
          <w:b/>
          <w:bCs/>
          <w:sz w:val="24"/>
        </w:rPr>
        <w:t>公司基本情况</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1</w:t>
      </w:r>
      <w:r w:rsidRPr="000A5B5D">
        <w:rPr>
          <w:rFonts w:ascii="Arial" w:hAnsi="Arial" w:cs="Arial" w:hint="eastAsia"/>
          <w:bCs/>
          <w:sz w:val="24"/>
          <w:szCs w:val="24"/>
        </w:rPr>
        <w:t>、历史沿革</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恒逸石化股份有限公司（简称</w:t>
      </w:r>
      <w:r w:rsidRPr="000A5B5D">
        <w:rPr>
          <w:rFonts w:ascii="Arial" w:hAnsi="Arial" w:cs="Arial"/>
          <w:sz w:val="24"/>
          <w:szCs w:val="24"/>
        </w:rPr>
        <w:t>“</w:t>
      </w:r>
      <w:r w:rsidRPr="000A5B5D">
        <w:rPr>
          <w:rFonts w:ascii="Arial" w:hAnsi="Arial" w:cs="Arial" w:hint="eastAsia"/>
          <w:sz w:val="24"/>
          <w:szCs w:val="24"/>
        </w:rPr>
        <w:t>本公司</w:t>
      </w:r>
      <w:r w:rsidRPr="000A5B5D">
        <w:rPr>
          <w:rFonts w:ascii="Arial" w:hAnsi="Arial" w:cs="Arial"/>
          <w:sz w:val="24"/>
          <w:szCs w:val="24"/>
        </w:rPr>
        <w:t>”</w:t>
      </w:r>
      <w:r w:rsidRPr="000A5B5D">
        <w:rPr>
          <w:rFonts w:ascii="Arial" w:hAnsi="Arial" w:cs="Arial" w:hint="eastAsia"/>
          <w:sz w:val="24"/>
          <w:szCs w:val="24"/>
        </w:rPr>
        <w:t>或</w:t>
      </w:r>
      <w:r w:rsidRPr="000A5B5D">
        <w:rPr>
          <w:rFonts w:ascii="Arial" w:hAnsi="Arial" w:cs="Arial"/>
          <w:sz w:val="24"/>
          <w:szCs w:val="24"/>
        </w:rPr>
        <w:t>“</w:t>
      </w:r>
      <w:r w:rsidRPr="000A5B5D">
        <w:rPr>
          <w:rFonts w:ascii="Arial" w:hAnsi="Arial" w:cs="Arial" w:hint="eastAsia"/>
          <w:sz w:val="24"/>
          <w:szCs w:val="24"/>
        </w:rPr>
        <w:t>公司</w:t>
      </w:r>
      <w:r w:rsidRPr="000A5B5D">
        <w:rPr>
          <w:rFonts w:ascii="Arial" w:hAnsi="Arial" w:cs="Arial"/>
          <w:sz w:val="24"/>
          <w:szCs w:val="24"/>
        </w:rPr>
        <w:t>”</w:t>
      </w:r>
      <w:r w:rsidRPr="000A5B5D">
        <w:rPr>
          <w:rFonts w:ascii="Arial" w:hAnsi="Arial" w:cs="Arial" w:hint="eastAsia"/>
          <w:sz w:val="24"/>
          <w:szCs w:val="24"/>
        </w:rPr>
        <w:t>）前身为世纪光华科技股份有限公司（简称</w:t>
      </w:r>
      <w:r w:rsidRPr="000A5B5D">
        <w:rPr>
          <w:rFonts w:ascii="Arial" w:hAnsi="Arial" w:cs="Arial"/>
          <w:sz w:val="24"/>
          <w:szCs w:val="24"/>
        </w:rPr>
        <w:t>“</w:t>
      </w:r>
      <w:r w:rsidRPr="000A5B5D">
        <w:rPr>
          <w:rFonts w:ascii="Arial" w:hAnsi="Arial" w:cs="Arial" w:hint="eastAsia"/>
          <w:sz w:val="24"/>
          <w:szCs w:val="24"/>
        </w:rPr>
        <w:t>世纪光华</w:t>
      </w:r>
      <w:r w:rsidRPr="000A5B5D">
        <w:rPr>
          <w:rFonts w:ascii="Arial" w:hAnsi="Arial" w:cs="Arial"/>
          <w:sz w:val="24"/>
          <w:szCs w:val="24"/>
        </w:rPr>
        <w:t>”</w:t>
      </w:r>
      <w:r w:rsidRPr="000A5B5D">
        <w:rPr>
          <w:rFonts w:ascii="Arial" w:hAnsi="Arial" w:cs="Arial" w:hint="eastAsia"/>
          <w:sz w:val="24"/>
          <w:szCs w:val="24"/>
        </w:rPr>
        <w:t>），于</w:t>
      </w:r>
      <w:r w:rsidRPr="000A5B5D">
        <w:rPr>
          <w:rFonts w:ascii="Arial" w:hAnsi="Arial" w:cs="Arial"/>
          <w:sz w:val="24"/>
          <w:szCs w:val="24"/>
        </w:rPr>
        <w:t>2011</w:t>
      </w:r>
      <w:r w:rsidRPr="000A5B5D">
        <w:rPr>
          <w:rFonts w:ascii="Arial" w:hAnsi="Arial" w:cs="Arial" w:hint="eastAsia"/>
          <w:sz w:val="24"/>
          <w:szCs w:val="24"/>
        </w:rPr>
        <w:t>年</w:t>
      </w:r>
      <w:r w:rsidRPr="000A5B5D">
        <w:rPr>
          <w:rFonts w:ascii="Arial" w:hAnsi="Arial" w:cs="Arial"/>
          <w:sz w:val="24"/>
          <w:szCs w:val="24"/>
        </w:rPr>
        <w:t>6</w:t>
      </w:r>
      <w:r w:rsidRPr="000A5B5D">
        <w:rPr>
          <w:rFonts w:ascii="Arial" w:hAnsi="Arial" w:cs="Arial" w:hint="eastAsia"/>
          <w:sz w:val="24"/>
          <w:szCs w:val="24"/>
        </w:rPr>
        <w:t>月</w:t>
      </w:r>
      <w:r w:rsidRPr="000A5B5D">
        <w:rPr>
          <w:rFonts w:ascii="Arial" w:hAnsi="Arial" w:cs="Arial"/>
          <w:sz w:val="24"/>
          <w:szCs w:val="24"/>
        </w:rPr>
        <w:t>1</w:t>
      </w:r>
      <w:r w:rsidRPr="000A5B5D">
        <w:rPr>
          <w:rFonts w:ascii="Arial" w:hAnsi="Arial" w:cs="Arial" w:hint="eastAsia"/>
          <w:sz w:val="24"/>
          <w:szCs w:val="24"/>
        </w:rPr>
        <w:t>日变更工商登记为现有名称。于</w:t>
      </w:r>
      <w:r w:rsidRPr="000A5B5D">
        <w:rPr>
          <w:rFonts w:ascii="Arial" w:hAnsi="Arial" w:cs="Arial"/>
          <w:sz w:val="24"/>
          <w:szCs w:val="24"/>
        </w:rPr>
        <w:t>1989</w:t>
      </w:r>
      <w:r w:rsidRPr="000A5B5D">
        <w:rPr>
          <w:rFonts w:ascii="Arial" w:hAnsi="Arial" w:cs="Arial" w:hint="eastAsia"/>
          <w:sz w:val="24"/>
          <w:szCs w:val="24"/>
        </w:rPr>
        <w:t>年</w:t>
      </w:r>
      <w:r w:rsidRPr="000A5B5D">
        <w:rPr>
          <w:rFonts w:ascii="Arial" w:hAnsi="Arial" w:cs="Arial"/>
          <w:sz w:val="24"/>
          <w:szCs w:val="24"/>
        </w:rPr>
        <w:t>12</w:t>
      </w:r>
      <w:r w:rsidRPr="000A5B5D">
        <w:rPr>
          <w:rFonts w:ascii="Arial" w:hAnsi="Arial" w:cs="Arial" w:hint="eastAsia"/>
          <w:sz w:val="24"/>
          <w:szCs w:val="24"/>
        </w:rPr>
        <w:t>月</w:t>
      </w:r>
      <w:r w:rsidRPr="000A5B5D">
        <w:rPr>
          <w:rFonts w:ascii="Arial" w:hAnsi="Arial" w:cs="Arial"/>
          <w:sz w:val="24"/>
          <w:szCs w:val="24"/>
        </w:rPr>
        <w:t>14</w:t>
      </w:r>
      <w:r w:rsidRPr="000A5B5D">
        <w:rPr>
          <w:rFonts w:ascii="Arial" w:hAnsi="Arial" w:cs="Arial" w:hint="eastAsia"/>
          <w:sz w:val="24"/>
          <w:szCs w:val="24"/>
        </w:rPr>
        <w:t>日由股东发起组建，</w:t>
      </w:r>
      <w:r w:rsidRPr="000A5B5D">
        <w:rPr>
          <w:rFonts w:ascii="Arial" w:hAnsi="Arial" w:cs="Arial"/>
          <w:sz w:val="24"/>
          <w:szCs w:val="24"/>
        </w:rPr>
        <w:t>1990</w:t>
      </w:r>
      <w:r w:rsidRPr="000A5B5D">
        <w:rPr>
          <w:rFonts w:ascii="Arial" w:hAnsi="Arial" w:cs="Arial" w:hint="eastAsia"/>
          <w:sz w:val="24"/>
          <w:szCs w:val="24"/>
        </w:rPr>
        <w:t>年</w:t>
      </w:r>
      <w:r w:rsidRPr="000A5B5D">
        <w:rPr>
          <w:rFonts w:ascii="Arial" w:hAnsi="Arial" w:cs="Arial"/>
          <w:sz w:val="24"/>
          <w:szCs w:val="24"/>
        </w:rPr>
        <w:t>2</w:t>
      </w:r>
      <w:r w:rsidRPr="000A5B5D">
        <w:rPr>
          <w:rFonts w:ascii="Arial" w:hAnsi="Arial" w:cs="Arial" w:hint="eastAsia"/>
          <w:sz w:val="24"/>
          <w:szCs w:val="24"/>
        </w:rPr>
        <w:t>月</w:t>
      </w:r>
      <w:r w:rsidRPr="000A5B5D">
        <w:rPr>
          <w:rFonts w:ascii="Arial" w:hAnsi="Arial" w:cs="Arial"/>
          <w:sz w:val="24"/>
          <w:szCs w:val="24"/>
        </w:rPr>
        <w:t>10</w:t>
      </w:r>
      <w:r w:rsidRPr="000A5B5D">
        <w:rPr>
          <w:rFonts w:ascii="Arial" w:hAnsi="Arial" w:cs="Arial" w:hint="eastAsia"/>
          <w:sz w:val="24"/>
          <w:szCs w:val="24"/>
        </w:rPr>
        <w:t>日经广西壮族自治区经济体制改革委员会桂体改【</w:t>
      </w:r>
      <w:r w:rsidRPr="000A5B5D">
        <w:rPr>
          <w:rFonts w:ascii="Arial" w:hAnsi="Arial" w:cs="Arial"/>
          <w:sz w:val="24"/>
          <w:szCs w:val="24"/>
        </w:rPr>
        <w:t>1990</w:t>
      </w:r>
      <w:r w:rsidRPr="000A5B5D">
        <w:rPr>
          <w:rFonts w:ascii="Arial" w:hAnsi="Arial" w:cs="Arial" w:hint="eastAsia"/>
          <w:sz w:val="24"/>
          <w:szCs w:val="24"/>
        </w:rPr>
        <w:t>】</w:t>
      </w:r>
      <w:r w:rsidRPr="000A5B5D">
        <w:rPr>
          <w:rFonts w:ascii="Arial" w:hAnsi="Arial" w:cs="Arial"/>
          <w:sz w:val="24"/>
          <w:szCs w:val="24"/>
        </w:rPr>
        <w:t>3</w:t>
      </w:r>
      <w:r w:rsidRPr="000A5B5D">
        <w:rPr>
          <w:rFonts w:ascii="Arial" w:hAnsi="Arial" w:cs="Arial" w:hint="eastAsia"/>
          <w:sz w:val="24"/>
          <w:szCs w:val="24"/>
        </w:rPr>
        <w:t>号文批准成立。公司股票于</w:t>
      </w:r>
      <w:r w:rsidRPr="000A5B5D">
        <w:rPr>
          <w:rFonts w:ascii="Arial" w:hAnsi="Arial" w:cs="Arial"/>
          <w:sz w:val="24"/>
          <w:szCs w:val="24"/>
        </w:rPr>
        <w:t>1997</w:t>
      </w:r>
      <w:r w:rsidRPr="000A5B5D">
        <w:rPr>
          <w:rFonts w:ascii="Arial" w:hAnsi="Arial" w:cs="Arial" w:hint="eastAsia"/>
          <w:sz w:val="24"/>
          <w:szCs w:val="24"/>
        </w:rPr>
        <w:t>年</w:t>
      </w:r>
      <w:r w:rsidRPr="000A5B5D">
        <w:rPr>
          <w:rFonts w:ascii="Arial" w:hAnsi="Arial" w:cs="Arial"/>
          <w:sz w:val="24"/>
          <w:szCs w:val="24"/>
        </w:rPr>
        <w:t>3</w:t>
      </w:r>
      <w:r w:rsidRPr="000A5B5D">
        <w:rPr>
          <w:rFonts w:ascii="Arial" w:hAnsi="Arial" w:cs="Arial" w:hint="eastAsia"/>
          <w:sz w:val="24"/>
          <w:szCs w:val="24"/>
        </w:rPr>
        <w:t>月</w:t>
      </w:r>
      <w:r w:rsidRPr="000A5B5D">
        <w:rPr>
          <w:rFonts w:ascii="Arial" w:hAnsi="Arial" w:cs="Arial"/>
          <w:sz w:val="24"/>
          <w:szCs w:val="24"/>
        </w:rPr>
        <w:t>28</w:t>
      </w:r>
      <w:r w:rsidRPr="000A5B5D">
        <w:rPr>
          <w:rFonts w:ascii="Arial" w:hAnsi="Arial" w:cs="Arial" w:hint="eastAsia"/>
          <w:sz w:val="24"/>
          <w:szCs w:val="24"/>
        </w:rPr>
        <w:t>日在深圳交易所挂牌交易，股票代码：</w:t>
      </w:r>
      <w:r w:rsidRPr="000A5B5D">
        <w:rPr>
          <w:rFonts w:ascii="Arial" w:hAnsi="Arial" w:cs="Arial"/>
          <w:sz w:val="24"/>
          <w:szCs w:val="24"/>
        </w:rPr>
        <w:t>000703</w:t>
      </w:r>
      <w:r w:rsidRPr="000A5B5D">
        <w:rPr>
          <w:rFonts w:ascii="Arial" w:hAnsi="Arial" w:cs="Arial" w:hint="eastAsia"/>
          <w:sz w:val="24"/>
          <w:szCs w:val="24"/>
        </w:rPr>
        <w:t>，现股票简称</w:t>
      </w:r>
      <w:r w:rsidRPr="000A5B5D">
        <w:rPr>
          <w:rFonts w:ascii="Arial" w:hAnsi="Arial" w:cs="Arial"/>
          <w:sz w:val="24"/>
          <w:szCs w:val="24"/>
        </w:rPr>
        <w:t>“</w:t>
      </w:r>
      <w:r w:rsidRPr="000A5B5D">
        <w:rPr>
          <w:rFonts w:ascii="Arial" w:hAnsi="Arial" w:cs="Arial" w:hint="eastAsia"/>
          <w:sz w:val="24"/>
          <w:szCs w:val="24"/>
        </w:rPr>
        <w:t>恒逸石化</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经</w:t>
      </w:r>
      <w:r w:rsidRPr="000A5B5D">
        <w:rPr>
          <w:rFonts w:ascii="Arial" w:hAnsi="Arial" w:cs="Arial"/>
          <w:sz w:val="24"/>
          <w:szCs w:val="24"/>
        </w:rPr>
        <w:t>2011</w:t>
      </w:r>
      <w:r w:rsidRPr="000A5B5D">
        <w:rPr>
          <w:rFonts w:ascii="Arial" w:hAnsi="Arial" w:cs="Arial" w:hint="eastAsia"/>
          <w:sz w:val="24"/>
          <w:szCs w:val="24"/>
        </w:rPr>
        <w:t>年</w:t>
      </w:r>
      <w:r w:rsidRPr="000A5B5D">
        <w:rPr>
          <w:rFonts w:ascii="Arial" w:hAnsi="Arial" w:cs="Arial"/>
          <w:sz w:val="24"/>
          <w:szCs w:val="24"/>
        </w:rPr>
        <w:t>4</w:t>
      </w:r>
      <w:r w:rsidRPr="000A5B5D">
        <w:rPr>
          <w:rFonts w:ascii="Arial" w:hAnsi="Arial" w:cs="Arial" w:hint="eastAsia"/>
          <w:sz w:val="24"/>
          <w:szCs w:val="24"/>
        </w:rPr>
        <w:t>月</w:t>
      </w:r>
      <w:r w:rsidRPr="000A5B5D">
        <w:rPr>
          <w:rFonts w:ascii="Arial" w:hAnsi="Arial" w:cs="Arial"/>
          <w:sz w:val="24"/>
          <w:szCs w:val="24"/>
        </w:rPr>
        <w:t>15</w:t>
      </w:r>
      <w:r w:rsidRPr="000A5B5D">
        <w:rPr>
          <w:rFonts w:ascii="Arial" w:hAnsi="Arial" w:cs="Arial" w:hint="eastAsia"/>
          <w:sz w:val="24"/>
          <w:szCs w:val="24"/>
        </w:rPr>
        <w:t>日中国证券监督管理委员会《关于核准世纪光华科技股份有限公司重大资产出售及向浙江恒逸集团有限公司等发行股份购买资产的批复》（证监许可【</w:t>
      </w:r>
      <w:r w:rsidRPr="000A5B5D">
        <w:rPr>
          <w:rFonts w:ascii="Arial" w:hAnsi="Arial" w:cs="Arial"/>
          <w:sz w:val="24"/>
          <w:szCs w:val="24"/>
        </w:rPr>
        <w:t>2011</w:t>
      </w:r>
      <w:r w:rsidRPr="000A5B5D">
        <w:rPr>
          <w:rFonts w:ascii="Arial" w:hAnsi="Arial" w:cs="Arial" w:hint="eastAsia"/>
          <w:sz w:val="24"/>
          <w:szCs w:val="24"/>
        </w:rPr>
        <w:t>】</w:t>
      </w:r>
      <w:r w:rsidRPr="000A5B5D">
        <w:rPr>
          <w:rFonts w:ascii="Arial" w:hAnsi="Arial" w:cs="Arial"/>
          <w:sz w:val="24"/>
          <w:szCs w:val="24"/>
        </w:rPr>
        <w:t>540</w:t>
      </w:r>
      <w:r w:rsidRPr="000A5B5D">
        <w:rPr>
          <w:rFonts w:ascii="Arial" w:hAnsi="Arial" w:cs="Arial" w:hint="eastAsia"/>
          <w:sz w:val="24"/>
          <w:szCs w:val="24"/>
        </w:rPr>
        <w:t>号）文件核准，本公司将全部资产和负债向河南汇诚投资有限公司（简称</w:t>
      </w:r>
      <w:r w:rsidRPr="000A5B5D">
        <w:rPr>
          <w:rFonts w:ascii="Arial" w:hAnsi="Arial" w:cs="Arial"/>
          <w:sz w:val="24"/>
          <w:szCs w:val="24"/>
        </w:rPr>
        <w:t>“</w:t>
      </w:r>
      <w:r w:rsidRPr="000A5B5D">
        <w:rPr>
          <w:rFonts w:ascii="Arial" w:hAnsi="Arial" w:cs="Arial" w:hint="eastAsia"/>
          <w:sz w:val="24"/>
          <w:szCs w:val="24"/>
        </w:rPr>
        <w:t>河南汇诚</w:t>
      </w:r>
      <w:r w:rsidRPr="000A5B5D">
        <w:rPr>
          <w:rFonts w:ascii="Arial" w:hAnsi="Arial" w:cs="Arial"/>
          <w:sz w:val="24"/>
          <w:szCs w:val="24"/>
        </w:rPr>
        <w:t>”</w:t>
      </w:r>
      <w:r w:rsidRPr="000A5B5D">
        <w:rPr>
          <w:rFonts w:ascii="Arial" w:hAnsi="Arial" w:cs="Arial" w:hint="eastAsia"/>
          <w:sz w:val="24"/>
          <w:szCs w:val="24"/>
        </w:rPr>
        <w:t>）出售，且人随资产走，河南汇诚以现金支付对价。本公司发行</w:t>
      </w:r>
      <w:r w:rsidRPr="000A5B5D">
        <w:rPr>
          <w:rFonts w:ascii="Arial" w:hAnsi="Arial" w:cs="Arial"/>
          <w:sz w:val="24"/>
          <w:szCs w:val="24"/>
        </w:rPr>
        <w:t>432,883,813</w:t>
      </w:r>
      <w:r w:rsidRPr="000A5B5D">
        <w:rPr>
          <w:rFonts w:ascii="Arial" w:hAnsi="Arial" w:cs="Arial" w:hint="eastAsia"/>
          <w:sz w:val="24"/>
          <w:szCs w:val="24"/>
        </w:rPr>
        <w:t>股股份购买浙江恒逸集团有限公司及天津鼎晖股权投资一期基金（有限合伙）、天津鼎晖元博股权投资基金（有限合伙）所持有浙江恒逸石化有限公司（以下简称：恒逸有限）</w:t>
      </w:r>
      <w:r w:rsidRPr="000A5B5D">
        <w:rPr>
          <w:rFonts w:ascii="Arial" w:hAnsi="Arial" w:cs="Arial"/>
          <w:sz w:val="24"/>
          <w:szCs w:val="24"/>
        </w:rPr>
        <w:t>100%</w:t>
      </w:r>
      <w:r w:rsidRPr="000A5B5D">
        <w:rPr>
          <w:rFonts w:ascii="Arial" w:hAnsi="Arial" w:cs="Arial" w:hint="eastAsia"/>
          <w:sz w:val="24"/>
          <w:szCs w:val="24"/>
        </w:rPr>
        <w:t>的股权；同时，河南汇诚以协议方式将其所持世纪光华</w:t>
      </w:r>
      <w:r w:rsidRPr="000A5B5D">
        <w:rPr>
          <w:rFonts w:ascii="Arial" w:hAnsi="Arial" w:cs="Arial"/>
          <w:sz w:val="24"/>
          <w:szCs w:val="24"/>
        </w:rPr>
        <w:t>1,223.705</w:t>
      </w:r>
      <w:r w:rsidRPr="000A5B5D">
        <w:rPr>
          <w:rFonts w:ascii="Arial" w:hAnsi="Arial" w:cs="Arial" w:hint="eastAsia"/>
          <w:sz w:val="24"/>
          <w:szCs w:val="24"/>
        </w:rPr>
        <w:t>万股股份转让给浙江恒逸集团有限公司，浙江恒逸集团有限公司以现金支付对价。</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sz w:val="24"/>
          <w:szCs w:val="24"/>
        </w:rPr>
        <w:t>2011</w:t>
      </w:r>
      <w:r w:rsidRPr="000A5B5D">
        <w:rPr>
          <w:rFonts w:ascii="Arial" w:hAnsi="Arial" w:cs="Arial" w:hint="eastAsia"/>
          <w:sz w:val="24"/>
          <w:szCs w:val="24"/>
        </w:rPr>
        <w:t>年</w:t>
      </w:r>
      <w:r w:rsidRPr="000A5B5D">
        <w:rPr>
          <w:rFonts w:ascii="Arial" w:hAnsi="Arial" w:cs="Arial"/>
          <w:sz w:val="24"/>
          <w:szCs w:val="24"/>
        </w:rPr>
        <w:t>4</w:t>
      </w:r>
      <w:r w:rsidRPr="000A5B5D">
        <w:rPr>
          <w:rFonts w:ascii="Arial" w:hAnsi="Arial" w:cs="Arial" w:hint="eastAsia"/>
          <w:sz w:val="24"/>
          <w:szCs w:val="24"/>
        </w:rPr>
        <w:t>月</w:t>
      </w:r>
      <w:r w:rsidRPr="000A5B5D">
        <w:rPr>
          <w:rFonts w:ascii="Arial" w:hAnsi="Arial" w:cs="Arial"/>
          <w:sz w:val="24"/>
          <w:szCs w:val="24"/>
        </w:rPr>
        <w:t>27</w:t>
      </w:r>
      <w:r w:rsidRPr="000A5B5D">
        <w:rPr>
          <w:rFonts w:ascii="Arial" w:hAnsi="Arial" w:cs="Arial" w:hint="eastAsia"/>
          <w:sz w:val="24"/>
          <w:szCs w:val="24"/>
        </w:rPr>
        <w:t>日，天健正信对本次重大资产重组及发行股份购买资产进行了验资，并出具了天健正信验（</w:t>
      </w:r>
      <w:r w:rsidRPr="000A5B5D">
        <w:rPr>
          <w:rFonts w:ascii="Arial" w:hAnsi="Arial" w:cs="Arial"/>
          <w:sz w:val="24"/>
          <w:szCs w:val="24"/>
        </w:rPr>
        <w:t>2011</w:t>
      </w:r>
      <w:r w:rsidRPr="000A5B5D">
        <w:rPr>
          <w:rFonts w:ascii="Arial" w:hAnsi="Arial" w:cs="Arial" w:hint="eastAsia"/>
          <w:sz w:val="24"/>
          <w:szCs w:val="24"/>
        </w:rPr>
        <w:t>）综字第</w:t>
      </w:r>
      <w:r w:rsidRPr="000A5B5D">
        <w:rPr>
          <w:rFonts w:ascii="Arial" w:hAnsi="Arial" w:cs="Arial"/>
          <w:sz w:val="24"/>
          <w:szCs w:val="24"/>
        </w:rPr>
        <w:t>020057</w:t>
      </w:r>
      <w:r w:rsidRPr="000A5B5D">
        <w:rPr>
          <w:rFonts w:ascii="Arial" w:hAnsi="Arial" w:cs="Arial" w:hint="eastAsia"/>
          <w:sz w:val="24"/>
          <w:szCs w:val="24"/>
        </w:rPr>
        <w:t>号《验资报告》，对发行的</w:t>
      </w:r>
      <w:r w:rsidRPr="000A5B5D">
        <w:rPr>
          <w:rFonts w:ascii="Arial" w:hAnsi="Arial" w:cs="Arial"/>
          <w:sz w:val="24"/>
          <w:szCs w:val="24"/>
        </w:rPr>
        <w:t>432,883,813</w:t>
      </w:r>
      <w:r w:rsidRPr="000A5B5D">
        <w:rPr>
          <w:rFonts w:ascii="Arial" w:hAnsi="Arial" w:cs="Arial" w:hint="eastAsia"/>
          <w:sz w:val="24"/>
          <w:szCs w:val="24"/>
        </w:rPr>
        <w:t>股股份予以验证。</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根据本公司</w:t>
      </w:r>
      <w:r w:rsidRPr="000A5B5D">
        <w:rPr>
          <w:rFonts w:ascii="Arial" w:hAnsi="Arial" w:cs="Arial"/>
          <w:sz w:val="24"/>
          <w:szCs w:val="24"/>
        </w:rPr>
        <w:t>2011</w:t>
      </w:r>
      <w:r w:rsidRPr="000A5B5D">
        <w:rPr>
          <w:rFonts w:ascii="Arial" w:hAnsi="Arial" w:cs="Arial" w:hint="eastAsia"/>
          <w:sz w:val="24"/>
          <w:szCs w:val="24"/>
        </w:rPr>
        <w:t>年度股东大会决议和修改后的章程规定，以公司原有总股本</w:t>
      </w:r>
      <w:r w:rsidRPr="000A5B5D">
        <w:rPr>
          <w:rFonts w:ascii="Arial" w:hAnsi="Arial" w:cs="Arial"/>
          <w:sz w:val="24"/>
          <w:szCs w:val="24"/>
        </w:rPr>
        <w:t>576,793,813.00</w:t>
      </w:r>
      <w:r w:rsidRPr="000A5B5D">
        <w:rPr>
          <w:rFonts w:ascii="Arial" w:hAnsi="Arial" w:cs="Arial" w:hint="eastAsia"/>
          <w:sz w:val="24"/>
          <w:szCs w:val="24"/>
        </w:rPr>
        <w:t>元为基础，向全体股东每</w:t>
      </w:r>
      <w:r w:rsidRPr="000A5B5D">
        <w:rPr>
          <w:rFonts w:ascii="Arial" w:hAnsi="Arial" w:cs="Arial"/>
          <w:sz w:val="24"/>
          <w:szCs w:val="24"/>
        </w:rPr>
        <w:t>10</w:t>
      </w:r>
      <w:r w:rsidRPr="000A5B5D">
        <w:rPr>
          <w:rFonts w:ascii="Arial" w:hAnsi="Arial" w:cs="Arial" w:hint="eastAsia"/>
          <w:sz w:val="24"/>
          <w:szCs w:val="24"/>
        </w:rPr>
        <w:t>股送红股</w:t>
      </w:r>
      <w:r w:rsidRPr="000A5B5D">
        <w:rPr>
          <w:rFonts w:ascii="Arial" w:hAnsi="Arial" w:cs="Arial"/>
          <w:sz w:val="24"/>
          <w:szCs w:val="24"/>
        </w:rPr>
        <w:t>3</w:t>
      </w:r>
      <w:r w:rsidRPr="000A5B5D">
        <w:rPr>
          <w:rFonts w:ascii="Arial" w:hAnsi="Arial" w:cs="Arial" w:hint="eastAsia"/>
          <w:sz w:val="24"/>
          <w:szCs w:val="24"/>
        </w:rPr>
        <w:t>股，同时由资本公积金向全体股东每</w:t>
      </w:r>
      <w:r w:rsidRPr="000A5B5D">
        <w:rPr>
          <w:rFonts w:ascii="Arial" w:hAnsi="Arial" w:cs="Arial"/>
          <w:sz w:val="24"/>
          <w:szCs w:val="24"/>
        </w:rPr>
        <w:t>10</w:t>
      </w:r>
      <w:r w:rsidRPr="000A5B5D">
        <w:rPr>
          <w:rFonts w:ascii="Arial" w:hAnsi="Arial" w:cs="Arial" w:hint="eastAsia"/>
          <w:sz w:val="24"/>
          <w:szCs w:val="24"/>
        </w:rPr>
        <w:t>股转增</w:t>
      </w:r>
      <w:r w:rsidRPr="000A5B5D">
        <w:rPr>
          <w:rFonts w:ascii="Arial" w:hAnsi="Arial" w:cs="Arial"/>
          <w:sz w:val="24"/>
          <w:szCs w:val="24"/>
        </w:rPr>
        <w:t>7</w:t>
      </w:r>
      <w:r w:rsidRPr="000A5B5D">
        <w:rPr>
          <w:rFonts w:ascii="Arial" w:hAnsi="Arial" w:cs="Arial" w:hint="eastAsia"/>
          <w:sz w:val="24"/>
          <w:szCs w:val="24"/>
        </w:rPr>
        <w:t>股，公司增加注册资本人民币</w:t>
      </w:r>
      <w:r w:rsidRPr="000A5B5D">
        <w:rPr>
          <w:rFonts w:ascii="Arial" w:hAnsi="Arial" w:cs="Arial"/>
          <w:sz w:val="24"/>
          <w:szCs w:val="24"/>
        </w:rPr>
        <w:t>576,793,813.00</w:t>
      </w:r>
      <w:r w:rsidRPr="000A5B5D">
        <w:rPr>
          <w:rFonts w:ascii="Arial" w:hAnsi="Arial" w:cs="Arial" w:hint="eastAsia"/>
          <w:sz w:val="24"/>
          <w:szCs w:val="24"/>
        </w:rPr>
        <w:t>元，转增基准日期为</w:t>
      </w:r>
      <w:r w:rsidRPr="000A5B5D">
        <w:rPr>
          <w:rFonts w:ascii="Arial" w:hAnsi="Arial" w:cs="Arial"/>
          <w:sz w:val="24"/>
          <w:szCs w:val="24"/>
        </w:rPr>
        <w:t>2012</w:t>
      </w:r>
      <w:r w:rsidRPr="000A5B5D">
        <w:rPr>
          <w:rFonts w:ascii="Arial" w:hAnsi="Arial" w:cs="Arial" w:hint="eastAsia"/>
          <w:sz w:val="24"/>
          <w:szCs w:val="24"/>
        </w:rPr>
        <w:t>年</w:t>
      </w:r>
      <w:r w:rsidRPr="000A5B5D">
        <w:rPr>
          <w:rFonts w:ascii="Arial" w:hAnsi="Arial" w:cs="Arial"/>
          <w:sz w:val="24"/>
          <w:szCs w:val="24"/>
        </w:rPr>
        <w:t>3</w:t>
      </w:r>
      <w:r w:rsidRPr="000A5B5D">
        <w:rPr>
          <w:rFonts w:ascii="Arial" w:hAnsi="Arial" w:cs="Arial" w:hint="eastAsia"/>
          <w:sz w:val="24"/>
          <w:szCs w:val="24"/>
        </w:rPr>
        <w:t>月</w:t>
      </w:r>
      <w:r w:rsidRPr="000A5B5D">
        <w:rPr>
          <w:rFonts w:ascii="Arial" w:hAnsi="Arial" w:cs="Arial"/>
          <w:sz w:val="24"/>
          <w:szCs w:val="24"/>
        </w:rPr>
        <w:t>27</w:t>
      </w:r>
      <w:r w:rsidRPr="000A5B5D">
        <w:rPr>
          <w:rFonts w:ascii="Arial" w:hAnsi="Arial" w:cs="Arial" w:hint="eastAsia"/>
          <w:sz w:val="24"/>
          <w:szCs w:val="24"/>
        </w:rPr>
        <w:t>日，变更后的注册资本为人民币</w:t>
      </w:r>
      <w:r w:rsidRPr="000A5B5D">
        <w:rPr>
          <w:rFonts w:ascii="Arial" w:hAnsi="Arial" w:cs="Arial"/>
          <w:sz w:val="24"/>
          <w:szCs w:val="24"/>
        </w:rPr>
        <w:t>1,153,587,626.00</w:t>
      </w:r>
      <w:r w:rsidRPr="000A5B5D">
        <w:rPr>
          <w:rFonts w:ascii="Arial" w:hAnsi="Arial" w:cs="Arial" w:hint="eastAsia"/>
          <w:sz w:val="24"/>
          <w:szCs w:val="24"/>
        </w:rPr>
        <w:t>元。</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根据公司</w:t>
      </w:r>
      <w:r w:rsidRPr="000A5B5D">
        <w:rPr>
          <w:rFonts w:ascii="Arial" w:hAnsi="Arial" w:cs="Arial"/>
          <w:sz w:val="24"/>
          <w:szCs w:val="24"/>
        </w:rPr>
        <w:t>2015</w:t>
      </w:r>
      <w:r w:rsidRPr="000A5B5D">
        <w:rPr>
          <w:rFonts w:ascii="Arial" w:hAnsi="Arial" w:cs="Arial" w:hint="eastAsia"/>
          <w:sz w:val="24"/>
          <w:szCs w:val="24"/>
        </w:rPr>
        <w:t>年股东大会决议以及公司修改后章程的规定，公司</w:t>
      </w:r>
      <w:r w:rsidRPr="000A5B5D">
        <w:rPr>
          <w:rFonts w:ascii="Arial" w:hAnsi="Arial" w:cs="Arial"/>
          <w:sz w:val="24"/>
          <w:szCs w:val="24"/>
        </w:rPr>
        <w:t>2015</w:t>
      </w:r>
      <w:r w:rsidRPr="000A5B5D">
        <w:rPr>
          <w:rFonts w:ascii="Arial" w:hAnsi="Arial" w:cs="Arial" w:hint="eastAsia"/>
          <w:sz w:val="24"/>
          <w:szCs w:val="24"/>
        </w:rPr>
        <w:t>年实施了第一期限制性股票激励计划，此次激励计划采用的激励形式为限制性股票，首次授予限制性股票的激励对象为</w:t>
      </w:r>
      <w:r w:rsidRPr="000A5B5D">
        <w:rPr>
          <w:rFonts w:ascii="Arial" w:hAnsi="Arial" w:cs="Arial"/>
          <w:sz w:val="24"/>
          <w:szCs w:val="24"/>
        </w:rPr>
        <w:t>15</w:t>
      </w:r>
      <w:r w:rsidRPr="000A5B5D">
        <w:rPr>
          <w:rFonts w:ascii="Arial" w:hAnsi="Arial" w:cs="Arial" w:hint="eastAsia"/>
          <w:sz w:val="24"/>
          <w:szCs w:val="24"/>
        </w:rPr>
        <w:t>名，以定向发行的方式向激励对象授予</w:t>
      </w:r>
      <w:r w:rsidRPr="000A5B5D">
        <w:rPr>
          <w:rFonts w:ascii="Arial" w:hAnsi="Arial" w:cs="Arial"/>
          <w:sz w:val="24"/>
          <w:szCs w:val="24"/>
        </w:rPr>
        <w:t>1,170</w:t>
      </w:r>
      <w:r w:rsidRPr="000A5B5D">
        <w:rPr>
          <w:rFonts w:ascii="Arial" w:hAnsi="Arial" w:cs="Arial" w:hint="eastAsia"/>
          <w:sz w:val="24"/>
          <w:szCs w:val="24"/>
        </w:rPr>
        <w:t>万股限制性股票，每股面值</w:t>
      </w:r>
      <w:r w:rsidRPr="000A5B5D">
        <w:rPr>
          <w:rFonts w:ascii="Arial" w:hAnsi="Arial" w:cs="Arial"/>
          <w:sz w:val="24"/>
          <w:szCs w:val="24"/>
        </w:rPr>
        <w:t>1</w:t>
      </w:r>
      <w:r w:rsidRPr="000A5B5D">
        <w:rPr>
          <w:rFonts w:ascii="Arial" w:hAnsi="Arial" w:cs="Arial" w:hint="eastAsia"/>
          <w:sz w:val="24"/>
          <w:szCs w:val="24"/>
        </w:rPr>
        <w:t>元，公司增加注册资本人民币</w:t>
      </w:r>
      <w:r w:rsidRPr="000A5B5D">
        <w:rPr>
          <w:rFonts w:ascii="Arial" w:hAnsi="Arial" w:cs="Arial"/>
          <w:sz w:val="24"/>
          <w:szCs w:val="24"/>
        </w:rPr>
        <w:t>11,700,000.00</w:t>
      </w:r>
      <w:r w:rsidRPr="000A5B5D">
        <w:rPr>
          <w:rFonts w:ascii="Arial" w:hAnsi="Arial" w:cs="Arial" w:hint="eastAsia"/>
          <w:sz w:val="24"/>
          <w:szCs w:val="24"/>
        </w:rPr>
        <w:t>元，变更后的注册为人民</w:t>
      </w:r>
      <w:r w:rsidRPr="000A5B5D">
        <w:rPr>
          <w:rFonts w:ascii="Arial" w:hAnsi="Arial" w:cs="Arial"/>
          <w:sz w:val="24"/>
          <w:szCs w:val="24"/>
        </w:rPr>
        <w:t>1,165,287,626.00</w:t>
      </w:r>
      <w:r w:rsidRPr="000A5B5D">
        <w:rPr>
          <w:rFonts w:ascii="Arial" w:hAnsi="Arial" w:cs="Arial" w:hint="eastAsia"/>
          <w:sz w:val="24"/>
          <w:szCs w:val="24"/>
        </w:rPr>
        <w:t>元。</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根据本公司</w:t>
      </w:r>
      <w:r w:rsidRPr="000A5B5D">
        <w:rPr>
          <w:rFonts w:ascii="Arial" w:hAnsi="Arial" w:cs="Arial"/>
          <w:sz w:val="24"/>
          <w:szCs w:val="24"/>
        </w:rPr>
        <w:t>2014</w:t>
      </w:r>
      <w:r w:rsidRPr="000A5B5D">
        <w:rPr>
          <w:rFonts w:ascii="Arial" w:hAnsi="Arial" w:cs="Arial" w:hint="eastAsia"/>
          <w:sz w:val="24"/>
          <w:szCs w:val="24"/>
        </w:rPr>
        <w:t>年度股东大会决议和修改后的章程规定，经中国证券监督管理委员会《关于核准恒逸石化股份有限公司非公开发行股票的批复》（证监许可【</w:t>
      </w:r>
      <w:r w:rsidRPr="000A5B5D">
        <w:rPr>
          <w:rFonts w:ascii="Arial" w:hAnsi="Arial" w:cs="Arial"/>
          <w:sz w:val="24"/>
          <w:szCs w:val="24"/>
        </w:rPr>
        <w:t>2015</w:t>
      </w:r>
      <w:r w:rsidRPr="000A5B5D">
        <w:rPr>
          <w:rFonts w:ascii="Arial" w:hAnsi="Arial" w:cs="Arial" w:hint="eastAsia"/>
          <w:sz w:val="24"/>
          <w:szCs w:val="24"/>
        </w:rPr>
        <w:t>】</w:t>
      </w:r>
      <w:r w:rsidRPr="000A5B5D">
        <w:rPr>
          <w:rFonts w:ascii="Arial" w:hAnsi="Arial" w:cs="Arial"/>
          <w:sz w:val="24"/>
          <w:szCs w:val="24"/>
        </w:rPr>
        <w:t>2085</w:t>
      </w:r>
      <w:r w:rsidRPr="000A5B5D">
        <w:rPr>
          <w:rFonts w:ascii="Arial" w:hAnsi="Arial" w:cs="Arial" w:hint="eastAsia"/>
          <w:sz w:val="24"/>
          <w:szCs w:val="24"/>
        </w:rPr>
        <w:t>号）核准，本公司于</w:t>
      </w:r>
      <w:r w:rsidRPr="000A5B5D">
        <w:rPr>
          <w:rFonts w:ascii="Arial" w:hAnsi="Arial" w:cs="Arial"/>
          <w:sz w:val="24"/>
          <w:szCs w:val="24"/>
        </w:rPr>
        <w:t>2015</w:t>
      </w:r>
      <w:r w:rsidRPr="000A5B5D">
        <w:rPr>
          <w:rFonts w:ascii="Arial" w:hAnsi="Arial" w:cs="Arial" w:hint="eastAsia"/>
          <w:sz w:val="24"/>
          <w:szCs w:val="24"/>
        </w:rPr>
        <w:t>年非公开发生人民币普通股（</w:t>
      </w:r>
      <w:r w:rsidRPr="000A5B5D">
        <w:rPr>
          <w:rFonts w:ascii="Arial" w:hAnsi="Arial" w:cs="Arial"/>
          <w:sz w:val="24"/>
          <w:szCs w:val="24"/>
        </w:rPr>
        <w:t>A</w:t>
      </w:r>
      <w:r w:rsidRPr="000A5B5D">
        <w:rPr>
          <w:rFonts w:ascii="Arial" w:hAnsi="Arial" w:cs="Arial" w:hint="eastAsia"/>
          <w:sz w:val="24"/>
          <w:szCs w:val="24"/>
        </w:rPr>
        <w:t>股）</w:t>
      </w:r>
      <w:r w:rsidRPr="000A5B5D">
        <w:rPr>
          <w:rFonts w:ascii="Arial" w:hAnsi="Arial" w:cs="Arial"/>
          <w:sz w:val="24"/>
          <w:szCs w:val="24"/>
        </w:rPr>
        <w:t>140,845,070.00</w:t>
      </w:r>
      <w:r w:rsidRPr="000A5B5D">
        <w:rPr>
          <w:rFonts w:ascii="Arial" w:hAnsi="Arial" w:cs="Arial" w:hint="eastAsia"/>
          <w:sz w:val="24"/>
          <w:szCs w:val="24"/>
        </w:rPr>
        <w:t>股，每股面值</w:t>
      </w:r>
      <w:r w:rsidRPr="000A5B5D">
        <w:rPr>
          <w:rFonts w:ascii="Arial" w:hAnsi="Arial" w:cs="Arial"/>
          <w:sz w:val="24"/>
          <w:szCs w:val="24"/>
        </w:rPr>
        <w:t>1</w:t>
      </w:r>
      <w:r w:rsidRPr="000A5B5D">
        <w:rPr>
          <w:rFonts w:ascii="Arial" w:hAnsi="Arial" w:cs="Arial" w:hint="eastAsia"/>
          <w:sz w:val="24"/>
          <w:szCs w:val="24"/>
        </w:rPr>
        <w:t>元，公司增加注册资本人民币</w:t>
      </w:r>
      <w:r w:rsidRPr="000A5B5D">
        <w:rPr>
          <w:rFonts w:ascii="Arial" w:hAnsi="Arial" w:cs="Arial"/>
          <w:sz w:val="24"/>
          <w:szCs w:val="24"/>
        </w:rPr>
        <w:t>140,845,070.00</w:t>
      </w:r>
      <w:r w:rsidRPr="000A5B5D">
        <w:rPr>
          <w:rFonts w:ascii="Arial" w:hAnsi="Arial" w:cs="Arial" w:hint="eastAsia"/>
          <w:sz w:val="24"/>
          <w:szCs w:val="24"/>
        </w:rPr>
        <w:t>元，变更后的注册资本为人民币</w:t>
      </w:r>
      <w:r w:rsidRPr="000A5B5D">
        <w:rPr>
          <w:rFonts w:ascii="Arial" w:hAnsi="Arial" w:cs="Arial"/>
          <w:sz w:val="24"/>
          <w:szCs w:val="24"/>
        </w:rPr>
        <w:t>1,306,132,696.00</w:t>
      </w:r>
      <w:r w:rsidRPr="000A5B5D">
        <w:rPr>
          <w:rFonts w:ascii="Arial" w:hAnsi="Arial" w:cs="Arial" w:hint="eastAsia"/>
          <w:sz w:val="24"/>
          <w:szCs w:val="24"/>
        </w:rPr>
        <w:lastRenderedPageBreak/>
        <w:t>元。</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公司法人营业执照注册号为</w:t>
      </w:r>
      <w:r w:rsidRPr="000A5B5D">
        <w:rPr>
          <w:rFonts w:ascii="Arial" w:hAnsi="Arial" w:cs="Arial"/>
          <w:sz w:val="24"/>
          <w:szCs w:val="24"/>
        </w:rPr>
        <w:t>9145050019822966X4</w:t>
      </w:r>
      <w:r w:rsidRPr="000A5B5D">
        <w:rPr>
          <w:rFonts w:ascii="Arial" w:hAnsi="Arial" w:cs="Arial" w:hint="eastAsia"/>
          <w:sz w:val="24"/>
          <w:szCs w:val="24"/>
        </w:rPr>
        <w:t>，住所：广西北海，现总部位于浙江省杭州市萧山区市心北路</w:t>
      </w:r>
      <w:r w:rsidRPr="000A5B5D">
        <w:rPr>
          <w:rFonts w:ascii="Arial" w:hAnsi="Arial" w:cs="Arial"/>
          <w:sz w:val="24"/>
          <w:szCs w:val="24"/>
        </w:rPr>
        <w:t>260</w:t>
      </w:r>
      <w:r w:rsidRPr="000A5B5D">
        <w:rPr>
          <w:rFonts w:ascii="Arial" w:hAnsi="Arial" w:cs="Arial" w:hint="eastAsia"/>
          <w:sz w:val="24"/>
          <w:szCs w:val="24"/>
        </w:rPr>
        <w:t>号，法定代表人：方贤水，截止</w:t>
      </w:r>
      <w:r w:rsidRPr="000A5B5D">
        <w:rPr>
          <w:rFonts w:ascii="Arial" w:hAnsi="Arial" w:cs="Arial"/>
          <w:sz w:val="24"/>
          <w:szCs w:val="24"/>
        </w:rPr>
        <w:t>2015</w:t>
      </w:r>
      <w:r w:rsidRPr="000A5B5D">
        <w:rPr>
          <w:rFonts w:ascii="Arial" w:hAnsi="Arial" w:cs="Arial" w:hint="eastAsia"/>
          <w:sz w:val="24"/>
          <w:szCs w:val="24"/>
        </w:rPr>
        <w:t>年</w:t>
      </w:r>
      <w:r w:rsidRPr="000A5B5D">
        <w:rPr>
          <w:rFonts w:ascii="Arial" w:hAnsi="Arial" w:cs="Arial"/>
          <w:sz w:val="24"/>
          <w:szCs w:val="24"/>
        </w:rPr>
        <w:t>12</w:t>
      </w:r>
      <w:r w:rsidRPr="000A5B5D">
        <w:rPr>
          <w:rFonts w:ascii="Arial" w:hAnsi="Arial" w:cs="Arial" w:hint="eastAsia"/>
          <w:sz w:val="24"/>
          <w:szCs w:val="24"/>
        </w:rPr>
        <w:t>月</w:t>
      </w:r>
      <w:r w:rsidRPr="000A5B5D">
        <w:rPr>
          <w:rFonts w:ascii="Arial" w:hAnsi="Arial" w:cs="Arial"/>
          <w:sz w:val="24"/>
          <w:szCs w:val="24"/>
        </w:rPr>
        <w:t>31</w:t>
      </w:r>
      <w:r w:rsidRPr="000A5B5D">
        <w:rPr>
          <w:rFonts w:ascii="Arial" w:hAnsi="Arial" w:cs="Arial" w:hint="eastAsia"/>
          <w:sz w:val="24"/>
          <w:szCs w:val="24"/>
        </w:rPr>
        <w:t>日的注册资本为人民币</w:t>
      </w:r>
      <w:r w:rsidRPr="000A5B5D">
        <w:rPr>
          <w:rFonts w:ascii="Arial" w:hAnsi="Arial" w:cs="Arial"/>
          <w:sz w:val="24"/>
          <w:szCs w:val="24"/>
        </w:rPr>
        <w:t>1,306,132,696.00</w:t>
      </w:r>
      <w:r w:rsidRPr="000A5B5D">
        <w:rPr>
          <w:rFonts w:ascii="Arial" w:hAnsi="Arial" w:cs="Arial" w:hint="eastAsia"/>
          <w:sz w:val="24"/>
          <w:szCs w:val="24"/>
        </w:rPr>
        <w:t>元，实收资本</w:t>
      </w:r>
      <w:r w:rsidRPr="000A5B5D">
        <w:rPr>
          <w:rFonts w:ascii="Arial" w:hAnsi="Arial" w:cs="Arial"/>
          <w:sz w:val="24"/>
          <w:szCs w:val="24"/>
        </w:rPr>
        <w:t>1,306,132,696.00</w:t>
      </w:r>
      <w:r w:rsidRPr="000A5B5D">
        <w:rPr>
          <w:rFonts w:ascii="Arial" w:hAnsi="Arial" w:cs="Arial" w:hint="eastAsia"/>
          <w:sz w:val="24"/>
          <w:szCs w:val="24"/>
        </w:rPr>
        <w:t>元。</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本公司母公司是：浙江恒逸集团有限公司。</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2</w:t>
      </w:r>
      <w:r w:rsidRPr="000A5B5D">
        <w:rPr>
          <w:rFonts w:ascii="Arial" w:hAnsi="Arial" w:cs="Arial" w:hint="eastAsia"/>
          <w:bCs/>
          <w:sz w:val="24"/>
          <w:szCs w:val="24"/>
        </w:rPr>
        <w:t>、</w:t>
      </w:r>
      <w:r w:rsidRPr="000A5B5D">
        <w:rPr>
          <w:rFonts w:ascii="Arial" w:hAnsi="Arial" w:cs="Arial"/>
          <w:bCs/>
          <w:sz w:val="24"/>
          <w:szCs w:val="24"/>
        </w:rPr>
        <w:tab/>
      </w:r>
      <w:r w:rsidRPr="000A5B5D">
        <w:rPr>
          <w:rFonts w:ascii="Arial" w:hAnsi="Arial" w:cs="Arial" w:hint="eastAsia"/>
          <w:bCs/>
          <w:sz w:val="24"/>
          <w:szCs w:val="24"/>
        </w:rPr>
        <w:t>所处行业</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公司所属行业为石化及化纤产品制造行业。</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3</w:t>
      </w:r>
      <w:r w:rsidRPr="000A5B5D">
        <w:rPr>
          <w:rFonts w:ascii="Arial" w:hAnsi="Arial" w:cs="Arial" w:hint="eastAsia"/>
          <w:bCs/>
          <w:sz w:val="24"/>
          <w:szCs w:val="24"/>
        </w:rPr>
        <w:t>、</w:t>
      </w:r>
      <w:r w:rsidRPr="000A5B5D">
        <w:rPr>
          <w:rFonts w:ascii="Arial" w:hAnsi="Arial" w:cs="Arial"/>
          <w:bCs/>
          <w:sz w:val="24"/>
          <w:szCs w:val="24"/>
        </w:rPr>
        <w:tab/>
      </w:r>
      <w:r w:rsidRPr="000A5B5D">
        <w:rPr>
          <w:rFonts w:ascii="Arial" w:hAnsi="Arial" w:cs="Arial" w:hint="eastAsia"/>
          <w:bCs/>
          <w:sz w:val="24"/>
          <w:szCs w:val="24"/>
        </w:rPr>
        <w:t>经营范围</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本公司经批准的经营范围：化学纤维、化学原料（不含危险品）的生产、加工与销售；进出口业务（除国家法律、法规禁止和限制的项目）。</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4</w:t>
      </w:r>
      <w:r w:rsidRPr="000A5B5D">
        <w:rPr>
          <w:rFonts w:ascii="Arial" w:hAnsi="Arial" w:cs="Arial" w:hint="eastAsia"/>
          <w:bCs/>
          <w:sz w:val="24"/>
          <w:szCs w:val="24"/>
        </w:rPr>
        <w:t>、</w:t>
      </w:r>
      <w:r w:rsidRPr="000A5B5D">
        <w:rPr>
          <w:rFonts w:ascii="Arial" w:hAnsi="Arial" w:cs="Arial"/>
          <w:bCs/>
          <w:sz w:val="24"/>
          <w:szCs w:val="24"/>
        </w:rPr>
        <w:tab/>
      </w:r>
      <w:r w:rsidRPr="000A5B5D">
        <w:rPr>
          <w:rFonts w:ascii="Arial" w:hAnsi="Arial" w:cs="Arial" w:hint="eastAsia"/>
          <w:bCs/>
          <w:sz w:val="24"/>
          <w:szCs w:val="24"/>
        </w:rPr>
        <w:t>主要产品</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公司主要产品是精对苯二甲酸（</w:t>
      </w:r>
      <w:r w:rsidRPr="000A5B5D">
        <w:rPr>
          <w:rFonts w:ascii="Arial" w:hAnsi="Arial" w:cs="Arial"/>
          <w:sz w:val="24"/>
          <w:szCs w:val="24"/>
        </w:rPr>
        <w:t>PTA</w:t>
      </w:r>
      <w:r w:rsidRPr="000A5B5D">
        <w:rPr>
          <w:rFonts w:ascii="Arial" w:hAnsi="Arial" w:cs="Arial" w:hint="eastAsia"/>
          <w:sz w:val="24"/>
          <w:szCs w:val="24"/>
        </w:rPr>
        <w:t>）、聚酯切片、聚酯瓶片、涤纶预取向丝</w:t>
      </w:r>
      <w:r w:rsidRPr="000A5B5D">
        <w:rPr>
          <w:rFonts w:ascii="Arial" w:hAnsi="Arial" w:cs="Arial"/>
          <w:sz w:val="24"/>
          <w:szCs w:val="24"/>
        </w:rPr>
        <w:t>(POY)</w:t>
      </w:r>
      <w:r w:rsidRPr="000A5B5D">
        <w:rPr>
          <w:rFonts w:ascii="Arial" w:hAnsi="Arial" w:cs="Arial" w:hint="eastAsia"/>
          <w:sz w:val="24"/>
          <w:szCs w:val="24"/>
        </w:rPr>
        <w:t>、涤纶全拉伸丝</w:t>
      </w:r>
      <w:r w:rsidRPr="000A5B5D">
        <w:rPr>
          <w:rFonts w:ascii="Arial" w:hAnsi="Arial" w:cs="Arial"/>
          <w:sz w:val="24"/>
          <w:szCs w:val="24"/>
        </w:rPr>
        <w:t>(FDY)</w:t>
      </w:r>
      <w:r w:rsidRPr="000A5B5D">
        <w:rPr>
          <w:rFonts w:ascii="Arial" w:hAnsi="Arial" w:cs="Arial" w:hint="eastAsia"/>
          <w:sz w:val="24"/>
          <w:szCs w:val="24"/>
        </w:rPr>
        <w:t>、涤纶拉伸变形丝</w:t>
      </w:r>
      <w:r w:rsidRPr="000A5B5D">
        <w:rPr>
          <w:rFonts w:ascii="Arial" w:hAnsi="Arial" w:cs="Arial"/>
          <w:sz w:val="24"/>
          <w:szCs w:val="24"/>
        </w:rPr>
        <w:t>(DTY)</w:t>
      </w:r>
      <w:r w:rsidRPr="000A5B5D">
        <w:rPr>
          <w:rFonts w:ascii="Arial" w:hAnsi="Arial" w:cs="Arial" w:hint="eastAsia"/>
          <w:sz w:val="24"/>
          <w:szCs w:val="24"/>
        </w:rPr>
        <w:t>、</w:t>
      </w:r>
      <w:r w:rsidRPr="000A5B5D">
        <w:rPr>
          <w:rFonts w:ascii="Arial" w:hAnsi="Arial" w:cs="Arial"/>
          <w:sz w:val="24"/>
          <w:szCs w:val="24"/>
        </w:rPr>
        <w:t xml:space="preserve"> </w:t>
      </w:r>
      <w:r w:rsidRPr="000A5B5D">
        <w:rPr>
          <w:rFonts w:ascii="Arial" w:hAnsi="Arial" w:cs="Arial" w:hint="eastAsia"/>
          <w:sz w:val="24"/>
          <w:szCs w:val="24"/>
        </w:rPr>
        <w:t>涤纶短纤。</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5</w:t>
      </w:r>
      <w:r w:rsidRPr="000A5B5D">
        <w:rPr>
          <w:rFonts w:ascii="Arial" w:hAnsi="Arial" w:cs="Arial" w:hint="eastAsia"/>
          <w:bCs/>
          <w:sz w:val="24"/>
          <w:szCs w:val="24"/>
        </w:rPr>
        <w:t>、</w:t>
      </w:r>
      <w:r w:rsidRPr="000A5B5D">
        <w:rPr>
          <w:rFonts w:ascii="Arial" w:hAnsi="Arial" w:cs="Arial"/>
          <w:bCs/>
          <w:sz w:val="24"/>
          <w:szCs w:val="24"/>
        </w:rPr>
        <w:tab/>
      </w:r>
      <w:r w:rsidRPr="000A5B5D">
        <w:rPr>
          <w:rFonts w:ascii="Arial" w:hAnsi="Arial" w:cs="Arial" w:hint="eastAsia"/>
          <w:bCs/>
          <w:sz w:val="24"/>
          <w:szCs w:val="24"/>
        </w:rPr>
        <w:t>公司在报告期间内主营业务发生变更、股权发生重大变更、发生重大并购、重组的有关说明</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见历史沿革部分。</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6</w:t>
      </w:r>
      <w:r w:rsidRPr="000A5B5D">
        <w:rPr>
          <w:rFonts w:ascii="Arial" w:hAnsi="Arial" w:cs="Arial" w:hint="eastAsia"/>
          <w:bCs/>
          <w:sz w:val="24"/>
          <w:szCs w:val="24"/>
        </w:rPr>
        <w:t>、本财务报表业经本公司董事会于</w:t>
      </w:r>
      <w:r w:rsidRPr="000A5B5D">
        <w:rPr>
          <w:rFonts w:ascii="Arial" w:hAnsi="Arial" w:cs="Arial"/>
          <w:bCs/>
          <w:sz w:val="24"/>
          <w:szCs w:val="24"/>
        </w:rPr>
        <w:t>2016</w:t>
      </w:r>
      <w:r w:rsidRPr="000A5B5D">
        <w:rPr>
          <w:rFonts w:ascii="Arial" w:hAnsi="Arial" w:cs="Arial" w:hint="eastAsia"/>
          <w:bCs/>
          <w:sz w:val="24"/>
          <w:szCs w:val="24"/>
        </w:rPr>
        <w:t>年</w:t>
      </w:r>
      <w:r w:rsidRPr="000A5B5D">
        <w:rPr>
          <w:rFonts w:ascii="Arial" w:hAnsi="Arial" w:cs="Arial"/>
          <w:bCs/>
          <w:sz w:val="24"/>
          <w:szCs w:val="24"/>
        </w:rPr>
        <w:t>4</w:t>
      </w:r>
      <w:r w:rsidRPr="000A5B5D">
        <w:rPr>
          <w:rFonts w:ascii="Arial" w:hAnsi="Arial" w:cs="Arial" w:hint="eastAsia"/>
          <w:bCs/>
          <w:sz w:val="24"/>
          <w:szCs w:val="24"/>
        </w:rPr>
        <w:t>月</w:t>
      </w:r>
      <w:r w:rsidRPr="000A5B5D">
        <w:rPr>
          <w:rFonts w:ascii="Arial" w:hAnsi="Arial" w:cs="Arial"/>
          <w:bCs/>
          <w:sz w:val="24"/>
          <w:szCs w:val="24"/>
        </w:rPr>
        <w:t>22</w:t>
      </w:r>
      <w:r w:rsidRPr="000A5B5D">
        <w:rPr>
          <w:rFonts w:ascii="Arial" w:hAnsi="Arial" w:cs="Arial" w:hint="eastAsia"/>
          <w:bCs/>
          <w:sz w:val="24"/>
          <w:szCs w:val="24"/>
        </w:rPr>
        <w:t>日决议批准报出。</w:t>
      </w:r>
    </w:p>
    <w:p w:rsidR="00851B9D" w:rsidRPr="000A5B5D" w:rsidRDefault="00851B9D" w:rsidP="00851B9D">
      <w:pPr>
        <w:spacing w:line="400" w:lineRule="exact"/>
        <w:ind w:firstLineChars="200" w:firstLine="480"/>
        <w:outlineLvl w:val="0"/>
        <w:rPr>
          <w:rFonts w:ascii="Arial" w:hAnsi="Arial" w:cs="Arial"/>
          <w:bCs/>
          <w:sz w:val="24"/>
          <w:szCs w:val="24"/>
        </w:rPr>
      </w:pPr>
      <w:r w:rsidRPr="000A5B5D">
        <w:rPr>
          <w:rFonts w:ascii="Arial" w:hAnsi="Arial" w:cs="Arial"/>
          <w:bCs/>
          <w:sz w:val="24"/>
          <w:szCs w:val="24"/>
        </w:rPr>
        <w:t>7</w:t>
      </w:r>
      <w:r w:rsidRPr="000A5B5D">
        <w:rPr>
          <w:rFonts w:ascii="Arial" w:hAnsi="Arial" w:cs="Arial" w:hint="eastAsia"/>
          <w:bCs/>
          <w:sz w:val="24"/>
          <w:szCs w:val="24"/>
        </w:rPr>
        <w:t>、本公司</w:t>
      </w:r>
      <w:r w:rsidRPr="000A5B5D">
        <w:rPr>
          <w:rFonts w:ascii="Arial" w:hAnsi="Arial" w:cs="Arial"/>
          <w:bCs/>
          <w:sz w:val="24"/>
          <w:szCs w:val="24"/>
        </w:rPr>
        <w:t>2015</w:t>
      </w:r>
      <w:r w:rsidRPr="000A5B5D">
        <w:rPr>
          <w:rFonts w:ascii="Arial" w:hAnsi="Arial" w:cs="Arial" w:hint="eastAsia"/>
          <w:bCs/>
          <w:sz w:val="24"/>
          <w:szCs w:val="24"/>
        </w:rPr>
        <w:t>年度纳入合并范围的子公司共</w:t>
      </w:r>
      <w:r w:rsidRPr="000A5B5D">
        <w:rPr>
          <w:rFonts w:ascii="Arial" w:hAnsi="Arial" w:cs="Arial"/>
          <w:bCs/>
          <w:sz w:val="24"/>
          <w:szCs w:val="24"/>
        </w:rPr>
        <w:t>16</w:t>
      </w:r>
      <w:r w:rsidRPr="000A5B5D">
        <w:rPr>
          <w:rFonts w:ascii="Arial" w:hAnsi="Arial" w:cs="Arial" w:hint="eastAsia"/>
          <w:bCs/>
          <w:sz w:val="24"/>
          <w:szCs w:val="24"/>
        </w:rPr>
        <w:t>户，详见本附注八“在其他主体中的权益”。本公司本年度合并范围比上年度增加</w:t>
      </w:r>
      <w:r w:rsidRPr="000A5B5D">
        <w:rPr>
          <w:rFonts w:ascii="Arial" w:hAnsi="Arial" w:cs="Arial"/>
          <w:bCs/>
          <w:sz w:val="24"/>
          <w:szCs w:val="24"/>
        </w:rPr>
        <w:t>2</w:t>
      </w:r>
      <w:r w:rsidRPr="000A5B5D">
        <w:rPr>
          <w:rFonts w:ascii="Arial" w:hAnsi="Arial" w:cs="Arial" w:hint="eastAsia"/>
          <w:bCs/>
          <w:sz w:val="24"/>
          <w:szCs w:val="24"/>
        </w:rPr>
        <w:t>户，详见本附注七“合并范围的变更”。</w:t>
      </w:r>
    </w:p>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财务报表的编制基础</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本公司财务报表以持续经营假设为基础，根据实际发生的交易和事项，按照财政部发布的《企业会计准则</w:t>
      </w:r>
      <w:r w:rsidRPr="000A5B5D">
        <w:rPr>
          <w:rFonts w:ascii="Arial" w:hAnsi="Arial" w:cs="Arial"/>
          <w:sz w:val="24"/>
        </w:rPr>
        <w:t>——</w:t>
      </w:r>
      <w:r w:rsidRPr="000A5B5D">
        <w:rPr>
          <w:rFonts w:ascii="Arial" w:hAnsi="Arial" w:cs="Arial" w:hint="eastAsia"/>
          <w:sz w:val="24"/>
        </w:rPr>
        <w:t>基本准则》（财政部令第</w:t>
      </w:r>
      <w:r w:rsidRPr="000A5B5D">
        <w:rPr>
          <w:rFonts w:ascii="Arial" w:hAnsi="Arial" w:cs="Arial"/>
          <w:sz w:val="24"/>
        </w:rPr>
        <w:t>33</w:t>
      </w:r>
      <w:r w:rsidRPr="000A5B5D">
        <w:rPr>
          <w:rFonts w:ascii="Arial" w:hAnsi="Arial" w:cs="Arial" w:hint="eastAsia"/>
          <w:sz w:val="24"/>
        </w:rPr>
        <w:t>号发布、财政部令第</w:t>
      </w:r>
      <w:r w:rsidRPr="000A5B5D">
        <w:rPr>
          <w:rFonts w:ascii="Arial" w:hAnsi="Arial" w:cs="Arial"/>
          <w:sz w:val="24"/>
        </w:rPr>
        <w:t>76</w:t>
      </w:r>
      <w:r w:rsidRPr="000A5B5D">
        <w:rPr>
          <w:rFonts w:ascii="Arial" w:hAnsi="Arial" w:cs="Arial" w:hint="eastAsia"/>
          <w:sz w:val="24"/>
        </w:rPr>
        <w:t>号修订）、于</w:t>
      </w:r>
      <w:r w:rsidRPr="000A5B5D">
        <w:rPr>
          <w:rFonts w:ascii="Arial" w:hAnsi="Arial" w:cs="Arial"/>
          <w:sz w:val="24"/>
        </w:rPr>
        <w:t>2006</w:t>
      </w:r>
      <w:r w:rsidRPr="000A5B5D">
        <w:rPr>
          <w:rFonts w:ascii="Arial" w:hAnsi="Arial" w:cs="Arial" w:hint="eastAsia"/>
          <w:sz w:val="24"/>
        </w:rPr>
        <w:t>年</w:t>
      </w:r>
      <w:r w:rsidRPr="000A5B5D">
        <w:rPr>
          <w:rFonts w:ascii="Arial" w:hAnsi="Arial" w:cs="Arial"/>
          <w:sz w:val="24"/>
        </w:rPr>
        <w:t>2</w:t>
      </w:r>
      <w:r w:rsidRPr="000A5B5D">
        <w:rPr>
          <w:rFonts w:ascii="Arial" w:hAnsi="Arial" w:cs="Arial" w:hint="eastAsia"/>
          <w:sz w:val="24"/>
        </w:rPr>
        <w:t>月</w:t>
      </w:r>
      <w:r w:rsidRPr="000A5B5D">
        <w:rPr>
          <w:rFonts w:ascii="Arial" w:hAnsi="Arial" w:cs="Arial"/>
          <w:sz w:val="24"/>
        </w:rPr>
        <w:t>15</w:t>
      </w:r>
      <w:r w:rsidRPr="000A5B5D">
        <w:rPr>
          <w:rFonts w:ascii="Arial" w:hAnsi="Arial" w:cs="Arial" w:hint="eastAsia"/>
          <w:sz w:val="24"/>
        </w:rPr>
        <w:t>日及其后颁布和修订的</w:t>
      </w:r>
      <w:r w:rsidRPr="000A5B5D">
        <w:rPr>
          <w:rFonts w:ascii="Arial" w:hAnsi="Arial" w:cs="Arial"/>
          <w:sz w:val="24"/>
        </w:rPr>
        <w:t>41</w:t>
      </w:r>
      <w:r w:rsidRPr="000A5B5D">
        <w:rPr>
          <w:rFonts w:ascii="Arial" w:hAnsi="Arial" w:cs="Arial" w:hint="eastAsia"/>
          <w:sz w:val="24"/>
        </w:rPr>
        <w:t>项具体会计准则、企业会计准则应用指南、企业会计准则解释及其他相关规定（以下合称</w:t>
      </w:r>
      <w:r w:rsidRPr="000A5B5D">
        <w:rPr>
          <w:rFonts w:ascii="Arial" w:hAnsi="Arial" w:cs="Arial"/>
          <w:sz w:val="24"/>
        </w:rPr>
        <w:t>“</w:t>
      </w:r>
      <w:r w:rsidRPr="000A5B5D">
        <w:rPr>
          <w:rFonts w:ascii="Arial" w:hAnsi="Arial" w:cs="Arial" w:hint="eastAsia"/>
          <w:sz w:val="24"/>
        </w:rPr>
        <w:t>企业会计准则</w:t>
      </w:r>
      <w:r w:rsidRPr="000A5B5D">
        <w:rPr>
          <w:rFonts w:ascii="Arial" w:hAnsi="Arial" w:cs="Arial"/>
          <w:sz w:val="24"/>
        </w:rPr>
        <w:t>”</w:t>
      </w:r>
      <w:r w:rsidRPr="000A5B5D">
        <w:rPr>
          <w:rFonts w:ascii="Arial" w:hAnsi="Arial" w:cs="Arial" w:hint="eastAsia"/>
          <w:sz w:val="24"/>
        </w:rPr>
        <w:t>），以及中国证券监督管理委员会《公开发行证券的公司信息披露编报规则第</w:t>
      </w:r>
      <w:r w:rsidRPr="000A5B5D">
        <w:rPr>
          <w:rFonts w:ascii="Arial" w:hAnsi="Arial" w:cs="Arial"/>
          <w:sz w:val="24"/>
        </w:rPr>
        <w:t>15</w:t>
      </w:r>
      <w:r w:rsidRPr="000A5B5D">
        <w:rPr>
          <w:rFonts w:ascii="Arial" w:hAnsi="Arial" w:cs="Arial" w:hint="eastAsia"/>
          <w:sz w:val="24"/>
        </w:rPr>
        <w:t>号</w:t>
      </w:r>
      <w:r w:rsidRPr="000A5B5D">
        <w:rPr>
          <w:rFonts w:ascii="Arial" w:hAnsi="Arial" w:cs="Arial"/>
          <w:sz w:val="24"/>
        </w:rPr>
        <w:t>——</w:t>
      </w:r>
      <w:r w:rsidRPr="000A5B5D">
        <w:rPr>
          <w:rFonts w:ascii="Arial" w:hAnsi="Arial" w:cs="Arial" w:hint="eastAsia"/>
          <w:sz w:val="24"/>
        </w:rPr>
        <w:t>财务报告的一般规定》（</w:t>
      </w:r>
      <w:r w:rsidRPr="000A5B5D">
        <w:rPr>
          <w:rFonts w:ascii="Arial" w:hAnsi="Arial" w:cs="Arial"/>
          <w:sz w:val="24"/>
        </w:rPr>
        <w:t>2014</w:t>
      </w:r>
      <w:r w:rsidRPr="000A5B5D">
        <w:rPr>
          <w:rFonts w:ascii="Arial" w:hAnsi="Arial" w:cs="Arial" w:hint="eastAsia"/>
          <w:sz w:val="24"/>
        </w:rPr>
        <w:t>年修订）的披露规定编制。</w:t>
      </w:r>
    </w:p>
    <w:p w:rsidR="00851B9D" w:rsidRPr="000A5B5D" w:rsidRDefault="00851B9D" w:rsidP="00851B9D">
      <w:pPr>
        <w:tabs>
          <w:tab w:val="left" w:pos="600"/>
        </w:tabs>
        <w:spacing w:line="400" w:lineRule="exact"/>
        <w:ind w:firstLineChars="200" w:firstLine="480"/>
        <w:rPr>
          <w:rFonts w:ascii="Arial" w:hAnsi="Arial" w:cs="Arial"/>
          <w:sz w:val="24"/>
        </w:rPr>
      </w:pPr>
      <w:r w:rsidRPr="000A5B5D">
        <w:rPr>
          <w:rFonts w:ascii="Arial" w:hAnsi="Arial" w:cs="Arial" w:hint="eastAsia"/>
          <w:sz w:val="24"/>
        </w:rPr>
        <w:t>根据企业会计准则的相关规定，本公司会计核算以权责发生制为基础。除某些金融工具外，本财务报表均以历史成本为计量基础。持有待售的非流动资产，按公允价值减去预计费用后的金额，以及符合持有待售条件时的原账面价值，取两者孰低计价。资产如果发生减值，则按照相关规定计提相应的减值准备。</w:t>
      </w:r>
    </w:p>
    <w:p w:rsidR="00851B9D" w:rsidRPr="000A5B5D" w:rsidRDefault="00851B9D" w:rsidP="00851B9D">
      <w:pPr>
        <w:tabs>
          <w:tab w:val="left" w:pos="600"/>
        </w:tabs>
        <w:spacing w:line="400" w:lineRule="exact"/>
        <w:ind w:firstLineChars="200" w:firstLine="480"/>
        <w:rPr>
          <w:rFonts w:ascii="Arial" w:hAnsi="Arial" w:cs="Arial"/>
          <w:sz w:val="24"/>
        </w:rPr>
      </w:pPr>
    </w:p>
    <w:p w:rsidR="00851B9D" w:rsidRPr="000A5B5D" w:rsidRDefault="00851B9D" w:rsidP="00851B9D">
      <w:pPr>
        <w:spacing w:line="400" w:lineRule="exact"/>
        <w:ind w:firstLineChars="200" w:firstLine="482"/>
        <w:rPr>
          <w:rFonts w:ascii="Arial" w:hAnsi="Arial" w:cs="Arial"/>
          <w:b/>
          <w:bCs/>
          <w:sz w:val="24"/>
          <w:lang w:val="en-GB"/>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lastRenderedPageBreak/>
        <w:t>遵循企业会计准则的声明</w:t>
      </w:r>
    </w:p>
    <w:p w:rsidR="00851B9D" w:rsidRPr="000A5B5D" w:rsidRDefault="00851B9D" w:rsidP="00851B9D">
      <w:pPr>
        <w:tabs>
          <w:tab w:val="left" w:pos="600"/>
        </w:tabs>
        <w:spacing w:line="400" w:lineRule="exact"/>
        <w:ind w:firstLineChars="200" w:firstLine="480"/>
        <w:rPr>
          <w:rFonts w:ascii="Arial" w:hAnsi="Arial" w:cs="Arial"/>
          <w:sz w:val="24"/>
        </w:rPr>
      </w:pPr>
      <w:r w:rsidRPr="000A5B5D">
        <w:rPr>
          <w:rFonts w:ascii="Arial" w:hAnsi="Arial" w:cs="Arial" w:hint="eastAsia"/>
          <w:sz w:val="24"/>
        </w:rPr>
        <w:t>本公司编制的财务报表符合企业会计准则的要求，真实、完整地反映了本公司</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12</w:t>
      </w:r>
      <w:r w:rsidRPr="000A5B5D">
        <w:rPr>
          <w:rFonts w:ascii="Arial" w:hAnsi="Arial" w:cs="Arial" w:hint="eastAsia"/>
          <w:sz w:val="24"/>
        </w:rPr>
        <w:t>月</w:t>
      </w:r>
      <w:r w:rsidRPr="000A5B5D">
        <w:rPr>
          <w:rFonts w:ascii="Arial" w:hAnsi="Arial" w:cs="Arial"/>
          <w:sz w:val="24"/>
        </w:rPr>
        <w:t>31</w:t>
      </w:r>
      <w:r w:rsidRPr="000A5B5D">
        <w:rPr>
          <w:rFonts w:ascii="Arial" w:hAnsi="Arial" w:cs="Arial" w:hint="eastAsia"/>
          <w:sz w:val="24"/>
        </w:rPr>
        <w:t>日的财务状况及</w:t>
      </w:r>
      <w:r w:rsidRPr="000A5B5D">
        <w:rPr>
          <w:rFonts w:ascii="Arial" w:hAnsi="Arial" w:cs="Arial"/>
          <w:sz w:val="24"/>
        </w:rPr>
        <w:t>2015</w:t>
      </w:r>
      <w:r w:rsidRPr="000A5B5D">
        <w:rPr>
          <w:rFonts w:ascii="Arial" w:hAnsi="Arial" w:cs="Arial" w:hint="eastAsia"/>
          <w:sz w:val="24"/>
        </w:rPr>
        <w:t>年度的经营成果和现金流量等有关信息。此外，本公司的财务报表在所有重大方面符合中国证券监督管理委员会</w:t>
      </w:r>
      <w:r w:rsidRPr="000A5B5D">
        <w:rPr>
          <w:rFonts w:ascii="Arial" w:hAnsi="Arial" w:cs="Arial"/>
          <w:sz w:val="24"/>
        </w:rPr>
        <w:t>2014</w:t>
      </w:r>
      <w:r w:rsidRPr="000A5B5D">
        <w:rPr>
          <w:rFonts w:ascii="Arial" w:hAnsi="Arial" w:cs="Arial" w:hint="eastAsia"/>
          <w:sz w:val="24"/>
        </w:rPr>
        <w:t>年修订的《公开发行证券的公司信息披露编报规则第</w:t>
      </w:r>
      <w:r w:rsidRPr="000A5B5D">
        <w:rPr>
          <w:rFonts w:ascii="Arial" w:hAnsi="Arial" w:cs="Arial"/>
          <w:sz w:val="24"/>
        </w:rPr>
        <w:t>15</w:t>
      </w:r>
      <w:r w:rsidRPr="000A5B5D">
        <w:rPr>
          <w:rFonts w:ascii="Arial" w:hAnsi="Arial" w:cs="Arial" w:hint="eastAsia"/>
          <w:sz w:val="24"/>
        </w:rPr>
        <w:t>号－财务报告的一般规定》有关财务报表及其附注的披露要求。</w:t>
      </w:r>
    </w:p>
    <w:p w:rsidR="00851B9D" w:rsidRPr="000A5B5D" w:rsidRDefault="00851B9D" w:rsidP="00851B9D">
      <w:pPr>
        <w:tabs>
          <w:tab w:val="left" w:pos="600"/>
        </w:tabs>
        <w:spacing w:line="400" w:lineRule="exact"/>
        <w:ind w:firstLineChars="200" w:firstLine="480"/>
        <w:rPr>
          <w:rFonts w:ascii="Arial" w:hAnsi="Arial" w:cs="Arial"/>
          <w:sz w:val="24"/>
        </w:rPr>
      </w:pPr>
      <w:r w:rsidRPr="000A5B5D">
        <w:rPr>
          <w:rFonts w:ascii="Arial" w:hAnsi="Arial" w:cs="Arial"/>
          <w:sz w:val="24"/>
        </w:rPr>
        <w:t xml:space="preserve">                                                                                                         </w:t>
      </w: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重要会计政策和会计估计</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w:t>
      </w:r>
      <w:r w:rsidRPr="000A5B5D">
        <w:rPr>
          <w:rFonts w:ascii="Arial" w:hAnsi="Arial" w:cs="Arial" w:hint="eastAsia"/>
          <w:b/>
          <w:sz w:val="24"/>
        </w:rPr>
        <w:t>、会计期间</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本公司会计年度采用公历年度，即每年自</w:t>
      </w:r>
      <w:r w:rsidRPr="000A5B5D">
        <w:rPr>
          <w:rFonts w:ascii="Arial" w:hAnsi="Arial" w:cs="Arial"/>
          <w:sz w:val="24"/>
        </w:rPr>
        <w:t>1</w:t>
      </w:r>
      <w:r w:rsidRPr="000A5B5D">
        <w:rPr>
          <w:rFonts w:ascii="Arial" w:hAnsi="Arial" w:cs="Arial" w:hint="eastAsia"/>
          <w:sz w:val="24"/>
        </w:rPr>
        <w:t>月</w:t>
      </w:r>
      <w:r w:rsidRPr="000A5B5D">
        <w:rPr>
          <w:rFonts w:ascii="Arial" w:hAnsi="Arial" w:cs="Arial"/>
          <w:sz w:val="24"/>
        </w:rPr>
        <w:t>1</w:t>
      </w:r>
      <w:r w:rsidRPr="000A5B5D">
        <w:rPr>
          <w:rFonts w:ascii="Arial" w:hAnsi="Arial" w:cs="Arial" w:hint="eastAsia"/>
          <w:sz w:val="24"/>
        </w:rPr>
        <w:t>日起至</w:t>
      </w:r>
      <w:r w:rsidRPr="000A5B5D">
        <w:rPr>
          <w:rFonts w:ascii="Arial" w:hAnsi="Arial" w:cs="Arial"/>
          <w:sz w:val="24"/>
        </w:rPr>
        <w:t>12</w:t>
      </w:r>
      <w:r w:rsidRPr="000A5B5D">
        <w:rPr>
          <w:rFonts w:ascii="Arial" w:hAnsi="Arial" w:cs="Arial" w:hint="eastAsia"/>
          <w:sz w:val="24"/>
        </w:rPr>
        <w:t>月</w:t>
      </w:r>
      <w:r w:rsidRPr="000A5B5D">
        <w:rPr>
          <w:rFonts w:ascii="Arial" w:hAnsi="Arial" w:cs="Arial"/>
          <w:sz w:val="24"/>
        </w:rPr>
        <w:t>31</w:t>
      </w:r>
      <w:r w:rsidRPr="000A5B5D">
        <w:rPr>
          <w:rFonts w:ascii="Arial" w:hAnsi="Arial" w:cs="Arial" w:hint="eastAsia"/>
          <w:sz w:val="24"/>
        </w:rPr>
        <w:t>日止。</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w:t>
      </w:r>
      <w:r w:rsidRPr="000A5B5D">
        <w:rPr>
          <w:rFonts w:ascii="Arial" w:hAnsi="Arial" w:cs="Arial" w:hint="eastAsia"/>
          <w:b/>
          <w:sz w:val="24"/>
        </w:rPr>
        <w:t>、营业周期</w:t>
      </w:r>
    </w:p>
    <w:p w:rsidR="00851B9D" w:rsidRPr="000A5B5D" w:rsidRDefault="00851B9D" w:rsidP="00851B9D">
      <w:pPr>
        <w:tabs>
          <w:tab w:val="left" w:pos="600"/>
        </w:tabs>
        <w:spacing w:line="400" w:lineRule="exact"/>
        <w:ind w:firstLineChars="200" w:firstLine="480"/>
        <w:rPr>
          <w:rFonts w:ascii="Arial" w:hAnsi="Arial" w:cs="Arial"/>
          <w:sz w:val="24"/>
        </w:rPr>
      </w:pPr>
      <w:r w:rsidRPr="000A5B5D">
        <w:rPr>
          <w:rFonts w:ascii="Arial" w:hAnsi="Arial" w:cs="Arial" w:hint="eastAsia"/>
          <w:sz w:val="24"/>
        </w:rPr>
        <w:t>正常营业周期是指本公司从购买用于加工的资产起至实现现金或现金等价物的期间。本公司以</w:t>
      </w:r>
      <w:r w:rsidRPr="000A5B5D">
        <w:rPr>
          <w:rFonts w:ascii="Arial" w:hAnsi="Arial" w:cs="Arial"/>
          <w:sz w:val="24"/>
        </w:rPr>
        <w:t>12</w:t>
      </w:r>
      <w:r w:rsidRPr="000A5B5D">
        <w:rPr>
          <w:rFonts w:ascii="Arial" w:hAnsi="Arial" w:cs="Arial" w:hint="eastAsia"/>
          <w:sz w:val="24"/>
        </w:rPr>
        <w:t>个月作为一个营业周期，并以其作为资产和负债的流动性划分标准。</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3</w:t>
      </w:r>
      <w:r w:rsidRPr="000A5B5D">
        <w:rPr>
          <w:rFonts w:ascii="Arial" w:hAnsi="Arial" w:cs="Arial" w:hint="eastAsia"/>
          <w:b/>
          <w:sz w:val="24"/>
        </w:rPr>
        <w:t>、记账本位币</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人民币为本公司及境内子公司经营所处的主要经济环境中的货币，本公司及境内子公司以人民币为记账本位币。本公司之境外子公司根据其经营所处的主要经济环境中的货币确定美元为其记账本位币。本公司编制本财务报表时所采用的货币为人民币。</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4</w:t>
      </w:r>
      <w:r w:rsidRPr="000A5B5D">
        <w:rPr>
          <w:rFonts w:ascii="Arial" w:hAnsi="Arial" w:cs="Arial" w:hint="eastAsia"/>
          <w:b/>
          <w:sz w:val="24"/>
        </w:rPr>
        <w:t>、同一控制下和非同一控制下企业合并的会计处理方法</w:t>
      </w:r>
    </w:p>
    <w:p w:rsidR="00851B9D" w:rsidRPr="000A5B5D" w:rsidRDefault="00851B9D" w:rsidP="00851B9D">
      <w:pPr>
        <w:spacing w:line="400" w:lineRule="exact"/>
        <w:ind w:left="3" w:firstLineChars="200" w:firstLine="480"/>
        <w:rPr>
          <w:rFonts w:ascii="Arial" w:hAnsi="Arial" w:cs="Arial"/>
          <w:sz w:val="24"/>
        </w:rPr>
      </w:pPr>
      <w:r w:rsidRPr="000A5B5D">
        <w:rPr>
          <w:rFonts w:ascii="Arial" w:hAnsi="Arial" w:cs="Arial" w:hint="eastAsia"/>
          <w:sz w:val="24"/>
        </w:rPr>
        <w:t>企业合并，是指将两个或两个以上单独的企业合并形成一个报告主体的交易或事项。企业合并分为同一控制下企业合并和非同一控制下企业合并。</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）同一控制下企业合并</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参与合并的企业在合并前后均受同一方或相同的多方最终控制，且该控制并非暂时性的，为同一控制下的企业合并。同一控制下的企业合并，在合并日取得对其他参与合并企业控制权的一方为合并方，参与合并的其他企业为被合并方。合并日，是指合并方实际取得对被合并方控制权的日期。</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合并方取得的资产和负债均按合并日在被合并方的账面价值计量。合并方取得的净资产账面价值与支付的合并对价账面价值（或发行股份面值总额）的差额，调整资本公积（股本溢价）；资本公积（股本溢价）不足以冲减的，调整留存收益。</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合并方为进行企业合并发生的各项直接费用，于发生时计入当期损益。</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）非同一控制下企业合并</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参与合并的企业在合并前后不受同一方或相同的多方最终控制的，为非同一控制下的企业合并。非同一控制下的企业合并，在购买日取得对其他参与合并企业控制权的一方为购买方，参与合并的其他企业为被购买方。购买日，是指为购买方实际取得对被购买方控制权的日期。</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lastRenderedPageBreak/>
        <w:t>对于非同一控制下的企业合并，合并成本包含购买日购买方为取得对被购买方的控制权而付出的资产、发生或承担的负债以及发行的权益性证券的公允价值，为企业合并发生的审计、法律服务、评估咨询等中介费用以及其他管理费用于发生时计入当期损益。购买方作为合并对价发行的权益性证券或债务性证券的交易费用，计入权益性证券或债务性证券的初始确认金额。所涉及的或有对价按其在购买日的公允价值计入合并成本，购买日后</w:t>
      </w:r>
      <w:r w:rsidRPr="000A5B5D">
        <w:rPr>
          <w:rFonts w:ascii="Arial" w:hAnsi="Arial" w:cs="Arial"/>
          <w:sz w:val="24"/>
        </w:rPr>
        <w:t>12</w:t>
      </w:r>
      <w:r w:rsidRPr="000A5B5D">
        <w:rPr>
          <w:rFonts w:ascii="Arial" w:hAnsi="Arial" w:cs="Arial" w:hint="eastAsia"/>
          <w:sz w:val="24"/>
        </w:rPr>
        <w:t>个月内出现对购买日已存在情况的新的或进一步证据而需要调整或有对价的，相应调整合并商誉。购买方发生的合并成本及在合并中取得的可辨认净资产按购买日的公允价值计量。合并成本大于合并中取得的被购买方于购买日可辨认净资产公允价值份额的差额，确认为商誉。合并成本小于合并中取得的被购买方可辨认净资产公允价值份额的，首先对取得的被购买方各项可辨认资产、负债及或有负债的公允价值以及合并成本的计量进行复核，复核后合并成本仍小于合并中取得的被购买方可辨认净资产公允价值份额的，其差额计入当期损益。</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购买方取得被购买方的可抵扣暂时性差异，在购买日因不符合递延所得税资产确认条件而未予确认的，在购买日后</w:t>
      </w:r>
      <w:r w:rsidRPr="000A5B5D">
        <w:rPr>
          <w:rFonts w:ascii="Arial" w:hAnsi="Arial" w:cs="Arial"/>
          <w:sz w:val="24"/>
        </w:rPr>
        <w:t>12</w:t>
      </w:r>
      <w:r w:rsidRPr="000A5B5D">
        <w:rPr>
          <w:rFonts w:ascii="Arial" w:hAnsi="Arial" w:cs="Arial" w:hint="eastAsia"/>
          <w:sz w:val="24"/>
        </w:rPr>
        <w:t>个月内，如取得新的或进一步的信息表明购买日的相关情况已经存在，预期被购买方在购买日可抵扣暂时性差异带来的经济利益能够实现的，则确认相关的递延所得税资产，同时减少商誉，商誉不足冲减的，差额部分确认为当期损益；除上述情况以外，确认与企业合并相关的递延所得税资产的，计入当期损益。</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通过多次交易分步实现的非同一控制下企业合并，根据《财政部关于印发企业会计准则解释第</w:t>
      </w:r>
      <w:r w:rsidRPr="000A5B5D">
        <w:rPr>
          <w:rFonts w:ascii="Arial" w:hAnsi="Arial" w:cs="Arial"/>
          <w:sz w:val="24"/>
          <w:szCs w:val="24"/>
        </w:rPr>
        <w:t>5</w:t>
      </w:r>
      <w:r w:rsidRPr="000A5B5D">
        <w:rPr>
          <w:rFonts w:ascii="Arial" w:hAnsi="Arial" w:cs="Arial" w:hint="eastAsia"/>
          <w:sz w:val="24"/>
          <w:szCs w:val="24"/>
        </w:rPr>
        <w:t>号的通知》（财会〔</w:t>
      </w:r>
      <w:r w:rsidRPr="000A5B5D">
        <w:rPr>
          <w:rFonts w:ascii="Arial" w:hAnsi="Arial" w:cs="Arial"/>
          <w:sz w:val="24"/>
          <w:szCs w:val="24"/>
        </w:rPr>
        <w:t>2012</w:t>
      </w:r>
      <w:r w:rsidRPr="000A5B5D">
        <w:rPr>
          <w:rFonts w:ascii="Arial" w:hAnsi="Arial" w:cs="Arial" w:hint="eastAsia"/>
          <w:sz w:val="24"/>
          <w:szCs w:val="24"/>
        </w:rPr>
        <w:t>〕</w:t>
      </w:r>
      <w:r w:rsidRPr="000A5B5D">
        <w:rPr>
          <w:rFonts w:ascii="Arial" w:hAnsi="Arial" w:cs="Arial"/>
          <w:sz w:val="24"/>
          <w:szCs w:val="24"/>
        </w:rPr>
        <w:t>19</w:t>
      </w:r>
      <w:r w:rsidRPr="000A5B5D">
        <w:rPr>
          <w:rFonts w:ascii="Arial" w:hAnsi="Arial" w:cs="Arial" w:hint="eastAsia"/>
          <w:sz w:val="24"/>
          <w:szCs w:val="24"/>
        </w:rPr>
        <w:t>号）和《企业会计准则第</w:t>
      </w:r>
      <w:r w:rsidRPr="000A5B5D">
        <w:rPr>
          <w:rFonts w:ascii="Arial" w:hAnsi="Arial" w:cs="Arial"/>
          <w:sz w:val="24"/>
          <w:szCs w:val="24"/>
        </w:rPr>
        <w:t>33</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合并财务报表》第五十一条关于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的判断标准（参见本附注四、</w:t>
      </w:r>
      <w:r w:rsidRPr="000A5B5D">
        <w:rPr>
          <w:rFonts w:ascii="Arial" w:hAnsi="Arial" w:cs="Arial"/>
          <w:sz w:val="24"/>
          <w:szCs w:val="24"/>
        </w:rPr>
        <w:t>5</w:t>
      </w: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）），判断该多次交易是否属于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的，参考本部分前面各段描述及本附注四、</w:t>
      </w:r>
      <w:r w:rsidRPr="000A5B5D">
        <w:rPr>
          <w:rFonts w:ascii="Arial" w:hAnsi="Arial" w:cs="Arial"/>
          <w:sz w:val="24"/>
          <w:szCs w:val="24"/>
        </w:rPr>
        <w:t>13“</w:t>
      </w:r>
      <w:r w:rsidRPr="000A5B5D">
        <w:rPr>
          <w:rFonts w:ascii="Arial" w:hAnsi="Arial" w:cs="Arial" w:hint="eastAsia"/>
          <w:sz w:val="24"/>
          <w:szCs w:val="24"/>
        </w:rPr>
        <w:t>长期股权投资</w:t>
      </w:r>
      <w:r w:rsidRPr="000A5B5D">
        <w:rPr>
          <w:rFonts w:ascii="Arial" w:hAnsi="Arial" w:cs="Arial"/>
          <w:sz w:val="24"/>
          <w:szCs w:val="24"/>
        </w:rPr>
        <w:t>”</w:t>
      </w:r>
      <w:r w:rsidRPr="000A5B5D">
        <w:rPr>
          <w:rFonts w:ascii="Arial" w:hAnsi="Arial" w:cs="Arial" w:hint="eastAsia"/>
          <w:sz w:val="24"/>
          <w:szCs w:val="24"/>
        </w:rPr>
        <w:t>进行会计处理；不属于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的，区分个别财务报表和合并财务报表进行相关会计处理：</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在个别财务报表中，以购买日之前所持被购买方的股权投资的账面价值与购买日新增投资成本之和，作为该项投资的初始投资成本；购买日之前持有的被购买方的股权涉及其他综合收益的，在处置该项投资时将与其相关的其他综合收益采用与被购买方直接处置相关资产或负债相同的基础进行会计处理（即，除了按照权益法核算的在被购买方重新计量设定受益计划净负债或净资产导致的变动中的相应份额以外，其余转入当期投资收益）。</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在合并财务报表中，对于购买日之前持有的被购买方的股权，按照该股权在购买日的公允价值进行重新计量，公允价值与其账面价值的差额计入当期投资收益；购买日之前持有的被购买方的股权涉及其他综合收益的，与其相关的其他综合收益应当采用与被购买方直接处置相关资产或负债相同的基础进行会计处理（即，除了按照权益法核算的在被购买方重新计量设定受益计划净负债或净资产导致的变动中的相应份额以外，其余转为购买日所属当期投资收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5</w:t>
      </w:r>
      <w:r w:rsidRPr="000A5B5D">
        <w:rPr>
          <w:rFonts w:ascii="Arial" w:hAnsi="Arial" w:cs="Arial" w:hint="eastAsia"/>
          <w:b/>
          <w:sz w:val="24"/>
        </w:rPr>
        <w:t>、合并财务报表的编制方法</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1</w:t>
      </w:r>
      <w:r w:rsidRPr="000A5B5D">
        <w:rPr>
          <w:rFonts w:ascii="Arial" w:hAnsi="Arial" w:cs="Arial" w:hint="eastAsia"/>
          <w:sz w:val="24"/>
          <w:szCs w:val="24"/>
        </w:rPr>
        <w:t>）合并财务报表范围的确定原则</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lastRenderedPageBreak/>
        <w:t>合并财务报表的合并范围以控制为基础予以确定。控制是指本公司拥有对被投资方的权力，通过参与被投资方的相关活动而享有可变回报，并且有能力运用对被投资方的权力影响该回报金额。合并范围包括本公司及全部子公司。子公司，是指被本公司控制的主体。</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一旦相关事实和情况的变化导致上述控制定义涉及的相关要素发生了变化，本公司将进行重新评估。</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）合并财务报表编制的方法</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从取得子公司的净资产和生产经营决策的实际控制权之日起，本公司开始将其纳入合并范围；从丧失实际控制权之日起停止纳入合并范围。对于处置的子公司，处置日前的经营成果和现金流量已经适当地包括在合并利润表和合并现金流量表中；当期处置的子公司，不调整合并资产负债表的期初数。非同一控制下企业合并增加的子公司，其购买日后的经营成果及现金流量已经适当地包括在合并利润表和合并现金流量表中，且不调整合并财务报表的期初数和对比数。同一控制下企业合并增加的子公司及吸收合并下的被合并方，其自合并当期期初至合并日的经营成果和现金流量已经适当地包括在合并利润表和合并现金流量表中，并且同时调整合并财务报表的对比数。</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在编制合并财务报表时，子公司与本公司采用的会计政策或会计期间不一致的，按照本公司的会计政策和会计期间对子公司财务报表进行必要的调整。对于非同一控制下企业合并取得的子公司，以购买日可辨认净资产公允价值为基础对其财务报表进行调整。</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公司内所有重大往来余额、交易及未实现利润在合并财务报表编制时予以抵销。</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子公司的股东权益及当期净损益中不属于本公司所拥有的部分分别作为少数股东权益及少数股东损益在合并财务报表中股东权益及净利润项下单独列示。子公司当期净损益中属于少数股东权益的份额，在合并利润表中净利润项目下以</w:t>
      </w:r>
      <w:r w:rsidRPr="000A5B5D">
        <w:rPr>
          <w:rFonts w:ascii="Arial" w:hAnsi="Arial" w:cs="Arial"/>
          <w:sz w:val="24"/>
          <w:szCs w:val="24"/>
        </w:rPr>
        <w:t>“</w:t>
      </w:r>
      <w:r w:rsidRPr="000A5B5D">
        <w:rPr>
          <w:rFonts w:ascii="Arial" w:hAnsi="Arial" w:cs="Arial" w:hint="eastAsia"/>
          <w:sz w:val="24"/>
          <w:szCs w:val="24"/>
        </w:rPr>
        <w:t>少数股东损益</w:t>
      </w:r>
      <w:r w:rsidRPr="000A5B5D">
        <w:rPr>
          <w:rFonts w:ascii="Arial" w:hAnsi="Arial" w:cs="Arial"/>
          <w:sz w:val="24"/>
          <w:szCs w:val="24"/>
        </w:rPr>
        <w:t>”</w:t>
      </w:r>
      <w:r w:rsidRPr="000A5B5D">
        <w:rPr>
          <w:rFonts w:ascii="Arial" w:hAnsi="Arial" w:cs="Arial" w:hint="eastAsia"/>
          <w:sz w:val="24"/>
          <w:szCs w:val="24"/>
        </w:rPr>
        <w:t>项目列示。少数股东分担的子公司的亏损超过了少数股东在该子公司期初股东权益中所享有的份额，仍冲减少数股东权益。</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当因处置部分股权投资或其他原因丧失了对原有子公司的控制权时，对于剩余股权，按照其在丧失控制权日的公允价值进行重新计量。处置股权取得的对价与剩余股权公允价值之和，减去按原持股比例计算应享有原有子公司自购买日开始持续计算的净资产的份额之间的差额，计入丧失控制权当期的投资收益。与原有子公司股权投资相关的其他综合收益，在丧失控制权时采用与被购买方直接处置相关资产或负债相同的基础进行会计处理（即，除了在该原有子公司重新计量设定受益计划净负债或净资产导致的变动以外，其余一并转为当期投资收益）。其后，对该部分剩余股权按照《企业会计准则第</w:t>
      </w:r>
      <w:r w:rsidRPr="000A5B5D">
        <w:rPr>
          <w:rFonts w:ascii="Arial" w:hAnsi="Arial" w:cs="Arial"/>
          <w:sz w:val="24"/>
          <w:szCs w:val="24"/>
        </w:rPr>
        <w:t>2</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长期股权投资》或《企业会计准则第</w:t>
      </w:r>
      <w:r w:rsidRPr="000A5B5D">
        <w:rPr>
          <w:rFonts w:ascii="Arial" w:hAnsi="Arial" w:cs="Arial"/>
          <w:sz w:val="24"/>
          <w:szCs w:val="24"/>
        </w:rPr>
        <w:t>22</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金融工具确认和计量》等相关规定进行后续计量，详见本附注四、</w:t>
      </w:r>
      <w:r w:rsidRPr="000A5B5D">
        <w:rPr>
          <w:rFonts w:ascii="Arial" w:hAnsi="Arial" w:cs="Arial"/>
          <w:sz w:val="24"/>
          <w:szCs w:val="24"/>
        </w:rPr>
        <w:t>13“</w:t>
      </w:r>
      <w:r w:rsidRPr="000A5B5D">
        <w:rPr>
          <w:rFonts w:ascii="Arial" w:hAnsi="Arial" w:cs="Arial" w:hint="eastAsia"/>
          <w:sz w:val="24"/>
          <w:szCs w:val="24"/>
        </w:rPr>
        <w:t>长期股权投资</w:t>
      </w:r>
      <w:r w:rsidRPr="000A5B5D">
        <w:rPr>
          <w:rFonts w:ascii="Arial" w:hAnsi="Arial" w:cs="Arial"/>
          <w:sz w:val="24"/>
          <w:szCs w:val="24"/>
        </w:rPr>
        <w:t>”</w:t>
      </w:r>
      <w:r w:rsidRPr="000A5B5D">
        <w:rPr>
          <w:rFonts w:ascii="Arial" w:hAnsi="Arial" w:cs="Arial" w:hint="eastAsia"/>
          <w:sz w:val="24"/>
          <w:szCs w:val="24"/>
        </w:rPr>
        <w:t>或本附注四、</w:t>
      </w:r>
      <w:r w:rsidRPr="000A5B5D">
        <w:rPr>
          <w:rFonts w:ascii="Arial" w:hAnsi="Arial" w:cs="Arial"/>
          <w:sz w:val="24"/>
          <w:szCs w:val="24"/>
        </w:rPr>
        <w:t>9“</w:t>
      </w:r>
      <w:r w:rsidRPr="000A5B5D">
        <w:rPr>
          <w:rFonts w:ascii="Arial" w:hAnsi="Arial" w:cs="Arial" w:hint="eastAsia"/>
          <w:sz w:val="24"/>
          <w:szCs w:val="24"/>
        </w:rPr>
        <w:t>金融工具</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本公司通过多次交易分步处置对子公司股权投资直至丧失控制权的，需区分处置对子公司股权投资直至丧失控制权的各项交易是否属于一揽子交易。处置对子公司股权投资的各项</w:t>
      </w:r>
      <w:r w:rsidRPr="000A5B5D">
        <w:rPr>
          <w:rFonts w:ascii="Arial" w:hAnsi="Arial" w:cs="Arial" w:hint="eastAsia"/>
          <w:sz w:val="24"/>
          <w:szCs w:val="24"/>
        </w:rPr>
        <w:lastRenderedPageBreak/>
        <w:t>交易的条款、条件以及经济影响符合以下一种或多种情况，通常表明应将多次交易事项作为一揽子交易进行会计处理：</w:t>
      </w:r>
      <w:r w:rsidRPr="000A5B5D">
        <w:rPr>
          <w:rFonts w:ascii="宋体" w:hAnsi="宋体" w:cs="宋体" w:hint="eastAsia"/>
          <w:sz w:val="24"/>
          <w:szCs w:val="24"/>
        </w:rPr>
        <w:t>①</w:t>
      </w:r>
      <w:r w:rsidRPr="000A5B5D">
        <w:rPr>
          <w:rFonts w:ascii="Arial" w:hAnsi="Arial" w:cs="Arial" w:hint="eastAsia"/>
          <w:sz w:val="24"/>
          <w:szCs w:val="24"/>
        </w:rPr>
        <w:t>这些交易是同时或者在考虑了彼此影响的情况下订立的；</w:t>
      </w:r>
      <w:r w:rsidRPr="000A5B5D">
        <w:rPr>
          <w:rFonts w:ascii="宋体" w:hAnsi="宋体" w:cs="宋体" w:hint="eastAsia"/>
          <w:sz w:val="24"/>
          <w:szCs w:val="24"/>
        </w:rPr>
        <w:t>②</w:t>
      </w:r>
      <w:r w:rsidRPr="000A5B5D">
        <w:rPr>
          <w:rFonts w:ascii="Arial" w:hAnsi="Arial" w:cs="Arial" w:hint="eastAsia"/>
          <w:sz w:val="24"/>
          <w:szCs w:val="24"/>
        </w:rPr>
        <w:t>这些交易整体才能达成一项完整的商业结果；</w:t>
      </w:r>
      <w:r w:rsidRPr="000A5B5D">
        <w:rPr>
          <w:rFonts w:ascii="宋体" w:hAnsi="宋体" w:cs="宋体" w:hint="eastAsia"/>
          <w:sz w:val="24"/>
          <w:szCs w:val="24"/>
        </w:rPr>
        <w:t>③</w:t>
      </w:r>
      <w:r w:rsidRPr="000A5B5D">
        <w:rPr>
          <w:rFonts w:ascii="Arial" w:hAnsi="Arial" w:cs="Arial" w:hint="eastAsia"/>
          <w:sz w:val="24"/>
          <w:szCs w:val="24"/>
        </w:rPr>
        <w:t>一项交易的发生取决于其他至少一项交易的发生；</w:t>
      </w:r>
      <w:r w:rsidRPr="000A5B5D">
        <w:rPr>
          <w:rFonts w:ascii="宋体" w:hAnsi="宋体" w:cs="宋体" w:hint="eastAsia"/>
          <w:sz w:val="24"/>
          <w:szCs w:val="24"/>
        </w:rPr>
        <w:t>④</w:t>
      </w:r>
      <w:r w:rsidRPr="000A5B5D">
        <w:rPr>
          <w:rFonts w:ascii="Arial" w:hAnsi="Arial" w:cs="Arial" w:hint="eastAsia"/>
          <w:sz w:val="24"/>
          <w:szCs w:val="24"/>
        </w:rPr>
        <w:t>一项交易单独看是不经济的，但是和其他交易一并考虑时是经济的。不属于一揽子交易的，对其中的每一项交易视情况分别按照</w:t>
      </w:r>
      <w:r w:rsidRPr="000A5B5D">
        <w:rPr>
          <w:rFonts w:ascii="Arial" w:hAnsi="Arial" w:cs="Arial"/>
          <w:sz w:val="24"/>
          <w:szCs w:val="24"/>
        </w:rPr>
        <w:t>“</w:t>
      </w:r>
      <w:r w:rsidRPr="000A5B5D">
        <w:rPr>
          <w:rFonts w:ascii="Arial" w:hAnsi="Arial" w:cs="Arial" w:hint="eastAsia"/>
          <w:sz w:val="24"/>
          <w:szCs w:val="24"/>
        </w:rPr>
        <w:t>不丧失控制权的情况下部分处置对子公司的长期股权投资</w:t>
      </w:r>
      <w:r w:rsidRPr="000A5B5D">
        <w:rPr>
          <w:rFonts w:ascii="Arial" w:hAnsi="Arial" w:cs="Arial"/>
          <w:sz w:val="24"/>
          <w:szCs w:val="24"/>
        </w:rPr>
        <w:t>”</w:t>
      </w:r>
      <w:r w:rsidRPr="000A5B5D">
        <w:rPr>
          <w:rFonts w:ascii="Arial" w:hAnsi="Arial" w:cs="Arial" w:hint="eastAsia"/>
          <w:sz w:val="24"/>
          <w:szCs w:val="24"/>
        </w:rPr>
        <w:t>（详见本附注四、</w:t>
      </w:r>
      <w:r w:rsidRPr="000A5B5D">
        <w:rPr>
          <w:rFonts w:ascii="Arial" w:hAnsi="Arial" w:cs="Arial"/>
          <w:sz w:val="24"/>
          <w:szCs w:val="24"/>
        </w:rPr>
        <w:t>13</w:t>
      </w: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w:t>
      </w:r>
      <w:r w:rsidRPr="000A5B5D">
        <w:rPr>
          <w:rFonts w:ascii="宋体" w:hAnsi="宋体" w:cs="宋体" w:hint="eastAsia"/>
          <w:sz w:val="24"/>
          <w:szCs w:val="24"/>
        </w:rPr>
        <w:t>④</w:t>
      </w:r>
      <w:r w:rsidRPr="000A5B5D">
        <w:rPr>
          <w:rFonts w:ascii="Arial" w:hAnsi="Arial" w:cs="Arial" w:hint="eastAsia"/>
          <w:sz w:val="24"/>
          <w:szCs w:val="24"/>
        </w:rPr>
        <w:t>）和</w:t>
      </w:r>
      <w:r w:rsidRPr="000A5B5D">
        <w:rPr>
          <w:rFonts w:ascii="Arial" w:hAnsi="Arial" w:cs="Arial"/>
          <w:sz w:val="24"/>
          <w:szCs w:val="24"/>
        </w:rPr>
        <w:t>“</w:t>
      </w:r>
      <w:r w:rsidRPr="000A5B5D">
        <w:rPr>
          <w:rFonts w:ascii="Arial" w:hAnsi="Arial" w:cs="Arial" w:hint="eastAsia"/>
          <w:sz w:val="24"/>
          <w:szCs w:val="24"/>
        </w:rPr>
        <w:t>因处置部分股权投资或其他原因丧失了对原有子公司的控制权</w:t>
      </w:r>
      <w:r w:rsidRPr="000A5B5D">
        <w:rPr>
          <w:rFonts w:ascii="Arial" w:hAnsi="Arial" w:cs="Arial"/>
          <w:sz w:val="24"/>
          <w:szCs w:val="24"/>
        </w:rPr>
        <w:t>”</w:t>
      </w:r>
      <w:r w:rsidRPr="000A5B5D">
        <w:rPr>
          <w:rFonts w:ascii="Arial" w:hAnsi="Arial" w:cs="Arial" w:hint="eastAsia"/>
          <w:sz w:val="24"/>
          <w:szCs w:val="24"/>
        </w:rPr>
        <w:t>（详见前段）适用的原则进行会计处理。处置对子公司股权投资直至丧失控制权的各项交易属于一揽子交易的，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6</w:t>
      </w:r>
      <w:r w:rsidRPr="000A5B5D">
        <w:rPr>
          <w:rFonts w:ascii="Arial" w:hAnsi="Arial" w:cs="Arial" w:hint="eastAsia"/>
          <w:b/>
          <w:sz w:val="24"/>
        </w:rPr>
        <w:t>、合营安排分类及共同经营会计处理方法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合营安排，是指一项由两个或两个以上的参与方共同控制的安排。本公司根据在合营安排中享有的权利和承担的义务，将合营安排分为共同经营和合营企业。共同经营，是指本公司享有该安排相关资产且承担该安排相关负债的合营安排。合营企业，是指本公司仅对该安排的净资产享有权利的合营安排。</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本公司对合营企业的投资采用权益法核算，按照本附注四、</w:t>
      </w:r>
      <w:r w:rsidRPr="000A5B5D">
        <w:rPr>
          <w:rFonts w:ascii="Arial" w:hAnsi="Arial" w:cs="Arial"/>
          <w:sz w:val="24"/>
          <w:szCs w:val="24"/>
        </w:rPr>
        <w:t>13</w:t>
      </w: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w:t>
      </w: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权益法核算的长期股权投资</w:t>
      </w:r>
      <w:r w:rsidRPr="000A5B5D">
        <w:rPr>
          <w:rFonts w:ascii="Arial" w:hAnsi="Arial" w:cs="Arial"/>
          <w:sz w:val="24"/>
          <w:szCs w:val="24"/>
        </w:rPr>
        <w:t>”</w:t>
      </w:r>
      <w:r w:rsidRPr="000A5B5D">
        <w:rPr>
          <w:rFonts w:ascii="Arial" w:hAnsi="Arial" w:cs="Arial" w:hint="eastAsia"/>
          <w:sz w:val="24"/>
          <w:szCs w:val="24"/>
        </w:rPr>
        <w:t>中所述的会计政策处理。</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作为合营方对共同经营，确认本公司单独持有的资产、单独所承担的负债，以及按本公司份额确认共同持有的资产和共同承担的负债；确认出售本公司享有的共同经营产出份额所产生的收入；按本公司份额确认共同经营因出售产出所产生的收入；确认本公司单独所发生的费用，以及按本公司份额确认共同经营发生的费用。</w:t>
      </w:r>
    </w:p>
    <w:p w:rsidR="00851B9D" w:rsidRPr="000A5B5D" w:rsidRDefault="00851B9D" w:rsidP="00851B9D">
      <w:pPr>
        <w:spacing w:line="400" w:lineRule="exact"/>
        <w:ind w:firstLineChars="200" w:firstLine="480"/>
        <w:jc w:val="left"/>
        <w:rPr>
          <w:rFonts w:ascii="Arial" w:hAnsi="Arial" w:cs="Arial"/>
          <w:b/>
          <w:sz w:val="24"/>
        </w:rPr>
      </w:pPr>
      <w:r w:rsidRPr="000A5B5D">
        <w:rPr>
          <w:rFonts w:ascii="Arial" w:hAnsi="Arial" w:cs="Arial" w:hint="eastAsia"/>
          <w:sz w:val="24"/>
          <w:szCs w:val="24"/>
        </w:rPr>
        <w:t>当本公司作为合营方向共同经营投出或出售资产（该资产不构成业务，下同）、或者自共同经营购买资产时，在该等资产出售给第三方之前，本公司仅确认因该交易产生的损益中归属于共同经营其他参与方的部分。该等资产发生符合《企业会计准则第</w:t>
      </w:r>
      <w:r w:rsidRPr="000A5B5D">
        <w:rPr>
          <w:rFonts w:ascii="Arial" w:hAnsi="Arial" w:cs="Arial"/>
          <w:sz w:val="24"/>
          <w:szCs w:val="24"/>
        </w:rPr>
        <w:t>8</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资产减值》等规定的资产减值损失的，对于由本公司向共同经营投出或出售资产的情况，本公司全额确认该损失；对于本公司自共同经营购买资产的情况，本公司按承担的份额确认该损失。</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szCs w:val="24"/>
        </w:rPr>
        <w:t>7</w:t>
      </w:r>
      <w:r w:rsidRPr="000A5B5D">
        <w:rPr>
          <w:rFonts w:ascii="Arial" w:hAnsi="Arial" w:cs="Arial" w:hint="eastAsia"/>
          <w:b/>
          <w:sz w:val="24"/>
        </w:rPr>
        <w:t>、现金及现金等价物的确定标准</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本公司现金及现金等价物包括库存现金、可以随时用于支付的存款以及本公司持有的期限短（一般为从购买日起，三个月内到期）、流动性强、易于转换为已知金额的现金、价值变动风险很小的投资。</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8</w:t>
      </w:r>
      <w:r w:rsidRPr="000A5B5D">
        <w:rPr>
          <w:rFonts w:ascii="Arial" w:hAnsi="Arial" w:cs="Arial" w:hint="eastAsia"/>
          <w:b/>
          <w:sz w:val="24"/>
        </w:rPr>
        <w:t>、外币业务和外币报表折算</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）外币交易的折算方法</w:t>
      </w:r>
    </w:p>
    <w:p w:rsidR="00851B9D" w:rsidRPr="000A5B5D" w:rsidRDefault="00851B9D" w:rsidP="00851B9D">
      <w:pPr>
        <w:pStyle w:val="ac"/>
        <w:spacing w:line="400" w:lineRule="exact"/>
        <w:ind w:firstLineChars="200" w:firstLine="480"/>
        <w:rPr>
          <w:rFonts w:ascii="Arial" w:hAnsi="Arial" w:cs="Arial"/>
          <w:sz w:val="24"/>
          <w:szCs w:val="24"/>
        </w:rPr>
      </w:pPr>
      <w:bookmarkStart w:id="13" w:name="OLE_LINK5"/>
      <w:bookmarkStart w:id="14" w:name="OLE_LINK59"/>
      <w:r w:rsidRPr="000A5B5D">
        <w:rPr>
          <w:rFonts w:ascii="Arial" w:hAnsi="Arial" w:cs="Arial" w:hint="eastAsia"/>
          <w:sz w:val="24"/>
          <w:szCs w:val="24"/>
        </w:rPr>
        <w:lastRenderedPageBreak/>
        <w:t>本公司发生的外币交易在初始确认时，按交易日的即期汇率（通常指中国人民银行公布的当日外汇牌价的中间价，下同）折算为记账本位币金额，但公司发生的外币兑换业务或涉及外币兑换的交易事项，按照实际采用的汇率折算为记账本位币金额。</w:t>
      </w:r>
    </w:p>
    <w:p w:rsidR="00851B9D" w:rsidRPr="000A5B5D" w:rsidRDefault="00851B9D" w:rsidP="00851B9D">
      <w:pPr>
        <w:pStyle w:val="ac"/>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）对于外币货币性项目和外币非货币性项目的折算方法</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资产负债表日，对于外币货币性项目采用资产负债表日即期汇率折算，由此产生的汇兑差额，除：</w:t>
      </w:r>
      <w:r w:rsidRPr="000A5B5D">
        <w:rPr>
          <w:rFonts w:ascii="宋体" w:hAnsi="宋体" w:cs="宋体" w:hint="eastAsia"/>
          <w:sz w:val="24"/>
          <w:szCs w:val="24"/>
        </w:rPr>
        <w:t>①</w:t>
      </w:r>
      <w:r w:rsidRPr="000A5B5D">
        <w:rPr>
          <w:rFonts w:ascii="Arial" w:hAnsi="Arial" w:cs="Arial" w:hint="eastAsia"/>
          <w:sz w:val="24"/>
          <w:szCs w:val="24"/>
        </w:rPr>
        <w:t>属于与购建符合资本化条件的资产相关的外币专门借款产生的汇兑差额按照借款费用资本化的原则处理；</w:t>
      </w:r>
      <w:r w:rsidRPr="000A5B5D">
        <w:rPr>
          <w:rFonts w:ascii="宋体" w:hAnsi="宋体" w:cs="宋体" w:hint="eastAsia"/>
          <w:sz w:val="24"/>
          <w:szCs w:val="24"/>
        </w:rPr>
        <w:t>②</w:t>
      </w:r>
      <w:r w:rsidRPr="000A5B5D">
        <w:rPr>
          <w:rFonts w:ascii="Arial" w:hAnsi="Arial" w:cs="Arial" w:hint="eastAsia"/>
          <w:sz w:val="24"/>
          <w:szCs w:val="24"/>
        </w:rPr>
        <w:t>用于境外经营净投资有效套期的套期工具的汇兑差额（该差额计入其他综合收益，直至净投资被处置才被确认为当期损益）；以及</w:t>
      </w:r>
      <w:r w:rsidRPr="000A5B5D">
        <w:rPr>
          <w:rFonts w:ascii="宋体" w:hAnsi="宋体" w:cs="宋体" w:hint="eastAsia"/>
          <w:sz w:val="24"/>
          <w:szCs w:val="24"/>
        </w:rPr>
        <w:t>③</w:t>
      </w:r>
      <w:r w:rsidRPr="000A5B5D">
        <w:rPr>
          <w:rFonts w:ascii="Arial" w:hAnsi="Arial" w:cs="Arial" w:hint="eastAsia"/>
          <w:sz w:val="24"/>
          <w:szCs w:val="24"/>
        </w:rPr>
        <w:t>可供出售的外币货币性项目除摊余成本之外的其他账面余额变动产生的汇兑差额计入其他综合收益之外，均计入当期损益。</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编制合并财务报表涉及境外经营的，如有实质上构成对境外经营净投资的外币货币性项目，因汇率变动而产生的汇兑差额，计入其他综合收益；处置境外经营时，转入处置当期损益。</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以历史成本计量的外币非货币性项目，仍采用交易发生日的即期汇率折算的记账本位币金额计量。以公允价值计量的外币非货币性项目，采用公允价值确定日的即期汇率折算，折算后的记账本位币金额与原记账本位币金额的差额，作为公允价值变动（含汇率变动）处理，计入当期损益或确认为其他综合收益。</w:t>
      </w:r>
    </w:p>
    <w:p w:rsidR="00851B9D" w:rsidRPr="000A5B5D" w:rsidRDefault="00851B9D" w:rsidP="00851B9D">
      <w:pPr>
        <w:pStyle w:val="ac"/>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）外币财务报表的折算方法</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编制合并财务报表涉及境外经营的，如有实质上构成对境外经营净投资的外币货币性项目，因汇率变动而产生的汇兑差额，作为</w:t>
      </w:r>
      <w:r w:rsidRPr="000A5B5D">
        <w:rPr>
          <w:rFonts w:ascii="Arial" w:hAnsi="Arial" w:cs="Arial"/>
          <w:sz w:val="24"/>
          <w:szCs w:val="24"/>
        </w:rPr>
        <w:t>“</w:t>
      </w:r>
      <w:r w:rsidRPr="000A5B5D">
        <w:rPr>
          <w:rFonts w:ascii="Arial" w:hAnsi="Arial" w:cs="Arial" w:hint="eastAsia"/>
          <w:sz w:val="24"/>
          <w:szCs w:val="24"/>
        </w:rPr>
        <w:t>外币报表折算差额</w:t>
      </w:r>
      <w:r w:rsidRPr="000A5B5D">
        <w:rPr>
          <w:rFonts w:ascii="Arial" w:hAnsi="Arial" w:cs="Arial"/>
          <w:sz w:val="24"/>
          <w:szCs w:val="24"/>
        </w:rPr>
        <w:t>”</w:t>
      </w:r>
      <w:r w:rsidRPr="000A5B5D">
        <w:rPr>
          <w:rFonts w:ascii="Arial" w:hAnsi="Arial" w:cs="Arial" w:hint="eastAsia"/>
          <w:sz w:val="24"/>
          <w:szCs w:val="24"/>
        </w:rPr>
        <w:t>确认为其他综合收益；处置境外经营时，计入处置当期损益。</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境外经营的外币财务报表按以下方法折算为人民币报表：资产负债表中的资产和负债项目，采用资产负债表日的即期汇率折算；股东权益类项目除</w:t>
      </w:r>
      <w:r w:rsidRPr="000A5B5D">
        <w:rPr>
          <w:rFonts w:ascii="Arial" w:hAnsi="Arial" w:cs="Arial"/>
          <w:sz w:val="24"/>
          <w:szCs w:val="24"/>
        </w:rPr>
        <w:t>“</w:t>
      </w:r>
      <w:r w:rsidRPr="000A5B5D">
        <w:rPr>
          <w:rFonts w:ascii="Arial" w:hAnsi="Arial" w:cs="Arial" w:hint="eastAsia"/>
          <w:sz w:val="24"/>
          <w:szCs w:val="24"/>
        </w:rPr>
        <w:t>未分配利润</w:t>
      </w:r>
      <w:r w:rsidRPr="000A5B5D">
        <w:rPr>
          <w:rFonts w:ascii="Arial" w:hAnsi="Arial" w:cs="Arial"/>
          <w:sz w:val="24"/>
          <w:szCs w:val="24"/>
        </w:rPr>
        <w:t>”</w:t>
      </w:r>
      <w:r w:rsidRPr="000A5B5D">
        <w:rPr>
          <w:rFonts w:ascii="Arial" w:hAnsi="Arial" w:cs="Arial" w:hint="eastAsia"/>
          <w:sz w:val="24"/>
          <w:szCs w:val="24"/>
        </w:rPr>
        <w:t>项目外，其他项目采用发生时的即期汇率折算。利润表中的收入和费用项目，采用交易发生日的即期汇率折算。年初未分配利润为上一年折算后的年末未分配利润；年末未分配利润按折算后的利润分配各项目计算列示；折算后资产类项目与负债类项目和股东权益类项目合计数的差额，作为外币报表折算差额，确认为其他综合收益。处置境外经营并丧失控制权时，将资产负债表中股东权益项目下列示的、与该境外经营相关的外币报表折算差额，全部或按处置该境外经营的比例转入处置当期损益。</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外币现金流量，采用现金流量发生日的即期汇率折算。汇率变动对现金的影响额作为调节项目，在现金流量表中单独列报。</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年初数和上年实际数按照上年财务报表折算后的数额列示。</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在处置本公司在境外经营的全部所有者权益或因处置部分股权投资或其他原因丧失了对境外经营控制权时，将资产负债表中股东权益项目下列示的、与该境外经营相关的归属于母</w:t>
      </w:r>
      <w:r w:rsidRPr="000A5B5D">
        <w:rPr>
          <w:rFonts w:ascii="Arial" w:hAnsi="Arial" w:cs="Arial" w:hint="eastAsia"/>
          <w:sz w:val="24"/>
          <w:szCs w:val="24"/>
        </w:rPr>
        <w:lastRenderedPageBreak/>
        <w:t>公司所有者权益的外币报表折算差额，全部转入处置当期损益。</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在处置部分股权投资或其他原因导致持有境外经营权益比例降低但不丧失对境外经营控制权时，与该境外经营处置部分相关的外币报表折算差额将归属于少数股东权益，不转入当期损益。在处置境外经营为联营企业或合营企业的部分股权时，与该境外经营相关的外币报表折算差额，按处置该境外经营的比例转入处置当期损益。</w:t>
      </w:r>
    </w:p>
    <w:bookmarkEnd w:id="13"/>
    <w:bookmarkEnd w:id="14"/>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9</w:t>
      </w:r>
      <w:r w:rsidRPr="000A5B5D">
        <w:rPr>
          <w:rFonts w:ascii="Arial" w:hAnsi="Arial" w:cs="Arial" w:hint="eastAsia"/>
          <w:b/>
          <w:sz w:val="24"/>
        </w:rPr>
        <w:t>、金融工具</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在本公司成为金融工具合同的一方时确认一项金融资产或金融负债。金融资产和金融负债在初始确认时以公允价值计量。对于以公允价值计量且其变动计入当期损益的金融资产和金融负债，相关的交易费用直接计入损益，对于其他类别的金融资产和金融负债，相关交易费用计入初始确认金额。</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1</w:t>
      </w:r>
      <w:r w:rsidRPr="000A5B5D">
        <w:rPr>
          <w:rFonts w:ascii="Arial" w:hAnsi="Arial" w:cs="Arial" w:hint="eastAsia"/>
          <w:sz w:val="24"/>
          <w:szCs w:val="24"/>
        </w:rPr>
        <w:t>）金融资产和金融负债的公允价值确定方法</w:t>
      </w:r>
    </w:p>
    <w:p w:rsidR="00851B9D" w:rsidRPr="000A5B5D" w:rsidRDefault="00851B9D" w:rsidP="00851B9D">
      <w:pPr>
        <w:pStyle w:val="ac"/>
        <w:spacing w:line="400" w:lineRule="exact"/>
        <w:ind w:firstLineChars="200" w:firstLine="480"/>
        <w:rPr>
          <w:rFonts w:ascii="Arial" w:hAnsi="Arial" w:cs="Arial"/>
          <w:sz w:val="24"/>
          <w:szCs w:val="24"/>
        </w:rPr>
      </w:pPr>
      <w:r w:rsidRPr="000A5B5D">
        <w:rPr>
          <w:rFonts w:ascii="Arial" w:hAnsi="Arial" w:cs="Arial" w:hint="eastAsia"/>
          <w:sz w:val="24"/>
          <w:szCs w:val="24"/>
        </w:rPr>
        <w:t>公允价值，是指市场参与者在计量日发生的有序交易中，出售一项资产所能收到或者转移一项负债所需支付的价格。金融工具存在活跃市场的，本公司采用活跃市场中的报价确定其公允价值。活跃市场中的报价是指易于定期从交易所、经纪商、行业协会、定价服务机构等获得的价格，且代表了在公平交易中实际发生的市场交易的价格。金融工具不存在活跃市场的，本公司采用估值技术确定其公允价值。估值技术包括参考熟悉情况并自愿交易的各方最近进行的市场交易中使用的价格、参照实质上相同的其他金融工具当前的公允价值、现金流量折现法和期权定价模型等。</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金融资产的分类、确认和计量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以常规方式买卖金融资产，按交易日进行会计确认和终止确认。金融资产在初始确认时划分为以公允价值计量且其变动计入当期损益的金融资产、持有至到期投资、贷款和应收款项以及可供出售金融资产。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以公允价值计量且其变动计入当期损益的金融资产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包括交易性金融资产和指定为以公允价值计量且其变动计入当期损益的金融资产。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交易性金融资产是指满足下列条件之一的金融资产：</w:t>
      </w:r>
      <w:r w:rsidRPr="000A5B5D">
        <w:rPr>
          <w:rFonts w:ascii="Arial" w:hAnsi="Arial" w:cs="Arial"/>
          <w:sz w:val="24"/>
          <w:szCs w:val="24"/>
        </w:rPr>
        <w:t>A.</w:t>
      </w:r>
      <w:r w:rsidRPr="000A5B5D">
        <w:rPr>
          <w:rFonts w:ascii="Arial" w:hAnsi="Arial" w:cs="Arial" w:hint="eastAsia"/>
          <w:sz w:val="24"/>
          <w:szCs w:val="24"/>
        </w:rPr>
        <w:t>取得该金融资产的目的，主要是为了近期内出售；</w:t>
      </w:r>
      <w:r w:rsidRPr="000A5B5D">
        <w:rPr>
          <w:rFonts w:ascii="Arial" w:hAnsi="Arial" w:cs="Arial"/>
          <w:sz w:val="24"/>
          <w:szCs w:val="24"/>
        </w:rPr>
        <w:t>B.</w:t>
      </w:r>
      <w:r w:rsidRPr="000A5B5D">
        <w:rPr>
          <w:rFonts w:ascii="Arial" w:hAnsi="Arial" w:cs="Arial" w:hint="eastAsia"/>
          <w:sz w:val="24"/>
          <w:szCs w:val="24"/>
        </w:rPr>
        <w:t>属于进行集中管理的可辨认金融工具组合的一部分，且有客观证据表明本公司近期采用短期获利方式对该组合进行管理；</w:t>
      </w:r>
      <w:r w:rsidRPr="000A5B5D">
        <w:rPr>
          <w:rFonts w:ascii="Arial" w:hAnsi="Arial" w:cs="Arial"/>
          <w:sz w:val="24"/>
          <w:szCs w:val="24"/>
        </w:rPr>
        <w:t>C.</w:t>
      </w:r>
      <w:r w:rsidRPr="000A5B5D">
        <w:rPr>
          <w:rFonts w:ascii="Arial" w:hAnsi="Arial" w:cs="Arial" w:hint="eastAsia"/>
          <w:sz w:val="24"/>
          <w:szCs w:val="24"/>
        </w:rPr>
        <w:t>属于衍生工具，但是，被指定且为有效套期工具的衍生工具、属于财务担保合同的衍生工具、与在活跃市场中没有报价且其公允价值不能可靠计量的权益工具投资挂钩并须通过交付该权益工具结算的衍生工具除外。</w:t>
      </w:r>
    </w:p>
    <w:p w:rsidR="00851B9D" w:rsidRPr="000A5B5D" w:rsidRDefault="00851B9D" w:rsidP="00851B9D">
      <w:pPr>
        <w:tabs>
          <w:tab w:val="left" w:pos="432"/>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t>符合下述条件之一的金融资产，在初始确认时可指定为以公允价值计量且其变动计入当期损益的金融资产：</w:t>
      </w:r>
      <w:r w:rsidRPr="000A5B5D">
        <w:rPr>
          <w:rFonts w:ascii="Arial" w:hAnsi="Arial" w:cs="Arial"/>
          <w:sz w:val="24"/>
          <w:szCs w:val="24"/>
        </w:rPr>
        <w:t>A.</w:t>
      </w:r>
      <w:r w:rsidRPr="000A5B5D">
        <w:rPr>
          <w:rFonts w:ascii="Arial" w:hAnsi="Arial" w:cs="Arial" w:hint="eastAsia"/>
          <w:sz w:val="24"/>
          <w:szCs w:val="24"/>
        </w:rPr>
        <w:t>该指定可以消除或明显减少由于该金融资产的计量基础不同所导致的相关利得或损失在确认或计量方面不一致的情况；</w:t>
      </w:r>
      <w:r w:rsidRPr="000A5B5D">
        <w:rPr>
          <w:rFonts w:ascii="Arial" w:hAnsi="Arial" w:cs="Arial"/>
          <w:sz w:val="24"/>
          <w:szCs w:val="24"/>
        </w:rPr>
        <w:t>B.</w:t>
      </w:r>
      <w:r w:rsidRPr="000A5B5D">
        <w:rPr>
          <w:rFonts w:ascii="Arial" w:hAnsi="Arial" w:cs="Arial" w:hint="eastAsia"/>
          <w:sz w:val="24"/>
          <w:szCs w:val="24"/>
        </w:rPr>
        <w:t>本公司风险管理或投资策略的正式书面文件已载明，对该金融资产所在的金融资产组合或金融资产和金融负债组合以公允价值为基础进行管理、评价并向关键管理人员报告。</w:t>
      </w:r>
    </w:p>
    <w:p w:rsidR="00851B9D" w:rsidRPr="000A5B5D" w:rsidRDefault="00851B9D" w:rsidP="00851B9D">
      <w:pPr>
        <w:tabs>
          <w:tab w:val="left" w:pos="432"/>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以公允价值计量且其变动计入当期损益的金融资产采用公允价值进行后续计量，公允价值变动形成的利得或损失以及与该等金融资产相关的股利和利息收入计入当期损益。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持有至到期投资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是指到期日固定、回收金额固定或可确定，且本公司有明确意图和能力持有至到期的非衍生金融资产。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持有至到期投资采用实际利率法，按摊余成本进行后续计量，在终止确认、发生减值或摊销时产生的利得或损失，计入当期损益。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实际利率法是指按照金融资产或金融负债（含一组金融资产或金融负债）的实际利率计算其摊余成本及各期利息收入或支出的方法。实际利率是指将金融资产或金融负债在预期存续期间或适用的更短期间内的未来现金流量，折现为该金融资产或金融负债当前账面价值所使用的利率。</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计算实际利率时，本公司将在考虑金融资产或金融负债所有合同条款的基础上预计未来现金流量（不考虑未来的信用损失），同时还将考虑金融资产或金融负债合同各方之间支付或收取的、属于实际利率组成部分的各项收费、交易费用及折价或溢价等。</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③</w:t>
      </w:r>
      <w:r w:rsidRPr="000A5B5D">
        <w:rPr>
          <w:rFonts w:ascii="Arial" w:hAnsi="Arial" w:cs="Arial"/>
          <w:sz w:val="24"/>
        </w:rPr>
        <w:t xml:space="preserve"> </w:t>
      </w:r>
      <w:r w:rsidRPr="000A5B5D">
        <w:rPr>
          <w:rFonts w:ascii="Arial" w:hAnsi="Arial" w:cs="Arial" w:hint="eastAsia"/>
          <w:sz w:val="24"/>
          <w:szCs w:val="24"/>
        </w:rPr>
        <w:t>贷款和应收款项</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是指在活跃市场中没有报价、回收金额固定或可确定的非衍生金融资产。本公司划分为贷款和应收款的金融资产包括应收票据、应收账款、应收利息、应收股利及其他应收款等。</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贷款和应收款项采用实际利率法，按摊余成本进行后续计量，在终止确认、发生减值或摊销时产生的利得或损失，计入当期损益</w:t>
      </w:r>
      <w:r w:rsidRPr="000A5B5D">
        <w:rPr>
          <w:rFonts w:ascii="Arial" w:hAnsi="Arial" w:cs="Arial" w:hint="eastAsia"/>
          <w:sz w:val="24"/>
        </w:rPr>
        <w:t>。</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④</w:t>
      </w:r>
      <w:r w:rsidRPr="000A5B5D">
        <w:rPr>
          <w:rFonts w:ascii="Arial" w:hAnsi="Arial" w:cs="Arial"/>
          <w:sz w:val="24"/>
        </w:rPr>
        <w:t xml:space="preserve"> </w:t>
      </w:r>
      <w:r w:rsidRPr="000A5B5D">
        <w:rPr>
          <w:rFonts w:ascii="Arial" w:hAnsi="Arial" w:cs="Arial" w:hint="eastAsia"/>
          <w:sz w:val="24"/>
          <w:szCs w:val="24"/>
        </w:rPr>
        <w:t>可供出售金融资产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包括初始确认时即被指定为可供出售的非衍生金融资产，以及除了以公允价值计量且其变动计入当期损益的金融资产、贷款和应收款项、持有至到期投资以外的金融资产。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可供出售债务工具投资的期末成本按照摊余成本法确定，即初始确认金额扣除已偿还的本金，加上或减去采用实际利率法将该初始确认金额与到期日金额之间的差额进行摊销形成的累计摊销额，并扣除已发生的减值损失后的金额。可供出售权益工具投资的期末成本为其初始取得成本。</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可供出售金融资产采用公允价值进行后续计量，公允价值变动形成的利得或损失，除减值损失和外币货币性金融资产与摊余成本相关的汇兑差额计入当期损益外，确认为其他综合收益，在该金融资产终止确认时转出，计入当期损益。但是，在活跃市场中没有报价且其公允价值不能可靠计量的权益工具投资，以及与该权益工具挂钩并须通过交付该权益工具结算的衍生金融资产，按照成本进行后续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可供出售金融资产持有期间取得的利息及被投资单位宣告发放的现金股利，计入投资收益。</w:t>
      </w:r>
    </w:p>
    <w:p w:rsidR="00851B9D" w:rsidRPr="000A5B5D" w:rsidRDefault="00851B9D" w:rsidP="00851B9D">
      <w:pPr>
        <w:tabs>
          <w:tab w:val="left" w:pos="576"/>
        </w:tabs>
        <w:spacing w:line="400" w:lineRule="exact"/>
        <w:ind w:firstLineChars="200" w:firstLine="480"/>
        <w:jc w:val="left"/>
        <w:rPr>
          <w:rFonts w:ascii="Arial" w:hAnsi="Arial" w:cs="Arial"/>
          <w:sz w:val="24"/>
          <w:szCs w:val="24"/>
        </w:rPr>
      </w:pPr>
      <w:r w:rsidRPr="000A5B5D">
        <w:rPr>
          <w:rFonts w:ascii="Arial" w:hAnsi="Arial" w:cs="Arial" w:hint="eastAsia"/>
          <w:sz w:val="24"/>
        </w:rPr>
        <w:lastRenderedPageBreak/>
        <w:t>（</w:t>
      </w:r>
      <w:r w:rsidRPr="000A5B5D">
        <w:rPr>
          <w:rFonts w:ascii="Arial" w:hAnsi="Arial" w:cs="Arial"/>
          <w:sz w:val="24"/>
        </w:rPr>
        <w:t>3</w:t>
      </w:r>
      <w:r w:rsidRPr="000A5B5D">
        <w:rPr>
          <w:rFonts w:ascii="Arial" w:hAnsi="Arial" w:cs="Arial" w:hint="eastAsia"/>
          <w:sz w:val="24"/>
        </w:rPr>
        <w:t>）</w:t>
      </w:r>
      <w:r w:rsidRPr="000A5B5D">
        <w:rPr>
          <w:rFonts w:ascii="Arial" w:hAnsi="Arial" w:cs="Arial" w:hint="eastAsia"/>
          <w:sz w:val="24"/>
          <w:szCs w:val="24"/>
        </w:rPr>
        <w:t>金融资产减值</w:t>
      </w:r>
    </w:p>
    <w:p w:rsidR="00851B9D" w:rsidRPr="000A5B5D" w:rsidRDefault="00851B9D" w:rsidP="00851B9D">
      <w:pPr>
        <w:tabs>
          <w:tab w:val="left" w:pos="576"/>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t>除了以公允价值计量且其变动计入当期损益的金融资产外，本公司在每个资产负债表日对其他金融资产的账面价值进行检查，有客观证据表明金融资产发生减值的，计提减值准备。</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对单项金额重大的金融资产单独进行减值测试；对单项金额不重大的金融资产，单独进行减值测试或包括在具有类似信用风险特征的金融资产组合中进行减值测试。单独测试未发生减值的金融资产（包括单项金额重大和不重大的金融资产），包括在具有类似信用风险特征的金融资产组合中再进行减值测试。已单项确认减值损失的金融资产，不包括在具有类似信用风险特征的金融资产组合中进行减值测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持有至到期投资、贷款和应收款项减值</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以成本或摊余成本计量的金融资产将其账面价值减记至预计未来现金流量现值，减记金额确认为减值损失，计入当期损益。金融资产在确认减值损失后，如有客观证据表明该金融资产价值已恢复，且客观上与确认该损失后发生的事项有关，原确认的减值损失予以转回，金融资产转回减值损失后的账面价值不超过假定不计提减值准备情况下该金融资产在转回日的摊余成本。</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可供出售金融资产减值</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当综合相关因素判断可供出售权益工具投资公允价值下跌是严重或非暂时性下跌时，表明该可供出售权益工具投资发生减值。</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可供出售金融资产发生减值时，将原计入其他综合收益的因公允价值下降形成的累计损失予以转出并计入当期损益，该转出的累计损失为该资产初始取得成本扣除已收回本金和已摊销金额、当前公允价值和原已计入损益的减值损失后的余额。</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确认减值损失后，期后如有客观证据表明该金融资产价值已恢复，且客观上与确认该损失后发生的事项有关，原确认的减值损失予以转回，可供出售权益工具投资的减值损失转回确认为其他综合收益，可供出售债务工具的减值损失转回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在活跃市场中没有报价且其公允价值不能可靠计量的权益工具投资，或与该权益工具挂钩并须通过交付该权益工具结算的衍生金融资产的减值损失，不予转回。</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金融资产转移的确认依据和计量方法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满足下列条件之一的金融资产，予以终止确认：</w:t>
      </w: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收取该金融资产现金流量的合同权利终止；</w:t>
      </w: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该金融资产已转移，且将金融资产所有权上几乎所有的风险和报酬转移给转入方；</w:t>
      </w:r>
      <w:r w:rsidRPr="000A5B5D">
        <w:rPr>
          <w:rFonts w:ascii="宋体" w:hAnsi="宋体" w:cs="宋体" w:hint="eastAsia"/>
          <w:sz w:val="24"/>
          <w:szCs w:val="24"/>
        </w:rPr>
        <w:t>③</w:t>
      </w:r>
      <w:r w:rsidRPr="000A5B5D">
        <w:rPr>
          <w:rFonts w:ascii="Arial" w:hAnsi="Arial" w:cs="Arial" w:hint="eastAsia"/>
          <w:sz w:val="24"/>
          <w:szCs w:val="24"/>
        </w:rPr>
        <w:t>该金融资产已转移，虽然企业既没有转移也没有保留金融资产所有权上几乎所有的风险和报酬，但是放弃了对该金融资产控制。</w:t>
      </w:r>
    </w:p>
    <w:p w:rsidR="00851B9D" w:rsidRPr="000A5B5D" w:rsidRDefault="00851B9D" w:rsidP="00851B9D">
      <w:pPr>
        <w:spacing w:line="400" w:lineRule="exact"/>
        <w:ind w:firstLineChars="200" w:firstLine="480"/>
        <w:jc w:val="left"/>
        <w:rPr>
          <w:rFonts w:ascii="Arial" w:hAnsi="Arial" w:cs="Arial"/>
          <w:sz w:val="24"/>
          <w:szCs w:val="24"/>
          <w:u w:val="single"/>
        </w:rPr>
      </w:pPr>
      <w:r w:rsidRPr="000A5B5D">
        <w:rPr>
          <w:rFonts w:ascii="Arial" w:hAnsi="Arial" w:cs="Arial" w:hint="eastAsia"/>
          <w:sz w:val="24"/>
          <w:szCs w:val="24"/>
        </w:rPr>
        <w:t>若企业既没有转移也没有保留金融资产所有权上几乎所有的风险和报酬，且未放弃对该金融资产的控制的，则按照继续涉入所转移金融资产的程度确认有关金融资产，并相应确认</w:t>
      </w:r>
      <w:r w:rsidRPr="000A5B5D">
        <w:rPr>
          <w:rFonts w:ascii="Arial" w:hAnsi="Arial" w:cs="Arial" w:hint="eastAsia"/>
          <w:sz w:val="24"/>
          <w:szCs w:val="24"/>
        </w:rPr>
        <w:lastRenderedPageBreak/>
        <w:t>有关负债。继续涉入所转移金融资产的程度，是指该金融资产价值变动使企业面临的风险水平。</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金融资产整体转移满足终止确认条件的，将所转移金融资产的账面价值及因转移而收到的对价与原计入其他综合收益的公允价值变动累计额之和的差额计入当期损益。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金融资产部分转移满足终止确认条件的，将所转移金融资产的账面价值在终止确认及未终止确认部分之间按其相对的公允价值进行分摊，并将因转移而收到的对价与应分摊至终止确认部分的原计入其他综合收益的公允价值变动累计额之和与分摊的前述账面金额之差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对采用附追索权方式出售的金融资产，或将持有的金融资产背书转让，需确定该金融资产所有权上几乎所有的风险和报酬是否已经转移。已将该金融资产所有权上几乎所有的风险和报酬转移给转入方的，终止确认该金融资产；保留了金融资产所有权上几乎所有的风险和报酬的，不终止确认该金融资产；既没有转移也没有保留金融资产所有权上几乎所有的风险和报酬的，则继续判断企业是否对该资产保留了控制，并根据前面各段所述的原则进行会计处理。</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w:t>
      </w:r>
      <w:r w:rsidRPr="000A5B5D">
        <w:rPr>
          <w:rFonts w:ascii="Arial" w:hAnsi="Arial" w:cs="Arial" w:hint="eastAsia"/>
          <w:sz w:val="24"/>
          <w:szCs w:val="24"/>
        </w:rPr>
        <w:t>金融负债的分类和计量</w:t>
      </w:r>
    </w:p>
    <w:p w:rsidR="00851B9D" w:rsidRPr="000A5B5D" w:rsidRDefault="00851B9D" w:rsidP="00851B9D">
      <w:pPr>
        <w:spacing w:line="400" w:lineRule="exact"/>
        <w:ind w:firstLineChars="200" w:firstLine="480"/>
        <w:jc w:val="left"/>
        <w:rPr>
          <w:rFonts w:ascii="Arial" w:hAnsi="Arial" w:cs="Arial"/>
          <w:b/>
          <w:bCs/>
          <w:sz w:val="24"/>
          <w:szCs w:val="24"/>
        </w:rPr>
      </w:pPr>
      <w:r w:rsidRPr="000A5B5D">
        <w:rPr>
          <w:rFonts w:ascii="Arial" w:hAnsi="Arial" w:cs="Arial" w:hint="eastAsia"/>
          <w:sz w:val="24"/>
          <w:szCs w:val="24"/>
        </w:rPr>
        <w:t>金融负债在初始确认时划分为以公允价值计量且其变动计入当期损益的金融负债和其他金融负债。初始确认金融负债，以公允价值计量。对于以公允价值计量且其变动计入当期损益的金融负债，相关的交易费用直接计入当期损益，对于其他金融负债，相关交易费用计入初始确认金额。</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以公允价值计量且其变动计入当期损益的金融负债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分类为交易性金融负债和在初始确认时指定为以公允价值计量且其变动计入当期损益的金融负债的条件与分类为交易性金融资产和在初始确认时指定为以公允价值计量且其变动计入当期损益的金融资产的条件一致。</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以公允价值计量且其变动计入当期损益的金融负债采用公允价值进行后续计量，公允价值的变动形成的利得或损失以及与该等金融负债相关的股利和利息支出计入当期损益。</w:t>
      </w:r>
    </w:p>
    <w:p w:rsidR="00851B9D" w:rsidRPr="000A5B5D" w:rsidRDefault="00851B9D" w:rsidP="00851B9D">
      <w:pPr>
        <w:spacing w:line="400" w:lineRule="exact"/>
        <w:ind w:firstLineChars="200" w:firstLine="480"/>
        <w:jc w:val="left"/>
        <w:rPr>
          <w:rFonts w:ascii="Arial" w:hAnsi="Arial" w:cs="Arial"/>
          <w:b/>
          <w:bCs/>
          <w:kern w:val="32"/>
          <w:sz w:val="24"/>
          <w:szCs w:val="24"/>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其他金融负债</w:t>
      </w:r>
    </w:p>
    <w:p w:rsidR="00851B9D" w:rsidRPr="000A5B5D" w:rsidRDefault="00851B9D" w:rsidP="00851B9D">
      <w:pPr>
        <w:spacing w:line="400" w:lineRule="exact"/>
        <w:ind w:firstLineChars="200" w:firstLine="480"/>
        <w:jc w:val="left"/>
        <w:rPr>
          <w:rFonts w:ascii="Arial" w:hAnsi="Arial" w:cs="Arial"/>
          <w:i/>
          <w:sz w:val="24"/>
          <w:szCs w:val="24"/>
          <w:u w:val="single"/>
        </w:rPr>
      </w:pPr>
      <w:r w:rsidRPr="000A5B5D">
        <w:rPr>
          <w:rFonts w:ascii="Arial" w:hAnsi="Arial" w:cs="Arial" w:hint="eastAsia"/>
          <w:sz w:val="24"/>
          <w:szCs w:val="24"/>
        </w:rPr>
        <w:t>与在活跃市场中没有报价、公允价值不能可靠计量的权益工具挂钩并须通过交付该权益工具结算的衍生金融负债，按照成本进行后续计量。其他金融负债采用实际利率法，按摊余成本进行后续计量，终止确认或摊销产生的利得或损失计入当期损益。</w:t>
      </w:r>
    </w:p>
    <w:p w:rsidR="00851B9D" w:rsidRPr="000A5B5D" w:rsidRDefault="00851B9D" w:rsidP="00851B9D">
      <w:pPr>
        <w:tabs>
          <w:tab w:val="left" w:pos="198"/>
        </w:tabs>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6</w:t>
      </w:r>
      <w:r w:rsidRPr="000A5B5D">
        <w:rPr>
          <w:rFonts w:ascii="Arial" w:hAnsi="Arial" w:cs="Arial" w:hint="eastAsia"/>
          <w:sz w:val="24"/>
        </w:rPr>
        <w:t>）</w:t>
      </w:r>
      <w:r w:rsidRPr="000A5B5D">
        <w:rPr>
          <w:rFonts w:ascii="Arial" w:hAnsi="Arial" w:cs="Arial" w:hint="eastAsia"/>
          <w:sz w:val="24"/>
          <w:szCs w:val="24"/>
        </w:rPr>
        <w:t>金融负债的终止确认</w:t>
      </w:r>
    </w:p>
    <w:p w:rsidR="00851B9D" w:rsidRPr="000A5B5D" w:rsidRDefault="00851B9D" w:rsidP="00851B9D">
      <w:pPr>
        <w:tabs>
          <w:tab w:val="left" w:pos="198"/>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t>金融负债的现时义务全部或部分已经解除的，才能终止确认该金融负债或其一部分。本公司（债务人）与债权人之间签订协议，以承担新金融负债方式替换现存金融负债，且新金融负债与现存金融负债的合同条款实质上不同的，终止确认现存金融负债，并同时确认新金</w:t>
      </w:r>
      <w:r w:rsidRPr="000A5B5D">
        <w:rPr>
          <w:rFonts w:ascii="Arial" w:hAnsi="Arial" w:cs="Arial" w:hint="eastAsia"/>
          <w:sz w:val="24"/>
          <w:szCs w:val="24"/>
        </w:rPr>
        <w:lastRenderedPageBreak/>
        <w:t>融负债。</w:t>
      </w:r>
    </w:p>
    <w:p w:rsidR="00851B9D" w:rsidRPr="000A5B5D" w:rsidRDefault="00851B9D" w:rsidP="00851B9D">
      <w:pPr>
        <w:tabs>
          <w:tab w:val="left" w:pos="198"/>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t>金融负债全部或部分终止确认的，将终止确认部分的账面价值与支付的对价（包括转出的非现金资产或承担的新金融负债）之间的差额，计入当期损益。</w:t>
      </w:r>
    </w:p>
    <w:p w:rsidR="00851B9D" w:rsidRPr="000A5B5D" w:rsidRDefault="00851B9D" w:rsidP="00851B9D">
      <w:pPr>
        <w:tabs>
          <w:tab w:val="left" w:pos="198"/>
        </w:tabs>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7</w:t>
      </w:r>
      <w:r w:rsidRPr="000A5B5D">
        <w:rPr>
          <w:rFonts w:ascii="Arial" w:hAnsi="Arial" w:cs="Arial" w:hint="eastAsia"/>
          <w:sz w:val="24"/>
        </w:rPr>
        <w:t>）</w:t>
      </w:r>
      <w:r w:rsidRPr="000A5B5D">
        <w:rPr>
          <w:rFonts w:ascii="Arial" w:hAnsi="Arial" w:cs="Arial" w:hint="eastAsia"/>
          <w:sz w:val="24"/>
          <w:szCs w:val="24"/>
        </w:rPr>
        <w:t>衍生工具及嵌入衍生工具</w:t>
      </w:r>
    </w:p>
    <w:p w:rsidR="00851B9D" w:rsidRPr="000A5B5D" w:rsidRDefault="00851B9D" w:rsidP="00851B9D">
      <w:pPr>
        <w:tabs>
          <w:tab w:val="left" w:pos="198"/>
        </w:tabs>
        <w:spacing w:line="400" w:lineRule="exact"/>
        <w:ind w:firstLineChars="200" w:firstLine="480"/>
        <w:jc w:val="left"/>
        <w:rPr>
          <w:rFonts w:ascii="Arial" w:hAnsi="Arial" w:cs="Arial"/>
          <w:sz w:val="24"/>
          <w:szCs w:val="24"/>
        </w:rPr>
      </w:pPr>
      <w:r w:rsidRPr="000A5B5D">
        <w:rPr>
          <w:rFonts w:ascii="Arial" w:hAnsi="Arial" w:cs="Arial" w:hint="eastAsia"/>
          <w:sz w:val="24"/>
          <w:szCs w:val="24"/>
        </w:rPr>
        <w:t>衍生工具于相关合同签署日以公允价值进行初始计量，并以公允价值进行后续计量。除指定为套期工具且套期高度有效的衍生工具，其公允价值变动形成的利得或损失将根据套期关系的性质按照套期会计的要求确定计入损益的期间外，其余衍生工具的公允价值变动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对包含嵌入衍生工具的混合工具，如未指定为以公允价值计量且其变动计入当期损益的金融资产或金融负债，嵌入衍生工具与该主合同在经济特征及风险方面不存在紧密关系，且与嵌入衍生工具条件相同，单独存在的工具符合衍生工具定义的，嵌入衍生工具从混合工具中分拆，作为单独的衍生金融工具处理。如果无法在取得时或后续的资产负债表日对嵌入衍生工具进行单独计量，则将混合工具整体指定为以公允价值计量且其变动计入当期损益的金融资产或金融负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8</w:t>
      </w:r>
      <w:r w:rsidRPr="000A5B5D">
        <w:rPr>
          <w:rFonts w:ascii="Arial" w:hAnsi="Arial" w:cs="Arial" w:hint="eastAsia"/>
          <w:sz w:val="24"/>
        </w:rPr>
        <w:t>）</w:t>
      </w:r>
      <w:r w:rsidRPr="000A5B5D">
        <w:rPr>
          <w:rFonts w:ascii="Arial" w:hAnsi="Arial" w:cs="Arial" w:hint="eastAsia"/>
          <w:sz w:val="24"/>
          <w:szCs w:val="24"/>
        </w:rPr>
        <w:t>金融资产和金融负债的抵销</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当本公司具有抵销已确认金融资产和金融负债的法定权利，且目前可执行该种法定权利，同时本公司计划以净额结算或同时变现该金融资产和清偿该金融负债时，金融资产和金融负债以相互抵销后的金额在资产负债表内列示。除此以外，金融资产和金融负债在资产负债表内分别列示，不予相互抵销。</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9</w:t>
      </w:r>
      <w:r w:rsidRPr="000A5B5D">
        <w:rPr>
          <w:rFonts w:ascii="Arial" w:hAnsi="Arial" w:cs="Arial" w:hint="eastAsia"/>
          <w:sz w:val="24"/>
        </w:rPr>
        <w:t>）</w:t>
      </w:r>
      <w:r w:rsidRPr="000A5B5D">
        <w:rPr>
          <w:rFonts w:ascii="Arial" w:hAnsi="Arial" w:cs="Arial" w:hint="eastAsia"/>
          <w:sz w:val="24"/>
          <w:szCs w:val="24"/>
        </w:rPr>
        <w:t>权益工具</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权益工具是指能证明拥有本公司在扣除所有负债后的资产中的剩余权益的合同。本公司发行（含再融资）、回购、出售或注销权益工具作为权益的变动处理。本公司不确认权益工具的公允价值变动。与权益性交易相关的交易费用从权益中扣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本公司对权益工具持有方的各种分配（不包括股票股利），减少股东权益。本公司不确认权益工具的公允价值变动额。</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10</w:t>
      </w:r>
      <w:r w:rsidRPr="000A5B5D">
        <w:rPr>
          <w:rFonts w:ascii="Arial" w:hAnsi="Arial" w:cs="Arial" w:hint="eastAsia"/>
          <w:b/>
          <w:bCs/>
          <w:sz w:val="24"/>
        </w:rPr>
        <w:t>、应收款项</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应收款项包括应收账款、其他应收款等。</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）坏账准备的确认标准</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本公司在资产负债表日对应收款项账面价值进行检查，对存在下列客观证据表明应收款项发生减值的，计提减值准备：</w:t>
      </w:r>
      <w:r w:rsidRPr="000A5B5D">
        <w:rPr>
          <w:rFonts w:ascii="宋体" w:hAnsi="宋体" w:cs="宋体" w:hint="eastAsia"/>
          <w:sz w:val="24"/>
        </w:rPr>
        <w:t>①</w:t>
      </w:r>
      <w:r w:rsidRPr="000A5B5D">
        <w:rPr>
          <w:rFonts w:ascii="Arial" w:hAnsi="Arial" w:cs="Arial" w:hint="eastAsia"/>
          <w:sz w:val="24"/>
        </w:rPr>
        <w:t>债务人发生严重的财务困难；</w:t>
      </w:r>
      <w:r w:rsidRPr="000A5B5D">
        <w:rPr>
          <w:rFonts w:ascii="宋体" w:hAnsi="宋体" w:cs="宋体" w:hint="eastAsia"/>
          <w:sz w:val="24"/>
        </w:rPr>
        <w:t>②</w:t>
      </w:r>
      <w:r w:rsidRPr="000A5B5D">
        <w:rPr>
          <w:rFonts w:ascii="Arial" w:hAnsi="Arial" w:cs="Arial" w:hint="eastAsia"/>
          <w:sz w:val="24"/>
        </w:rPr>
        <w:t>债务人违反合同条款（如偿付利息或本金发生违约或逾期等）；</w:t>
      </w:r>
      <w:r w:rsidRPr="000A5B5D">
        <w:rPr>
          <w:rFonts w:ascii="Arial" w:hAnsi="Arial" w:cs="Arial"/>
          <w:sz w:val="24"/>
        </w:rPr>
        <w:t xml:space="preserve"> </w:t>
      </w:r>
      <w:r w:rsidRPr="000A5B5D">
        <w:rPr>
          <w:rFonts w:ascii="宋体" w:hAnsi="宋体" w:cs="宋体" w:hint="eastAsia"/>
          <w:sz w:val="24"/>
        </w:rPr>
        <w:t>③</w:t>
      </w:r>
      <w:r w:rsidRPr="000A5B5D">
        <w:rPr>
          <w:rFonts w:ascii="Arial" w:hAnsi="Arial" w:cs="Arial" w:hint="eastAsia"/>
          <w:sz w:val="24"/>
        </w:rPr>
        <w:t>债务人很可能倒闭或进行其他财务重组；</w:t>
      </w:r>
      <w:r w:rsidRPr="000A5B5D">
        <w:rPr>
          <w:rFonts w:ascii="Arial" w:hAnsi="Arial" w:cs="Arial"/>
          <w:sz w:val="24"/>
        </w:rPr>
        <w:t xml:space="preserve"> </w:t>
      </w:r>
      <w:r w:rsidRPr="000A5B5D">
        <w:rPr>
          <w:rFonts w:ascii="宋体" w:hAnsi="宋体" w:cs="宋体" w:hint="eastAsia"/>
          <w:sz w:val="24"/>
        </w:rPr>
        <w:t>④</w:t>
      </w:r>
      <w:r w:rsidRPr="000A5B5D">
        <w:rPr>
          <w:rFonts w:ascii="Arial" w:hAnsi="Arial" w:cs="Arial" w:hint="eastAsia"/>
          <w:sz w:val="24"/>
        </w:rPr>
        <w:t>其他表明应收款项发生减值的客观依据。</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）坏账准备的确认标准、计提方法</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宋体" w:hAnsi="宋体" w:cs="宋体" w:hint="eastAsia"/>
          <w:sz w:val="24"/>
        </w:rPr>
        <w:lastRenderedPageBreak/>
        <w:t>①</w:t>
      </w:r>
      <w:r w:rsidRPr="000A5B5D">
        <w:rPr>
          <w:rFonts w:ascii="Arial" w:hAnsi="Arial" w:cs="Arial"/>
          <w:sz w:val="24"/>
        </w:rPr>
        <w:t xml:space="preserve"> </w:t>
      </w:r>
      <w:r w:rsidRPr="000A5B5D">
        <w:rPr>
          <w:rFonts w:ascii="Arial" w:hAnsi="Arial" w:cs="Arial" w:hint="eastAsia"/>
          <w:sz w:val="24"/>
        </w:rPr>
        <w:t>单项金额重大并单项计提坏账准备的应收款项坏账准备的确认标准、计提方法</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本公司将金额为人民币</w:t>
      </w:r>
      <w:r w:rsidRPr="000A5B5D">
        <w:rPr>
          <w:rFonts w:ascii="Arial" w:hAnsi="Arial" w:cs="Arial"/>
          <w:sz w:val="24"/>
        </w:rPr>
        <w:t>500</w:t>
      </w:r>
      <w:r w:rsidRPr="000A5B5D">
        <w:rPr>
          <w:rFonts w:ascii="Arial" w:hAnsi="Arial" w:cs="Arial" w:hint="eastAsia"/>
          <w:sz w:val="24"/>
        </w:rPr>
        <w:t>万元以上的应收账款及</w:t>
      </w:r>
      <w:r w:rsidRPr="000A5B5D">
        <w:rPr>
          <w:rFonts w:ascii="Arial" w:hAnsi="Arial" w:cs="Arial"/>
          <w:sz w:val="24"/>
        </w:rPr>
        <w:t>100</w:t>
      </w:r>
      <w:r w:rsidRPr="000A5B5D">
        <w:rPr>
          <w:rFonts w:ascii="Arial" w:hAnsi="Arial" w:cs="Arial" w:hint="eastAsia"/>
          <w:sz w:val="24"/>
        </w:rPr>
        <w:t>万元以上的其他应收款确认为单项金额重大的应收款项。</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本公司对单项金额重大的应收款项单独进行减值测试，按预计未来现金流量现值低于其账面价值的差额计提坏账准备；单独测试未发生减值的应收账款、其他应收款，包括在具有类似信用风险特征的应收款项组合中再进行减值测试，并计提坏账准备。</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rPr>
        <w:t>按信用风险组合计提坏账准备的应收款项的确定依据、坏账准备计提方法</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sz w:val="24"/>
        </w:rPr>
        <w:t>A</w:t>
      </w:r>
      <w:r w:rsidRPr="000A5B5D">
        <w:rPr>
          <w:rFonts w:ascii="Arial" w:hAnsi="Arial" w:cs="Arial" w:hint="eastAsia"/>
          <w:sz w:val="24"/>
        </w:rPr>
        <w:t>．信用风险特征组合的确定依据</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本公司对单项金额不重大以及金额重大但单项测试未发生减值的应收款项，按信用风险特征的相似性和相关性对金融资产进行分组。这些信用风险通常反映债务人按照该等资产的合同条款偿还所有到期金额的能力，并且与被检查资产的未来现金流量测算相关。</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组合的确定依据：</w:t>
      </w:r>
    </w:p>
    <w:tbl>
      <w:tblPr>
        <w:tblW w:w="9072"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057"/>
        <w:gridCol w:w="6015"/>
      </w:tblGrid>
      <w:tr w:rsidR="00851B9D" w:rsidRPr="000A5B5D" w:rsidTr="00851B9D">
        <w:trPr>
          <w:trHeight w:val="378"/>
        </w:trPr>
        <w:tc>
          <w:tcPr>
            <w:tcW w:w="3057" w:type="dxa"/>
            <w:tcBorders>
              <w:top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项目</w:t>
            </w:r>
          </w:p>
        </w:tc>
        <w:tc>
          <w:tcPr>
            <w:tcW w:w="6015" w:type="dxa"/>
            <w:tcBorders>
              <w:top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确定组合的依据</w:t>
            </w:r>
          </w:p>
        </w:tc>
      </w:tr>
      <w:tr w:rsidR="00851B9D" w:rsidRPr="000A5B5D" w:rsidTr="00851B9D">
        <w:trPr>
          <w:trHeight w:val="300"/>
        </w:trPr>
        <w:tc>
          <w:tcPr>
            <w:tcW w:w="3057" w:type="dxa"/>
            <w:tcBorders>
              <w:bottom w:val="single" w:sz="12" w:space="0" w:color="auto"/>
            </w:tcBorders>
            <w:vAlign w:val="center"/>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hint="eastAsia"/>
                <w:kern w:val="0"/>
                <w:szCs w:val="21"/>
              </w:rPr>
              <w:t>账龄组合</w:t>
            </w:r>
          </w:p>
        </w:tc>
        <w:tc>
          <w:tcPr>
            <w:tcW w:w="6015" w:type="dxa"/>
            <w:tcBorders>
              <w:bottom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以应收款项的账龄为信用风险特征划分组合</w:t>
            </w:r>
          </w:p>
        </w:tc>
      </w:tr>
    </w:tbl>
    <w:p w:rsidR="00851B9D" w:rsidRPr="000A5B5D" w:rsidRDefault="00851B9D" w:rsidP="00851B9D">
      <w:pPr>
        <w:overflowPunct w:val="0"/>
        <w:spacing w:line="400" w:lineRule="exact"/>
        <w:ind w:left="480"/>
        <w:rPr>
          <w:rFonts w:ascii="Arial" w:hAnsi="Arial" w:cs="Arial"/>
          <w:sz w:val="24"/>
        </w:rPr>
      </w:pPr>
      <w:r w:rsidRPr="000A5B5D">
        <w:rPr>
          <w:rFonts w:ascii="Arial" w:hAnsi="Arial" w:cs="Arial"/>
          <w:sz w:val="24"/>
        </w:rPr>
        <w:t>B</w:t>
      </w:r>
      <w:r w:rsidRPr="000A5B5D">
        <w:rPr>
          <w:rFonts w:ascii="Arial" w:hAnsi="Arial" w:cs="Arial" w:hint="eastAsia"/>
          <w:sz w:val="24"/>
        </w:rPr>
        <w:t>．根据信用风险特征组合确定的坏账准备计提方法</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按组合方式实施减值测试时，坏账准备金额系根据应收款项组合结构及类似信用风险特征（债务人根据合同条款偿还欠款的能力）按历史损失经验及目前经济状况与预计应收款项组合中已经存在的损失评估确定。</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组合计提坏账准备的计提方法：</w:t>
      </w:r>
    </w:p>
    <w:tbl>
      <w:tblPr>
        <w:tblW w:w="9072"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058"/>
        <w:gridCol w:w="6014"/>
      </w:tblGrid>
      <w:tr w:rsidR="00851B9D" w:rsidRPr="000A5B5D" w:rsidTr="00851B9D">
        <w:trPr>
          <w:trHeight w:val="397"/>
          <w:tblHeader/>
        </w:trPr>
        <w:tc>
          <w:tcPr>
            <w:tcW w:w="3058"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项</w:t>
            </w:r>
            <w:r w:rsidRPr="000A5B5D">
              <w:rPr>
                <w:rFonts w:ascii="Arial" w:hAnsi="Arial" w:cs="Arial"/>
                <w:kern w:val="0"/>
                <w:szCs w:val="21"/>
              </w:rPr>
              <w:t xml:space="preserve">    </w:t>
            </w:r>
            <w:r w:rsidRPr="000A5B5D">
              <w:rPr>
                <w:rFonts w:ascii="Arial" w:hAnsi="Arial" w:cs="Arial" w:hint="eastAsia"/>
                <w:kern w:val="0"/>
                <w:szCs w:val="21"/>
              </w:rPr>
              <w:t>目</w:t>
            </w:r>
          </w:p>
        </w:tc>
        <w:tc>
          <w:tcPr>
            <w:tcW w:w="6014"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计提方法</w:t>
            </w:r>
          </w:p>
        </w:tc>
      </w:tr>
      <w:tr w:rsidR="00851B9D" w:rsidRPr="000A5B5D" w:rsidTr="00851B9D">
        <w:trPr>
          <w:trHeight w:val="397"/>
        </w:trPr>
        <w:tc>
          <w:tcPr>
            <w:tcW w:w="3058" w:type="dxa"/>
            <w:tcBorders>
              <w:bottom w:val="single" w:sz="12" w:space="0" w:color="auto"/>
            </w:tcBorders>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账龄组合</w:t>
            </w:r>
          </w:p>
        </w:tc>
        <w:tc>
          <w:tcPr>
            <w:tcW w:w="6014" w:type="dxa"/>
            <w:tcBorders>
              <w:bottom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按账龄分析法计提坏账准备</w:t>
            </w:r>
          </w:p>
        </w:tc>
      </w:tr>
    </w:tbl>
    <w:p w:rsidR="00851B9D" w:rsidRPr="000A5B5D" w:rsidRDefault="00851B9D" w:rsidP="00851B9D">
      <w:pPr>
        <w:overflowPunct w:val="0"/>
        <w:spacing w:line="400" w:lineRule="exact"/>
        <w:ind w:left="482"/>
        <w:rPr>
          <w:rFonts w:ascii="Arial" w:hAnsi="Arial" w:cs="Arial"/>
          <w:sz w:val="24"/>
        </w:rPr>
      </w:pPr>
      <w:r w:rsidRPr="000A5B5D">
        <w:rPr>
          <w:rFonts w:ascii="Arial" w:hAnsi="Arial" w:cs="Arial" w:hint="eastAsia"/>
          <w:sz w:val="24"/>
        </w:rPr>
        <w:t>采用账龄分析法计提坏账准备的组合计提方法</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109"/>
        <w:gridCol w:w="3131"/>
        <w:gridCol w:w="2816"/>
      </w:tblGrid>
      <w:tr w:rsidR="00851B9D" w:rsidRPr="000A5B5D" w:rsidTr="00851B9D">
        <w:trPr>
          <w:trHeight w:val="475"/>
          <w:tblHeader/>
          <w:jc w:val="center"/>
        </w:trPr>
        <w:tc>
          <w:tcPr>
            <w:tcW w:w="3109" w:type="dxa"/>
            <w:tcBorders>
              <w:top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账</w:t>
            </w:r>
            <w:r w:rsidRPr="000A5B5D">
              <w:rPr>
                <w:rFonts w:ascii="Arial" w:hAnsi="Arial" w:cs="Arial"/>
                <w:kern w:val="0"/>
                <w:szCs w:val="21"/>
              </w:rPr>
              <w:t xml:space="preserve">   </w:t>
            </w:r>
            <w:r w:rsidRPr="000A5B5D">
              <w:rPr>
                <w:rFonts w:ascii="Arial" w:hAnsi="Arial" w:cs="Arial" w:hint="eastAsia"/>
                <w:kern w:val="0"/>
                <w:szCs w:val="21"/>
              </w:rPr>
              <w:t>龄</w:t>
            </w:r>
          </w:p>
        </w:tc>
        <w:tc>
          <w:tcPr>
            <w:tcW w:w="3131" w:type="dxa"/>
            <w:tcBorders>
              <w:top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应收账款计提比例</w:t>
            </w:r>
            <w:r w:rsidRPr="000A5B5D">
              <w:rPr>
                <w:rFonts w:ascii="Arial" w:hAnsi="Arial" w:cs="Arial"/>
                <w:kern w:val="0"/>
                <w:szCs w:val="21"/>
              </w:rPr>
              <w:t>(%)</w:t>
            </w:r>
          </w:p>
        </w:tc>
        <w:tc>
          <w:tcPr>
            <w:tcW w:w="2816" w:type="dxa"/>
            <w:tcBorders>
              <w:top w:val="single" w:sz="12" w:space="0" w:color="auto"/>
            </w:tcBorders>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Arial" w:cs="Arial" w:hint="eastAsia"/>
                <w:kern w:val="0"/>
                <w:szCs w:val="21"/>
              </w:rPr>
              <w:t>其他应收款计提比例</w:t>
            </w:r>
            <w:r w:rsidRPr="000A5B5D">
              <w:rPr>
                <w:rFonts w:ascii="Arial" w:hAnsi="Arial" w:cs="Arial"/>
                <w:kern w:val="0"/>
                <w:szCs w:val="21"/>
              </w:rPr>
              <w:t>(%)</w:t>
            </w:r>
          </w:p>
        </w:tc>
      </w:tr>
      <w:tr w:rsidR="00851B9D" w:rsidRPr="000A5B5D" w:rsidTr="00851B9D">
        <w:trPr>
          <w:trHeight w:val="300"/>
          <w:jc w:val="center"/>
        </w:trPr>
        <w:tc>
          <w:tcPr>
            <w:tcW w:w="3109" w:type="dxa"/>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kern w:val="0"/>
                <w:szCs w:val="21"/>
              </w:rPr>
              <w:t>6</w:t>
            </w:r>
            <w:r w:rsidRPr="000A5B5D">
              <w:rPr>
                <w:rFonts w:ascii="Arial" w:hAnsi="Arial" w:cs="Arial" w:hint="eastAsia"/>
                <w:kern w:val="0"/>
                <w:szCs w:val="21"/>
              </w:rPr>
              <w:t>个月以内（含</w:t>
            </w:r>
            <w:r w:rsidRPr="000A5B5D">
              <w:rPr>
                <w:rFonts w:ascii="Arial" w:hAnsi="Arial" w:cs="Arial"/>
                <w:kern w:val="0"/>
                <w:szCs w:val="21"/>
              </w:rPr>
              <w:t>6</w:t>
            </w:r>
            <w:r w:rsidRPr="000A5B5D">
              <w:rPr>
                <w:rFonts w:ascii="Arial" w:hAnsi="Arial" w:cs="Arial" w:hint="eastAsia"/>
                <w:kern w:val="0"/>
                <w:szCs w:val="21"/>
              </w:rPr>
              <w:t>月）</w:t>
            </w:r>
          </w:p>
        </w:tc>
        <w:tc>
          <w:tcPr>
            <w:tcW w:w="3131"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0.00</w:t>
            </w:r>
          </w:p>
        </w:tc>
        <w:tc>
          <w:tcPr>
            <w:tcW w:w="2816"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0.00</w:t>
            </w:r>
          </w:p>
        </w:tc>
      </w:tr>
      <w:tr w:rsidR="00851B9D" w:rsidRPr="000A5B5D" w:rsidTr="00851B9D">
        <w:trPr>
          <w:trHeight w:val="300"/>
          <w:jc w:val="center"/>
        </w:trPr>
        <w:tc>
          <w:tcPr>
            <w:tcW w:w="3109" w:type="dxa"/>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kern w:val="0"/>
                <w:szCs w:val="21"/>
              </w:rPr>
              <w:t>7-12</w:t>
            </w:r>
            <w:r w:rsidRPr="000A5B5D">
              <w:rPr>
                <w:rFonts w:ascii="Arial" w:hAnsi="Arial" w:cs="Arial" w:hint="eastAsia"/>
                <w:kern w:val="0"/>
                <w:szCs w:val="21"/>
              </w:rPr>
              <w:t>个月（含</w:t>
            </w:r>
            <w:r w:rsidRPr="000A5B5D">
              <w:rPr>
                <w:rFonts w:ascii="Arial" w:hAnsi="Arial" w:cs="Arial"/>
                <w:kern w:val="0"/>
                <w:szCs w:val="21"/>
              </w:rPr>
              <w:t>12</w:t>
            </w:r>
            <w:r w:rsidRPr="000A5B5D">
              <w:rPr>
                <w:rFonts w:ascii="Arial" w:hAnsi="Arial" w:cs="Arial" w:hint="eastAsia"/>
                <w:kern w:val="0"/>
                <w:szCs w:val="21"/>
              </w:rPr>
              <w:t>月）</w:t>
            </w:r>
          </w:p>
        </w:tc>
        <w:tc>
          <w:tcPr>
            <w:tcW w:w="3131"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3.00</w:t>
            </w:r>
          </w:p>
        </w:tc>
        <w:tc>
          <w:tcPr>
            <w:tcW w:w="2816"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3.00</w:t>
            </w:r>
          </w:p>
        </w:tc>
      </w:tr>
      <w:tr w:rsidR="00851B9D" w:rsidRPr="000A5B5D" w:rsidTr="00851B9D">
        <w:trPr>
          <w:trHeight w:val="300"/>
          <w:jc w:val="center"/>
        </w:trPr>
        <w:tc>
          <w:tcPr>
            <w:tcW w:w="3109" w:type="dxa"/>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kern w:val="0"/>
                <w:szCs w:val="21"/>
              </w:rPr>
              <w:t>1-2</w:t>
            </w:r>
            <w:r w:rsidRPr="000A5B5D">
              <w:rPr>
                <w:rFonts w:ascii="Arial" w:hAnsi="Arial" w:cs="Arial" w:hint="eastAsia"/>
                <w:kern w:val="0"/>
                <w:szCs w:val="21"/>
              </w:rPr>
              <w:t>年（含</w:t>
            </w:r>
            <w:r w:rsidRPr="000A5B5D">
              <w:rPr>
                <w:rFonts w:ascii="Arial" w:hAnsi="Arial" w:cs="Arial"/>
                <w:kern w:val="0"/>
                <w:szCs w:val="21"/>
              </w:rPr>
              <w:t>2</w:t>
            </w:r>
            <w:r w:rsidRPr="000A5B5D">
              <w:rPr>
                <w:rFonts w:ascii="Arial" w:hAnsi="Arial" w:cs="Arial" w:hint="eastAsia"/>
                <w:kern w:val="0"/>
                <w:szCs w:val="21"/>
              </w:rPr>
              <w:t>年）</w:t>
            </w:r>
          </w:p>
        </w:tc>
        <w:tc>
          <w:tcPr>
            <w:tcW w:w="3131"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10.00</w:t>
            </w:r>
          </w:p>
        </w:tc>
        <w:tc>
          <w:tcPr>
            <w:tcW w:w="2816"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10.00</w:t>
            </w:r>
          </w:p>
        </w:tc>
      </w:tr>
      <w:tr w:rsidR="00851B9D" w:rsidRPr="000A5B5D" w:rsidTr="00851B9D">
        <w:trPr>
          <w:trHeight w:val="300"/>
          <w:jc w:val="center"/>
        </w:trPr>
        <w:tc>
          <w:tcPr>
            <w:tcW w:w="3109" w:type="dxa"/>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kern w:val="0"/>
                <w:szCs w:val="21"/>
              </w:rPr>
              <w:t>2-3</w:t>
            </w:r>
            <w:r w:rsidRPr="000A5B5D">
              <w:rPr>
                <w:rFonts w:ascii="Arial" w:hAnsi="Arial" w:cs="Arial" w:hint="eastAsia"/>
                <w:kern w:val="0"/>
                <w:szCs w:val="21"/>
              </w:rPr>
              <w:t>年（含</w:t>
            </w:r>
            <w:r w:rsidRPr="000A5B5D">
              <w:rPr>
                <w:rFonts w:ascii="Arial" w:hAnsi="Arial" w:cs="Arial"/>
                <w:kern w:val="0"/>
                <w:szCs w:val="21"/>
              </w:rPr>
              <w:t>3</w:t>
            </w:r>
            <w:r w:rsidRPr="000A5B5D">
              <w:rPr>
                <w:rFonts w:ascii="Arial" w:hAnsi="Arial" w:cs="Arial" w:hint="eastAsia"/>
                <w:kern w:val="0"/>
                <w:szCs w:val="21"/>
              </w:rPr>
              <w:t>年）</w:t>
            </w:r>
          </w:p>
        </w:tc>
        <w:tc>
          <w:tcPr>
            <w:tcW w:w="3131"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50.00</w:t>
            </w:r>
          </w:p>
        </w:tc>
        <w:tc>
          <w:tcPr>
            <w:tcW w:w="2816" w:type="dxa"/>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50.00</w:t>
            </w:r>
          </w:p>
        </w:tc>
      </w:tr>
      <w:tr w:rsidR="00851B9D" w:rsidRPr="000A5B5D" w:rsidTr="00851B9D">
        <w:trPr>
          <w:trHeight w:val="300"/>
          <w:jc w:val="center"/>
        </w:trPr>
        <w:tc>
          <w:tcPr>
            <w:tcW w:w="3109" w:type="dxa"/>
            <w:tcBorders>
              <w:bottom w:val="single" w:sz="12" w:space="0" w:color="auto"/>
            </w:tcBorders>
          </w:tcPr>
          <w:p w:rsidR="00851B9D" w:rsidRPr="000A5B5D" w:rsidRDefault="00851B9D" w:rsidP="00851B9D">
            <w:pPr>
              <w:widowControl/>
              <w:spacing w:line="400" w:lineRule="exact"/>
              <w:jc w:val="left"/>
              <w:rPr>
                <w:rFonts w:ascii="Arial" w:hAnsi="Arial" w:cs="Arial"/>
                <w:kern w:val="0"/>
                <w:szCs w:val="21"/>
              </w:rPr>
            </w:pPr>
            <w:r w:rsidRPr="000A5B5D">
              <w:rPr>
                <w:rFonts w:ascii="Arial" w:hAnsi="Arial" w:cs="Arial"/>
                <w:kern w:val="0"/>
                <w:szCs w:val="21"/>
              </w:rPr>
              <w:t>3</w:t>
            </w:r>
            <w:r w:rsidRPr="000A5B5D">
              <w:rPr>
                <w:rFonts w:ascii="Arial" w:hAnsi="Arial" w:cs="Arial" w:hint="eastAsia"/>
                <w:kern w:val="0"/>
                <w:szCs w:val="21"/>
              </w:rPr>
              <w:t>年以上</w:t>
            </w:r>
          </w:p>
        </w:tc>
        <w:tc>
          <w:tcPr>
            <w:tcW w:w="3131" w:type="dxa"/>
            <w:tcBorders>
              <w:bottom w:val="single" w:sz="12" w:space="0" w:color="auto"/>
            </w:tcBorders>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100.00</w:t>
            </w:r>
          </w:p>
        </w:tc>
        <w:tc>
          <w:tcPr>
            <w:tcW w:w="2816" w:type="dxa"/>
            <w:tcBorders>
              <w:bottom w:val="single" w:sz="12" w:space="0" w:color="auto"/>
            </w:tcBorders>
          </w:tcPr>
          <w:p w:rsidR="00851B9D" w:rsidRPr="000A5B5D" w:rsidRDefault="00851B9D" w:rsidP="00851B9D">
            <w:pPr>
              <w:widowControl/>
              <w:spacing w:line="400" w:lineRule="exact"/>
              <w:jc w:val="right"/>
              <w:rPr>
                <w:rFonts w:ascii="Arial" w:hAnsi="Arial" w:cs="Arial"/>
                <w:kern w:val="0"/>
                <w:szCs w:val="21"/>
              </w:rPr>
            </w:pPr>
            <w:r w:rsidRPr="000A5B5D">
              <w:rPr>
                <w:rFonts w:ascii="Arial" w:hAnsi="Arial" w:cs="Arial"/>
                <w:kern w:val="0"/>
                <w:szCs w:val="21"/>
              </w:rPr>
              <w:t>100.00</w:t>
            </w:r>
          </w:p>
        </w:tc>
      </w:tr>
    </w:tbl>
    <w:p w:rsidR="00851B9D" w:rsidRPr="000A5B5D" w:rsidRDefault="00851B9D" w:rsidP="00851B9D">
      <w:pPr>
        <w:overflowPunct w:val="0"/>
        <w:spacing w:line="400" w:lineRule="exact"/>
        <w:ind w:firstLineChars="200" w:firstLine="480"/>
        <w:rPr>
          <w:rFonts w:ascii="Arial" w:hAnsi="Arial" w:cs="Arial"/>
          <w:sz w:val="24"/>
        </w:rPr>
      </w:pPr>
      <w:r w:rsidRPr="000A5B5D">
        <w:rPr>
          <w:rFonts w:ascii="宋体" w:hAnsi="宋体" w:cs="宋体" w:hint="eastAsia"/>
          <w:sz w:val="24"/>
        </w:rPr>
        <w:t>③</w:t>
      </w:r>
      <w:r w:rsidRPr="000A5B5D">
        <w:rPr>
          <w:rFonts w:ascii="Arial" w:hAnsi="Arial" w:cs="Arial"/>
          <w:sz w:val="24"/>
        </w:rPr>
        <w:t xml:space="preserve"> </w:t>
      </w:r>
      <w:r w:rsidRPr="000A5B5D">
        <w:rPr>
          <w:rFonts w:ascii="Arial" w:hAnsi="Arial" w:cs="Arial" w:hint="eastAsia"/>
          <w:sz w:val="24"/>
        </w:rPr>
        <w:t>单项金额虽不重大但单项计提坏账准备的应收款项</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本公司对于单项金额虽不重大且按照账龄分析法计提坏账准备不能反映其风险特征的应收款项，单独进行减值测试，有客观证据表明其发生了减值的，根据其未来现金流量现值低</w:t>
      </w:r>
      <w:r w:rsidRPr="000A5B5D">
        <w:rPr>
          <w:rFonts w:ascii="Arial" w:hAnsi="Arial" w:cs="Arial" w:hint="eastAsia"/>
          <w:sz w:val="24"/>
        </w:rPr>
        <w:lastRenderedPageBreak/>
        <w:t>于其账面价值的差额，确认减值损失，计提坏账准备。</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）对于其他应收款项（包括应收票据、预付款项、应收利息、长期应收款等），根据其未来现金流量现值低于其账面价值的差额计提坏账准备。</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）坏账准备的转回</w:t>
      </w:r>
    </w:p>
    <w:p w:rsidR="00851B9D" w:rsidRPr="000A5B5D" w:rsidRDefault="00851B9D" w:rsidP="00851B9D">
      <w:pPr>
        <w:tabs>
          <w:tab w:val="left" w:pos="540"/>
        </w:tabs>
        <w:spacing w:line="400" w:lineRule="exact"/>
        <w:ind w:firstLineChars="200" w:firstLine="496"/>
        <w:rPr>
          <w:rFonts w:ascii="Arial" w:hAnsi="Arial" w:cs="Arial"/>
          <w:b/>
          <w:sz w:val="24"/>
        </w:rPr>
      </w:pPr>
      <w:r w:rsidRPr="000A5B5D">
        <w:rPr>
          <w:rFonts w:ascii="Arial" w:hAnsi="Arial" w:cs="Arial" w:hint="eastAsia"/>
          <w:spacing w:val="4"/>
          <w:kern w:val="0"/>
          <w:position w:val="-1"/>
          <w:sz w:val="24"/>
          <w:szCs w:val="24"/>
        </w:rPr>
        <w:t>如有客观证据表明该应收款项</w:t>
      </w:r>
      <w:r w:rsidRPr="000A5B5D">
        <w:rPr>
          <w:rFonts w:ascii="Arial" w:hAnsi="Arial" w:cs="Arial" w:hint="eastAsia"/>
          <w:spacing w:val="4"/>
          <w:kern w:val="0"/>
          <w:position w:val="-2"/>
          <w:sz w:val="24"/>
          <w:szCs w:val="24"/>
        </w:rPr>
        <w:t>价值已恢复，且客观上与确认该损失后发生的事项有关，原确认的减值损失予以转回，计入当期损益。但是，该转回后的账面价值不超过假定</w:t>
      </w:r>
      <w:r w:rsidRPr="000A5B5D">
        <w:rPr>
          <w:rFonts w:ascii="Arial" w:hAnsi="Arial" w:cs="Arial" w:hint="eastAsia"/>
          <w:kern w:val="0"/>
          <w:position w:val="-2"/>
          <w:sz w:val="24"/>
          <w:szCs w:val="24"/>
        </w:rPr>
        <w:t>不计提减值准备情况下该</w:t>
      </w:r>
      <w:r w:rsidRPr="000A5B5D">
        <w:rPr>
          <w:rFonts w:ascii="Arial" w:hAnsi="Arial" w:cs="Arial" w:hint="eastAsia"/>
          <w:spacing w:val="4"/>
          <w:kern w:val="0"/>
          <w:position w:val="-1"/>
          <w:sz w:val="24"/>
          <w:szCs w:val="24"/>
        </w:rPr>
        <w:t>应收款项</w:t>
      </w:r>
      <w:r w:rsidRPr="000A5B5D">
        <w:rPr>
          <w:rFonts w:ascii="Arial" w:hAnsi="Arial" w:cs="Arial" w:hint="eastAsia"/>
          <w:kern w:val="0"/>
          <w:position w:val="-2"/>
          <w:sz w:val="24"/>
          <w:szCs w:val="24"/>
        </w:rPr>
        <w:t>在转回日的摊余成本。</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11</w:t>
      </w:r>
      <w:r w:rsidRPr="000A5B5D">
        <w:rPr>
          <w:rFonts w:ascii="Arial" w:hAnsi="Arial" w:cs="Arial" w:hint="eastAsia"/>
          <w:b/>
          <w:sz w:val="24"/>
        </w:rPr>
        <w:t>、存货</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）存货的分类</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存货是指企业在日常活动中持有以备出售的产成品或商品、处在生产过程中的在产品、在生产过程或提供劳务过程中耗用的材料和物料等。包括在途物资、原材料、在产品、库存商品、发出商品、委托加工物资、周转材料等大类。</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）存货取得和发出的计价方法</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存货在取得时按实际成本计价，存货成本包括采购成本、加工成本和其他成本。领用和发出时按采用加权平均法核算；存货日常核算以计划成本计价的，年末结转材料成本差异，将计划成本调整为实际成本。</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）存货可变现净值的确认和跌价准备的计提方法</w:t>
      </w:r>
    </w:p>
    <w:p w:rsidR="00851B9D" w:rsidRPr="000A5B5D" w:rsidRDefault="00851B9D" w:rsidP="00851B9D">
      <w:pPr>
        <w:spacing w:line="400" w:lineRule="exact"/>
        <w:ind w:firstLineChars="200" w:firstLine="480"/>
        <w:jc w:val="left"/>
        <w:rPr>
          <w:rFonts w:ascii="Arial" w:hAnsi="Arial" w:cs="Arial"/>
          <w:b/>
          <w:bCs/>
          <w:sz w:val="24"/>
          <w:szCs w:val="24"/>
        </w:rPr>
      </w:pPr>
      <w:r w:rsidRPr="000A5B5D">
        <w:rPr>
          <w:rFonts w:ascii="Arial" w:hAnsi="Arial" w:cs="Arial" w:hint="eastAsia"/>
          <w:sz w:val="24"/>
          <w:szCs w:val="24"/>
        </w:rPr>
        <w:t>可变现净值是指在日常活动中，存货的估计售价减去至完工时估计将要发生的成本、估计的销售费用以及相关税费后的金额。在确定存货的可变现净值时，以取得的确凿证据为基础，同时考虑持有存货的目的以及资产负债表日后事项的影响。</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rPr>
        <w:t>在资产负债表日，存货按照成本与可变现净值孰低计量。</w:t>
      </w:r>
      <w:r w:rsidRPr="000A5B5D">
        <w:rPr>
          <w:rFonts w:ascii="Arial" w:hAnsi="Arial" w:cs="Arial" w:hint="eastAsia"/>
          <w:sz w:val="24"/>
          <w:szCs w:val="24"/>
        </w:rPr>
        <w:t>当其可变现净值低于成本时，提取存货跌价准备。存货跌价准备通常按单个存货项目的成本高于其可变现净值的差额提取。</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szCs w:val="24"/>
        </w:rPr>
        <w:t>计提存货跌价准备后，如果以前减记存货价值的影响因素已经消失，导致存货的可变现净值高于其账面价值的，在原已计提的存货跌价准备金额内予以转回，转回的金额计入当期损益。</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）存货的盘存制度</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本公司存货采用永续盘存制。</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）低值易耗品和包装物的摊销方法</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低值易耗品采用一次摊销法；包装物采用一次摊销法。</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12</w:t>
      </w:r>
      <w:r w:rsidRPr="000A5B5D">
        <w:rPr>
          <w:rFonts w:ascii="Arial" w:hAnsi="Arial" w:cs="Arial" w:hint="eastAsia"/>
          <w:b/>
          <w:sz w:val="24"/>
        </w:rPr>
        <w:t>、划分为持有待售资产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若某项非流动资产在其当前状况下仅根据出售此类资产的惯常条款即可立即出售，本公司已就处置该项非流动资产作出决议，已经与受让方签订了不可撤销的转让协议，且该项转让将在一年内完成，则该非流动资产作为持有待售非流动资产核算，自划分为持有待售之日</w:t>
      </w:r>
      <w:r w:rsidRPr="000A5B5D">
        <w:rPr>
          <w:rFonts w:ascii="Arial" w:hAnsi="Arial" w:cs="Arial" w:hint="eastAsia"/>
          <w:sz w:val="24"/>
          <w:szCs w:val="24"/>
        </w:rPr>
        <w:lastRenderedPageBreak/>
        <w:t>起不计提折旧或进行摊销，按照账面价值与公允价值减去处置费用后的净额孰低计量。持有待售的非流动资产包括单项资产和处置组。如果处置组是一个《企业会计准则第</w:t>
      </w:r>
      <w:r w:rsidRPr="000A5B5D">
        <w:rPr>
          <w:rFonts w:ascii="Arial" w:hAnsi="Arial" w:cs="Arial"/>
          <w:sz w:val="24"/>
          <w:szCs w:val="24"/>
        </w:rPr>
        <w:t>8</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资产减值》所定义的资产组，并且按照该准则的规定将企业合并中取得的商誉分摊至该资产组，或者该处置组是资产组中的一项经营，则该处置组包括企业合并中所形成的商誉。</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被划分为持有待售的单项非流动资产和处置组中的资产，在资产负债表的流动资产部分单独列报；被划分为持有待售的处置组中的与转让资产相关的负债，在资产负债表的流动负债部分单独列报。</w:t>
      </w:r>
    </w:p>
    <w:p w:rsidR="00851B9D" w:rsidRPr="000A5B5D" w:rsidRDefault="00851B9D" w:rsidP="00851B9D">
      <w:pPr>
        <w:pStyle w:val="ab"/>
        <w:spacing w:line="400" w:lineRule="exact"/>
        <w:ind w:left="0" w:right="147" w:firstLineChars="200" w:firstLine="480"/>
        <w:jc w:val="both"/>
        <w:rPr>
          <w:rFonts w:ascii="Arial" w:eastAsia="宋体" w:hAnsi="Arial" w:cs="Arial"/>
          <w:kern w:val="2"/>
          <w:sz w:val="24"/>
        </w:rPr>
      </w:pPr>
      <w:r w:rsidRPr="000A5B5D">
        <w:rPr>
          <w:rFonts w:ascii="Arial" w:eastAsia="宋体" w:hAnsi="Arial" w:cs="Arial" w:hint="eastAsia"/>
          <w:sz w:val="24"/>
          <w:szCs w:val="24"/>
        </w:rPr>
        <w:t>某项资产或处置组被划归为持有待售，但后来不再满足持有待售的非流动资产的确认条件，本公司停止将其划归为持有待售，并按照下列两项金额中较低者进行计量</w:t>
      </w:r>
      <w:r w:rsidRPr="000A5B5D">
        <w:rPr>
          <w:rFonts w:ascii="Arial" w:eastAsia="宋体" w:hAnsi="Arial" w:cs="Arial" w:hint="eastAsia"/>
          <w:sz w:val="24"/>
        </w:rPr>
        <w:t>：（</w:t>
      </w:r>
      <w:r w:rsidRPr="000A5B5D">
        <w:rPr>
          <w:rFonts w:ascii="Arial" w:eastAsia="宋体" w:hAnsi="Arial" w:cs="Arial"/>
          <w:sz w:val="24"/>
          <w:szCs w:val="24"/>
        </w:rPr>
        <w:t>1</w:t>
      </w:r>
      <w:r w:rsidRPr="000A5B5D">
        <w:rPr>
          <w:rFonts w:ascii="Arial" w:eastAsia="宋体" w:hAnsi="Arial" w:cs="Arial" w:hint="eastAsia"/>
          <w:sz w:val="24"/>
        </w:rPr>
        <w:t>）</w:t>
      </w:r>
      <w:r w:rsidRPr="000A5B5D">
        <w:rPr>
          <w:rFonts w:ascii="Arial" w:eastAsia="宋体" w:hAnsi="Arial" w:cs="Arial" w:hint="eastAsia"/>
          <w:sz w:val="24"/>
          <w:szCs w:val="24"/>
        </w:rPr>
        <w:t>该资产或处置组被划归为持有待售之前的账面价值，按照其假定在没有被划归为持有待售的情况下原应确认的折旧、摊销或减值进行调整后的金额；</w:t>
      </w:r>
      <w:r w:rsidRPr="000A5B5D">
        <w:rPr>
          <w:rFonts w:ascii="Arial" w:eastAsia="宋体" w:hAnsi="Arial" w:cs="Arial" w:hint="eastAsia"/>
          <w:sz w:val="24"/>
        </w:rPr>
        <w:t>（</w:t>
      </w:r>
      <w:r w:rsidRPr="000A5B5D">
        <w:rPr>
          <w:rFonts w:ascii="Arial" w:eastAsia="宋体" w:hAnsi="Arial" w:cs="Arial"/>
          <w:sz w:val="24"/>
          <w:szCs w:val="24"/>
        </w:rPr>
        <w:t>2</w:t>
      </w:r>
      <w:r w:rsidRPr="000A5B5D">
        <w:rPr>
          <w:rFonts w:ascii="Arial" w:eastAsia="宋体" w:hAnsi="Arial" w:cs="Arial" w:hint="eastAsia"/>
          <w:sz w:val="24"/>
        </w:rPr>
        <w:t>）</w:t>
      </w:r>
      <w:r w:rsidRPr="000A5B5D">
        <w:rPr>
          <w:rFonts w:ascii="Arial" w:eastAsia="宋体" w:hAnsi="Arial" w:cs="Arial" w:hint="eastAsia"/>
          <w:sz w:val="24"/>
          <w:szCs w:val="24"/>
        </w:rPr>
        <w:t>决定不再出售之日的可收回金额。</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13</w:t>
      </w:r>
      <w:r w:rsidRPr="000A5B5D">
        <w:rPr>
          <w:rFonts w:ascii="Arial" w:hAnsi="Arial" w:cs="Arial" w:hint="eastAsia"/>
          <w:b/>
          <w:sz w:val="24"/>
        </w:rPr>
        <w:t>、长期股权投资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部分所指的长期股权投资是指本公司对被投资单位具有控制、共同控制或重大影响的长期股权投资。本公司对被投资单位不具有控制、共同控制或重大影响的长期股权投资，作为可供出售金融资产或以公允价值计量且其变动计入当期损益的金融资产核算，其会计政策详见附注四、</w:t>
      </w:r>
      <w:r w:rsidRPr="000A5B5D">
        <w:rPr>
          <w:rFonts w:ascii="Arial" w:hAnsi="Arial" w:cs="Arial"/>
          <w:sz w:val="24"/>
          <w:szCs w:val="24"/>
        </w:rPr>
        <w:t>9“</w:t>
      </w:r>
      <w:r w:rsidRPr="000A5B5D">
        <w:rPr>
          <w:rFonts w:ascii="Arial" w:hAnsi="Arial" w:cs="Arial" w:hint="eastAsia"/>
          <w:sz w:val="24"/>
          <w:szCs w:val="24"/>
        </w:rPr>
        <w:t>金融工具</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共同控制，是指本公司按照相关约定对某项安排所共有的控制，并且该安排的相关活动必须经过分享控制权的参与方一致同意后才能决策。重大影响，是指本公司对被投资单位的财务和经营政策有参与决策的权力，但并不能够控制或者与其他方一起共同控制这些政策的制定。</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投资成本的确定</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对于同一控制下的企业合并取得的长期股权投资，在合并日按照被合并方所有者权益在最终控制方合并财务报表中的账面价值的份额作为长期股权投资的初始投资成本。长期股权投资初始投资成本与支付的现金、转让的非现金资产以及所承担债务账面价值之间的差额，调整资本公积；资本公积不足冲减的，调整留存收益。以发行权益性证券作为合并对价的，在合并日按照被合并方所有者权益在最终控制方合并财务报表中的账面价值的份额作为长期股权投资的初始投资成本，按照发行股份的面值总额作为股本，长期股权投资初始投资成本与所发行股份面值总额之间的差额，调整资本公积；资本公积不足冲减的，调整留存收益。通过多次交易分步取得同一控制下被合并方的股权，最终形成同一控制下企业合并的，应分别是否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进行处理：属于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的，将各项交易作为一项取得控制权的交易进行会计处理。不属于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在合并日按照应享有被合并方所有者权益在最终控制方合并财务报表中的账面价值的份额作为长期股权投资的初始投资成本，长期股权投资初始投资成本与达到合并前的长期股权投资账面价值加上合并日进一步取得股份新支付对价的账面价值之和的差额，调整资本公积；资本公积不足冲减的，调整留存收益。合并日</w:t>
      </w:r>
      <w:r w:rsidRPr="000A5B5D">
        <w:rPr>
          <w:rFonts w:ascii="Arial" w:hAnsi="Arial" w:cs="Arial" w:hint="eastAsia"/>
          <w:sz w:val="24"/>
          <w:szCs w:val="24"/>
        </w:rPr>
        <w:lastRenderedPageBreak/>
        <w:t>之前持有的股权投资因采用权益法核算或为可供出售金融资产而确认的其他综合收益，暂不进行会计处理。</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对于非同一控制下的企业合并取得的长期股权投资，在购买日按照合并成本作为长期股权投资的初始投资成本，合并成本包括购买方付出的资产、发生或承担的负债、发行的权益性证券的公允价值之和。通过多次交易分步取得被购买方的股权，最终形成非同一控制下的企业合并的，应分别是否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进行处理：属于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的，将各项交易作为一项取得控制权的交易进行会计处理。不属于</w:t>
      </w:r>
      <w:r w:rsidRPr="000A5B5D">
        <w:rPr>
          <w:rFonts w:ascii="Arial" w:hAnsi="Arial" w:cs="Arial"/>
          <w:sz w:val="24"/>
          <w:szCs w:val="24"/>
        </w:rPr>
        <w:t>“</w:t>
      </w:r>
      <w:r w:rsidRPr="000A5B5D">
        <w:rPr>
          <w:rFonts w:ascii="Arial" w:hAnsi="Arial" w:cs="Arial" w:hint="eastAsia"/>
          <w:sz w:val="24"/>
          <w:szCs w:val="24"/>
        </w:rPr>
        <w:t>一揽子交易</w:t>
      </w:r>
      <w:r w:rsidRPr="000A5B5D">
        <w:rPr>
          <w:rFonts w:ascii="Arial" w:hAnsi="Arial" w:cs="Arial"/>
          <w:sz w:val="24"/>
          <w:szCs w:val="24"/>
        </w:rPr>
        <w:t>”</w:t>
      </w:r>
      <w:r w:rsidRPr="000A5B5D">
        <w:rPr>
          <w:rFonts w:ascii="Arial" w:hAnsi="Arial" w:cs="Arial" w:hint="eastAsia"/>
          <w:sz w:val="24"/>
          <w:szCs w:val="24"/>
        </w:rPr>
        <w:t>的，按照原持有被购买方的股权投资账面价值加上新增投资成本之和，作为改按成本法核算的长期股权投资的初始投资成本。原持有的股权采用权益法核算的，相关其他综合收益暂不进行会计处理。原持有股权投资为可供出售金融资产的，其公允价值与账面价值之间的差额，以及原计入其他综合收益的累计公允价值变动转入当期损益。</w:t>
      </w:r>
    </w:p>
    <w:p w:rsidR="00851B9D" w:rsidRPr="000A5B5D" w:rsidRDefault="00851B9D" w:rsidP="00851B9D">
      <w:pPr>
        <w:widowControl/>
        <w:spacing w:line="400" w:lineRule="exact"/>
        <w:ind w:firstLineChars="200" w:firstLine="480"/>
        <w:jc w:val="left"/>
        <w:rPr>
          <w:rFonts w:ascii="Arial" w:hAnsi="Arial" w:cs="Arial"/>
          <w:kern w:val="0"/>
          <w:sz w:val="24"/>
        </w:rPr>
      </w:pPr>
      <w:r w:rsidRPr="000A5B5D">
        <w:rPr>
          <w:rFonts w:ascii="Arial" w:hAnsi="Arial" w:cs="Arial" w:hint="eastAsia"/>
          <w:sz w:val="24"/>
          <w:szCs w:val="24"/>
        </w:rPr>
        <w:t>合并方或购买方为企业合并发生的审计、法律服务、评估咨询等中介费用以及其他相关管理费用，于发生时计入当期损益。</w:t>
      </w:r>
    </w:p>
    <w:p w:rsidR="00851B9D" w:rsidRPr="000A5B5D" w:rsidRDefault="00851B9D" w:rsidP="00851B9D">
      <w:pPr>
        <w:snapToGrid w:val="0"/>
        <w:spacing w:line="400" w:lineRule="exact"/>
        <w:ind w:firstLineChars="200" w:firstLine="480"/>
        <w:rPr>
          <w:rFonts w:ascii="Arial" w:hAnsi="Arial" w:cs="Arial"/>
          <w:sz w:val="24"/>
          <w:szCs w:val="24"/>
        </w:rPr>
      </w:pPr>
      <w:r w:rsidRPr="000A5B5D">
        <w:rPr>
          <w:rFonts w:ascii="Arial" w:hAnsi="Arial" w:cs="Arial" w:hint="eastAsia"/>
          <w:sz w:val="24"/>
          <w:szCs w:val="24"/>
        </w:rPr>
        <w:t>除企业合并形成的长期股权投资外的其他股权投资，按成本进行初始计量，该成本视长期股权投资取得方式的不同，分别按照本公司实际支付的现金购买价款、本公司发行的权益性证券的公允价值、投资合同或协议约定的价值、非货币性资产交换交易中换出资产的公允价值或原账面价值、该项长期股权投资自身的公允价值等方式确定。与取得长期股权投资直接相关的费用、税金及其他必要支出也计入投资成本。对于因追加投资能够对被投资单位实施重大影响或实施共同控制但不构成控制的，长期股权投资成本为按照《企业会计准则第</w:t>
      </w:r>
      <w:r w:rsidRPr="000A5B5D">
        <w:rPr>
          <w:rFonts w:ascii="Arial" w:hAnsi="Arial" w:cs="Arial"/>
          <w:sz w:val="24"/>
          <w:szCs w:val="24"/>
        </w:rPr>
        <w:t>22</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金融工具确认和计量》确定的原持有股权投资的公允价值加上新增投资成本之和。</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后续计量及损益确认方法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对被投资单位具有共同控制（构成共同经营者除外）或重大影响的长期股权投资，采用权益法核算。此外，公司财务报表采用成本法核算能够对被投资单位实施控制的长期股权投资。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成本法核算的长期股权投资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采用成本法核算时，长期股权投资按初始投资成本计价，追加或收回投资调整长期股权投资的成本。除取得投资时实际支付的价款或者对价中包含的已宣告但尚未发放的现金股利或者利润外，当期投资收益按照享有被投资单位宣告发放的现金股利或利润确认。</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权益法核算的长期股权投资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采用权益法核算时，长期股权投资的初始投资成本大于投资时应享有被投资单位可辨认净资产公允价值份额的，不调整长期股权投资的初始投资成本；初始投资成本小于投资时应享有被投资单位可辨认净资产公允价值份额的，其差额计入当期损益，同时调整长期股权投资的成本。</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采用权益法核算时，按照应享有或应分担的被投资单位实现的净损益和其他综合收益的份额，分别确认投资收益和其他综合收益，同时调整长期股权投资的账面价值；按照被投资单位宣告分派的利润或现金股利计算应享有的部分，相应减少长期股权投资的账面价值；对于被投资单位除净损益、其他综合收益和利润分配以外所有者权益的其他变动，调整长期股权投资的账面价值并计入资本公积。在确认应享有被投资单位净损益的份额时，以取得投资时被投资单位各项可辨认资产等的公允价值为基础，对被投资单位的净利润进行调整后确认。被投资单位采用的会计政策及会计期间与本公司不一致的，按照本公司的会计政策及会计期间对被投资单位的财务报表进行调整，并据以确认投资收益和其他综合收益。对于本公司与联营企业及合营企业之间发生的交易，投出或出售的资产不构成业务的，未实现内部交易损益按照享有的比例计算归属于本公司的部分予以抵销，在此基础上确认投资损益。但本公司与被投资单位发生的未实现内部交易损失，属于所转让资产减值损失的，不予以抵销。本公司向合营企业或联营企业投出的资产构成业务的，投资方因此取得长期股权投资但未取得控制权的，以投出业务的公允价值作为新增长期股权投资的初始投资成本，初始投资成本与投出业务的账面价值之差，全额计入当期损益。本公司向合营企业或联营企业出售的资产构成业务的，取得的对价与业务的账面价值之差，全额计入当期损益。本公司自联营企业及合营企业购入的资产构成业务的，按《企业会计准则第</w:t>
      </w:r>
      <w:r w:rsidRPr="000A5B5D">
        <w:rPr>
          <w:rFonts w:ascii="Arial" w:hAnsi="Arial" w:cs="Arial"/>
          <w:sz w:val="24"/>
          <w:szCs w:val="24"/>
        </w:rPr>
        <w:t>20</w:t>
      </w:r>
      <w:r w:rsidRPr="000A5B5D">
        <w:rPr>
          <w:rFonts w:ascii="Arial" w:hAnsi="Arial" w:cs="Arial" w:hint="eastAsia"/>
          <w:sz w:val="24"/>
          <w:szCs w:val="24"/>
        </w:rPr>
        <w:t>号</w:t>
      </w:r>
      <w:r w:rsidRPr="000A5B5D">
        <w:rPr>
          <w:rFonts w:ascii="Arial" w:hAnsi="Arial" w:cs="Arial"/>
          <w:sz w:val="24"/>
          <w:szCs w:val="24"/>
        </w:rPr>
        <w:t>——</w:t>
      </w:r>
      <w:r w:rsidRPr="000A5B5D">
        <w:rPr>
          <w:rFonts w:ascii="Arial" w:hAnsi="Arial" w:cs="Arial" w:hint="eastAsia"/>
          <w:sz w:val="24"/>
          <w:szCs w:val="24"/>
        </w:rPr>
        <w:t>企业合并》的规定进行会计处理，全额确认与交易相关的利得或损失。</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确认应分担被投资单位发生的净亏损时，以长期股权投资的账面价值和其他实质上构成对被投资单位净投资的长期权益减记至零为限。此外，如本公司对被投资单位负有承担额外损失的义务，则按预计承担的义务确认预计负债，计入当期投资损失。被投资单位以后期间实现净利润的，本公司在收益分享额弥补未确认的亏损分担额后，恢复确认收益分享额。</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对于首次执行新会计准则之前已经持有的对联营企业和合营企业的长期股权投资，如存在与该投资相关的股权投资借方差额，按原剩余期限直线摊销的金额计入当期损益。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③</w:t>
      </w:r>
      <w:r w:rsidRPr="000A5B5D">
        <w:rPr>
          <w:rFonts w:ascii="Arial" w:hAnsi="Arial" w:cs="Arial"/>
          <w:sz w:val="24"/>
        </w:rPr>
        <w:t xml:space="preserve"> </w:t>
      </w:r>
      <w:r w:rsidRPr="000A5B5D">
        <w:rPr>
          <w:rFonts w:ascii="Arial" w:hAnsi="Arial" w:cs="Arial" w:hint="eastAsia"/>
          <w:sz w:val="24"/>
          <w:szCs w:val="24"/>
        </w:rPr>
        <w:t>收购少数股权</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编制合并财务报表时，因购买少数股权新增的长期股权投资与按照新增持股比例计算应享有子公司自购买日（或合并日）开始持续计算的净资产份额之间的差额，调整资本公积，资本公积不足冲减的，调整留存收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④</w:t>
      </w:r>
      <w:r w:rsidRPr="000A5B5D">
        <w:rPr>
          <w:rFonts w:ascii="Arial" w:hAnsi="Arial" w:cs="Arial"/>
          <w:sz w:val="24"/>
        </w:rPr>
        <w:t xml:space="preserve"> </w:t>
      </w:r>
      <w:r w:rsidRPr="000A5B5D">
        <w:rPr>
          <w:rFonts w:ascii="Arial" w:hAnsi="Arial" w:cs="Arial" w:hint="eastAsia"/>
          <w:sz w:val="24"/>
          <w:szCs w:val="24"/>
        </w:rPr>
        <w:t>处置长期股权投资</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合并财务报表中，母公司在不丧失控制权的情况下部分处置对子公司的长期股权投资，处置价款与处置长期股权投资相对应享有子公司净资产的差额计入股东权益；母公司部分处置对子公司的长期股权投资导致丧失对子公司控制权的，按本附注四、</w:t>
      </w:r>
      <w:r w:rsidRPr="000A5B5D">
        <w:rPr>
          <w:rFonts w:ascii="Arial" w:hAnsi="Arial" w:cs="Arial"/>
          <w:sz w:val="24"/>
          <w:szCs w:val="24"/>
        </w:rPr>
        <w:t>5</w:t>
      </w: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w:t>
      </w:r>
      <w:r w:rsidRPr="000A5B5D">
        <w:rPr>
          <w:rFonts w:ascii="Arial" w:hAnsi="Arial" w:cs="Arial"/>
          <w:sz w:val="24"/>
          <w:szCs w:val="24"/>
        </w:rPr>
        <w:t>“</w:t>
      </w:r>
      <w:r w:rsidRPr="000A5B5D">
        <w:rPr>
          <w:rFonts w:ascii="Arial" w:hAnsi="Arial" w:cs="Arial" w:hint="eastAsia"/>
          <w:sz w:val="24"/>
          <w:szCs w:val="24"/>
        </w:rPr>
        <w:t>合并财务报表编制的方法</w:t>
      </w:r>
      <w:r w:rsidRPr="000A5B5D">
        <w:rPr>
          <w:rFonts w:ascii="Arial" w:hAnsi="Arial" w:cs="Arial"/>
          <w:sz w:val="24"/>
          <w:szCs w:val="24"/>
        </w:rPr>
        <w:t>”</w:t>
      </w:r>
      <w:r w:rsidRPr="000A5B5D">
        <w:rPr>
          <w:rFonts w:ascii="Arial" w:hAnsi="Arial" w:cs="Arial" w:hint="eastAsia"/>
          <w:sz w:val="24"/>
          <w:szCs w:val="24"/>
        </w:rPr>
        <w:t>中所述的相关会计政策处理。</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其他情形下的长期股权投资处置，对于处置的股权，其账面价值与实际取得价款的差额，计入当期损益。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采用权益法核算的长期股权投资，处置后的剩余股权仍采用权益法核算的，在处置时将原计入股东权益的其他综合收益部分按相应的比例采用与被投资单位直接处置相关资产或负债相同的基础进行会计处理。因被投资方除净损益、其他综合收益和利润分配以外的其他所有者权益变动而确认的所有者权益，按比例结转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采用成本法核算的长期股权投资，处置后剩余股权仍采用成本法核算的，其在取得对被投资单位的控制之前因采用权益法核算或金融工具确认和计量准则核算而确认的其他综合收益，采用与被投资单位直接处置相关资产或负债相同的基础进行会计处理，并按比例结转当期损益；因采用权益法核算而确认的被投资单位净资产中除净损益、其他综合收益和利润分配以外的其他所有者权益变动按比例结转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因处置部分股权投资丧失了对被投资单位的控制的，在编制个别财务报表时，处置后的剩余股权能够对被投资单位实施共同控制或施加重大影响的，改按权益法核算，并对该剩余股权视同自取得时即采用权益法核算进行调整；处置后的剩余股权不能对被投资单位实施共同控制或施加重大影响的，改按金融工具确认和计量准则的有关规定进行会计处理，其在丧失控制之日的公允价值与账面价值之间的差额计入当期损益。对于本公司取得对被投资单位的控制之前，因采用权益法核算或金融工具确认和计量准则核算而确认的其他综合收益，在丧失对被投资单位控制时采用与被投资单位直接处置相关资产或负债相同的基础进行会计处理，因采用权益法核算而确认的被投资单位净资产中除净损益、其他综合收益和利润分配以外的其他所有者权益变动在丧失对被投资单位控制时结转入当期损益。其中，处置后的剩余股权采用权益法核算的，其他综合收益和其他所有者权益按比例结转；处置后的剩余股权改按金融工具确认和计量准则进行会计处理的，其他综合收益和其他所有者权益全部结转。</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因处置部分股权投资丧失了对被投资单位的共同控制或重大影响的，处置后的剩余股权改按金融工具确认和计量准则核算，其在丧失共同控制或重大影响之日的公允价值与账面价值之间的差额计入当期损益。原股权投资因采用权益法核算而确认的其他综合收益，在终止采用权益法核算时采用与被投资单位直接处置相关资产或负债相同的基础进行会计处理，因被投资方除净损益、其他综合收益和利润分配以外的其他所有者权益变动而确认的所有者权益，在终止采用权益法时全部转入当期投资收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通过多次交易分步处置对子公司股权投资直至丧失控制权，如果上述交易属于一揽子交易的，将各项交易作为一项处置子公司股权投资并丧失控制权的交易进行会计处理，在丧失控制权之前每一次处置价款与所处置的股权对应的长期股权投资账面价值之间的差额，先确认为其他综合收益，到丧失控制权时再一并转入丧失控制权的当期损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14</w:t>
      </w:r>
      <w:r w:rsidRPr="000A5B5D">
        <w:rPr>
          <w:rFonts w:ascii="Arial" w:hAnsi="Arial" w:cs="Arial" w:hint="eastAsia"/>
          <w:b/>
          <w:sz w:val="24"/>
        </w:rPr>
        <w:t>、投资性房地产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投资性房地产是指为赚取租金或资本增值，或两者兼有而持有的房地产。包括已出租的土地使用权、持有并准备增值后转让的土地使用权、已出租的建筑物等。</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投资性房地产按成本进行初始计量。与投资性房地产有关的后续支出，如果与该资产有关的经济利益很可能流入且其成本能可靠地计量，则计入投资性房地产成本。其他后续支出，在发生时计入当期损益。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本公司采用成本模式对投资性房地产进行后续计量，并按照与房屋建筑物或土地使用权一致的政策进行折旧或摊销。</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投资性房地产的减值测试方法和减值准备计提方法详见附注四、</w:t>
      </w:r>
      <w:r w:rsidRPr="000A5B5D">
        <w:rPr>
          <w:rFonts w:ascii="Arial" w:hAnsi="Arial" w:cs="Arial"/>
          <w:sz w:val="24"/>
          <w:szCs w:val="24"/>
        </w:rPr>
        <w:t>20“</w:t>
      </w:r>
      <w:r w:rsidRPr="000A5B5D">
        <w:rPr>
          <w:rFonts w:ascii="Arial" w:hAnsi="Arial" w:cs="Arial" w:hint="eastAsia"/>
          <w:sz w:val="24"/>
          <w:szCs w:val="24"/>
        </w:rPr>
        <w:t>长期资产减值</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自用房地产或存货转换为投资性房地产或投资性房地产转换为自用房地产时，按转换前的账面价值作为转换后的入账价值。</w:t>
      </w:r>
    </w:p>
    <w:p w:rsidR="00851B9D" w:rsidRPr="000A5B5D" w:rsidRDefault="00851B9D" w:rsidP="00851B9D">
      <w:pPr>
        <w:overflowPunct w:val="0"/>
        <w:spacing w:line="400" w:lineRule="exact"/>
        <w:ind w:firstLineChars="200" w:firstLine="480"/>
        <w:rPr>
          <w:rFonts w:ascii="Arial" w:hAnsi="Arial" w:cs="Arial"/>
          <w:sz w:val="24"/>
        </w:rPr>
      </w:pPr>
      <w:r w:rsidRPr="000A5B5D">
        <w:rPr>
          <w:rFonts w:ascii="Arial" w:hAnsi="Arial" w:cs="Arial" w:hint="eastAsia"/>
          <w:sz w:val="24"/>
        </w:rPr>
        <w:t>投资性房地产的用途改变为自用时，自改变之日起，将该投资性房地产转换为固定资产或无形资产。自用房地产的用途改变为赚取租金或资本增值时，自改变之日起，将固定资产或无形资产转换为投资性房地产。发生转换时，转换为采用成本模式计量的投资性房地产的，以转换前的账面价值作为转换后的入账价值。</w:t>
      </w:r>
      <w:r w:rsidRPr="000A5B5D">
        <w:rPr>
          <w:rFonts w:ascii="Arial" w:hAnsi="Arial" w:cs="Arial"/>
          <w:sz w:val="24"/>
        </w:rPr>
        <w:t xml:space="preserve"> </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当投资性房地产被处置、或者永久退出使用且预计不能从其处置中取得经济利益时，终止确认该项投资性房地产。投资性房地产出售、转让、报废或毁损的处置收入扣除其账面价值和相关税费后计入当期损益。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15</w:t>
      </w:r>
      <w:r w:rsidRPr="000A5B5D">
        <w:rPr>
          <w:rFonts w:ascii="Arial" w:hAnsi="Arial" w:cs="Arial" w:hint="eastAsia"/>
          <w:b/>
          <w:sz w:val="24"/>
        </w:rPr>
        <w:t>、固定资产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固定资产确认条件</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固定资产是指为生产商品、提供劳务、出租或经营管理而持有的，使用寿命超过一个会计年度的有形资产。固定资产仅在与其有关的经济利益很可能流入本公司，且其成本能够可靠地计量时才予以确认。固定资产按成本并考虑预计弃置费用因素的影响进行初始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各类固定资产的折旧方法</w:t>
      </w:r>
    </w:p>
    <w:p w:rsidR="00851B9D" w:rsidRPr="000A5B5D" w:rsidRDefault="00851B9D" w:rsidP="00851B9D">
      <w:pPr>
        <w:spacing w:line="400" w:lineRule="exact"/>
        <w:ind w:firstLineChars="200" w:firstLine="480"/>
        <w:jc w:val="left"/>
        <w:rPr>
          <w:rFonts w:ascii="Arial" w:hAnsi="Arial" w:cs="Arial"/>
          <w:szCs w:val="21"/>
        </w:rPr>
      </w:pPr>
      <w:r w:rsidRPr="000A5B5D">
        <w:rPr>
          <w:rFonts w:ascii="Arial" w:hAnsi="Arial" w:cs="Arial" w:hint="eastAsia"/>
          <w:sz w:val="24"/>
          <w:szCs w:val="24"/>
        </w:rPr>
        <w:t>本公司固定资产从达到预定可使用状态的次月起，采用年限平均法在使用寿命内计提折旧。各类固定资产的使用寿命、预计净残值和年折旧率如下：</w:t>
      </w:r>
    </w:p>
    <w:tbl>
      <w:tblPr>
        <w:tblW w:w="9074"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297"/>
        <w:gridCol w:w="2094"/>
        <w:gridCol w:w="1964"/>
        <w:gridCol w:w="1719"/>
      </w:tblGrid>
      <w:tr w:rsidR="00851B9D" w:rsidRPr="000A5B5D" w:rsidTr="00851B9D">
        <w:tc>
          <w:tcPr>
            <w:tcW w:w="3297" w:type="dxa"/>
            <w:tcBorders>
              <w:top w:val="single" w:sz="12" w:space="0" w:color="auto"/>
            </w:tcBorders>
            <w:vAlign w:val="center"/>
          </w:tcPr>
          <w:p w:rsidR="00851B9D" w:rsidRPr="000A5B5D" w:rsidRDefault="00851B9D" w:rsidP="00851B9D">
            <w:pPr>
              <w:spacing w:line="400" w:lineRule="exact"/>
              <w:jc w:val="center"/>
              <w:rPr>
                <w:rFonts w:ascii="Arial" w:hAnsi="Arial" w:cs="Arial"/>
                <w:szCs w:val="21"/>
              </w:rPr>
            </w:pPr>
            <w:r w:rsidRPr="000A5B5D">
              <w:rPr>
                <w:rFonts w:ascii="Arial" w:hAnsi="Arial" w:cs="Arial" w:hint="eastAsia"/>
                <w:szCs w:val="21"/>
              </w:rPr>
              <w:t>类别</w:t>
            </w:r>
          </w:p>
        </w:tc>
        <w:tc>
          <w:tcPr>
            <w:tcW w:w="2094" w:type="dxa"/>
            <w:tcBorders>
              <w:top w:val="single" w:sz="12" w:space="0" w:color="auto"/>
            </w:tcBorders>
            <w:vAlign w:val="center"/>
          </w:tcPr>
          <w:p w:rsidR="00851B9D" w:rsidRPr="000A5B5D" w:rsidRDefault="00851B9D" w:rsidP="00851B9D">
            <w:pPr>
              <w:spacing w:line="400" w:lineRule="exact"/>
              <w:jc w:val="center"/>
              <w:rPr>
                <w:rFonts w:ascii="Arial" w:hAnsi="Arial" w:cs="Arial"/>
                <w:szCs w:val="21"/>
              </w:rPr>
            </w:pPr>
            <w:r w:rsidRPr="000A5B5D">
              <w:rPr>
                <w:rFonts w:ascii="Arial" w:hAnsi="Arial" w:cs="Arial" w:hint="eastAsia"/>
                <w:szCs w:val="21"/>
              </w:rPr>
              <w:t>折旧年限（年）</w:t>
            </w:r>
          </w:p>
        </w:tc>
        <w:tc>
          <w:tcPr>
            <w:tcW w:w="1964" w:type="dxa"/>
            <w:tcBorders>
              <w:top w:val="single" w:sz="12" w:space="0" w:color="auto"/>
            </w:tcBorders>
            <w:vAlign w:val="center"/>
          </w:tcPr>
          <w:p w:rsidR="00851B9D" w:rsidRPr="000A5B5D" w:rsidRDefault="00851B9D" w:rsidP="00851B9D">
            <w:pPr>
              <w:spacing w:line="400" w:lineRule="exact"/>
              <w:jc w:val="center"/>
              <w:rPr>
                <w:rFonts w:ascii="Arial" w:hAnsi="Arial" w:cs="Arial"/>
                <w:szCs w:val="21"/>
              </w:rPr>
            </w:pPr>
            <w:r w:rsidRPr="000A5B5D">
              <w:rPr>
                <w:rFonts w:ascii="Arial" w:hAnsi="Arial" w:cs="Arial" w:hint="eastAsia"/>
                <w:szCs w:val="21"/>
              </w:rPr>
              <w:t>残值率</w:t>
            </w:r>
            <w:r w:rsidRPr="000A5B5D">
              <w:rPr>
                <w:rFonts w:ascii="Arial" w:hAnsi="Arial" w:cs="Arial"/>
                <w:szCs w:val="21"/>
              </w:rPr>
              <w:t>(%)</w:t>
            </w:r>
          </w:p>
        </w:tc>
        <w:tc>
          <w:tcPr>
            <w:tcW w:w="1719" w:type="dxa"/>
            <w:tcBorders>
              <w:top w:val="single" w:sz="12" w:space="0" w:color="auto"/>
            </w:tcBorders>
            <w:vAlign w:val="center"/>
          </w:tcPr>
          <w:p w:rsidR="00851B9D" w:rsidRPr="000A5B5D" w:rsidRDefault="00851B9D" w:rsidP="00851B9D">
            <w:pPr>
              <w:spacing w:line="400" w:lineRule="exact"/>
              <w:jc w:val="center"/>
              <w:rPr>
                <w:rFonts w:ascii="Arial" w:hAnsi="Arial" w:cs="Arial"/>
                <w:szCs w:val="21"/>
              </w:rPr>
            </w:pPr>
            <w:r w:rsidRPr="000A5B5D">
              <w:rPr>
                <w:rFonts w:ascii="Arial" w:hAnsi="Arial" w:cs="Arial" w:hint="eastAsia"/>
                <w:szCs w:val="21"/>
              </w:rPr>
              <w:t>年折旧率</w:t>
            </w:r>
            <w:r w:rsidRPr="000A5B5D">
              <w:rPr>
                <w:rFonts w:ascii="Arial" w:hAnsi="Arial" w:cs="Arial"/>
                <w:szCs w:val="21"/>
              </w:rPr>
              <w:t>(%)</w:t>
            </w:r>
          </w:p>
        </w:tc>
      </w:tr>
      <w:tr w:rsidR="00851B9D" w:rsidRPr="000A5B5D" w:rsidTr="00851B9D">
        <w:tc>
          <w:tcPr>
            <w:tcW w:w="3297" w:type="dxa"/>
            <w:vAlign w:val="center"/>
          </w:tcPr>
          <w:p w:rsidR="00851B9D" w:rsidRPr="000A5B5D" w:rsidRDefault="00851B9D" w:rsidP="00851B9D">
            <w:pPr>
              <w:spacing w:line="400" w:lineRule="exact"/>
              <w:jc w:val="left"/>
              <w:rPr>
                <w:rFonts w:ascii="Arial" w:hAnsi="Arial" w:cs="Arial"/>
                <w:szCs w:val="21"/>
              </w:rPr>
            </w:pPr>
            <w:r w:rsidRPr="000A5B5D">
              <w:rPr>
                <w:rFonts w:ascii="Arial" w:hAnsi="Arial" w:cs="Arial" w:hint="eastAsia"/>
                <w:szCs w:val="21"/>
              </w:rPr>
              <w:t>房屋、建筑物</w:t>
            </w:r>
          </w:p>
        </w:tc>
        <w:tc>
          <w:tcPr>
            <w:tcW w:w="2094" w:type="dxa"/>
            <w:vAlign w:val="center"/>
          </w:tcPr>
          <w:p w:rsidR="00851B9D" w:rsidRPr="000A5B5D" w:rsidRDefault="00851B9D" w:rsidP="00851B9D">
            <w:pPr>
              <w:spacing w:line="400" w:lineRule="exact"/>
              <w:jc w:val="right"/>
              <w:rPr>
                <w:rFonts w:ascii="Arial" w:hAnsi="Arial" w:cs="Arial"/>
                <w:szCs w:val="21"/>
              </w:rPr>
            </w:pPr>
            <w:r w:rsidRPr="000A5B5D">
              <w:rPr>
                <w:rFonts w:ascii="Arial" w:hAnsi="Arial" w:cs="Arial"/>
                <w:szCs w:val="21"/>
              </w:rPr>
              <w:t>20</w:t>
            </w:r>
            <w:r w:rsidRPr="000A5B5D">
              <w:rPr>
                <w:rFonts w:ascii="Arial" w:hAnsi="Arial" w:cs="Arial" w:hint="eastAsia"/>
                <w:szCs w:val="21"/>
              </w:rPr>
              <w:t>年</w:t>
            </w:r>
            <w:r w:rsidRPr="000A5B5D">
              <w:rPr>
                <w:rFonts w:ascii="Arial" w:hAnsi="Arial" w:cs="Arial"/>
                <w:szCs w:val="21"/>
              </w:rPr>
              <w:t>,30</w:t>
            </w:r>
            <w:r w:rsidRPr="000A5B5D">
              <w:rPr>
                <w:rFonts w:ascii="Arial" w:hAnsi="Arial" w:cs="Arial" w:hint="eastAsia"/>
                <w:szCs w:val="21"/>
              </w:rPr>
              <w:t>年</w:t>
            </w:r>
          </w:p>
        </w:tc>
        <w:tc>
          <w:tcPr>
            <w:tcW w:w="1964"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5.00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10.00</w:t>
            </w:r>
          </w:p>
        </w:tc>
        <w:tc>
          <w:tcPr>
            <w:tcW w:w="1719"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4.75</w:t>
            </w:r>
            <w:r w:rsidRPr="000A5B5D">
              <w:rPr>
                <w:rFonts w:ascii="Arial" w:hAnsi="Arial" w:cs="Arial" w:hint="eastAsia"/>
                <w:szCs w:val="21"/>
              </w:rPr>
              <w:t>，</w:t>
            </w:r>
            <w:r w:rsidRPr="000A5B5D">
              <w:rPr>
                <w:rFonts w:ascii="Arial" w:hAnsi="Arial" w:cs="Arial"/>
                <w:szCs w:val="21"/>
              </w:rPr>
              <w:t>3.17</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4.50</w:t>
            </w:r>
            <w:r w:rsidRPr="000A5B5D">
              <w:rPr>
                <w:rFonts w:ascii="Arial" w:hAnsi="Arial" w:cs="Arial" w:hint="eastAsia"/>
                <w:szCs w:val="21"/>
              </w:rPr>
              <w:t>，</w:t>
            </w:r>
            <w:r w:rsidRPr="000A5B5D">
              <w:rPr>
                <w:rFonts w:ascii="Arial" w:hAnsi="Arial" w:cs="Arial"/>
                <w:szCs w:val="21"/>
              </w:rPr>
              <w:t>3.00</w:t>
            </w:r>
          </w:p>
        </w:tc>
      </w:tr>
      <w:tr w:rsidR="00851B9D" w:rsidRPr="000A5B5D" w:rsidTr="00851B9D">
        <w:tc>
          <w:tcPr>
            <w:tcW w:w="3297" w:type="dxa"/>
            <w:vAlign w:val="center"/>
          </w:tcPr>
          <w:p w:rsidR="00851B9D" w:rsidRPr="000A5B5D" w:rsidRDefault="00851B9D" w:rsidP="00851B9D">
            <w:pPr>
              <w:spacing w:line="400" w:lineRule="exact"/>
              <w:jc w:val="left"/>
              <w:rPr>
                <w:rFonts w:ascii="Arial" w:hAnsi="Arial" w:cs="Arial"/>
                <w:szCs w:val="21"/>
              </w:rPr>
            </w:pPr>
            <w:r w:rsidRPr="000A5B5D">
              <w:rPr>
                <w:rFonts w:ascii="Arial" w:hAnsi="Arial" w:cs="Arial" w:hint="eastAsia"/>
                <w:szCs w:val="21"/>
              </w:rPr>
              <w:t>构筑物</w:t>
            </w:r>
          </w:p>
        </w:tc>
        <w:tc>
          <w:tcPr>
            <w:tcW w:w="2094" w:type="dxa"/>
            <w:vAlign w:val="center"/>
          </w:tcPr>
          <w:p w:rsidR="00851B9D" w:rsidRPr="000A5B5D" w:rsidRDefault="00851B9D" w:rsidP="00851B9D">
            <w:pPr>
              <w:spacing w:line="400" w:lineRule="exact"/>
              <w:jc w:val="right"/>
              <w:rPr>
                <w:rFonts w:ascii="Arial" w:hAnsi="Arial" w:cs="Arial"/>
                <w:szCs w:val="21"/>
              </w:rPr>
            </w:pPr>
            <w:r w:rsidRPr="000A5B5D">
              <w:rPr>
                <w:rFonts w:ascii="Arial" w:hAnsi="Arial" w:cs="Arial"/>
                <w:szCs w:val="21"/>
              </w:rPr>
              <w:t>10</w:t>
            </w:r>
            <w:r w:rsidRPr="000A5B5D">
              <w:rPr>
                <w:rFonts w:ascii="Arial" w:hAnsi="Arial" w:cs="Arial" w:hint="eastAsia"/>
                <w:szCs w:val="21"/>
              </w:rPr>
              <w:t>年</w:t>
            </w:r>
            <w:r w:rsidRPr="000A5B5D">
              <w:rPr>
                <w:rFonts w:ascii="Arial" w:hAnsi="Arial" w:cs="Arial"/>
                <w:szCs w:val="21"/>
              </w:rPr>
              <w:t>,20</w:t>
            </w:r>
            <w:r w:rsidRPr="000A5B5D">
              <w:rPr>
                <w:rFonts w:ascii="Arial" w:hAnsi="Arial" w:cs="Arial" w:hint="eastAsia"/>
                <w:szCs w:val="21"/>
              </w:rPr>
              <w:t>年</w:t>
            </w:r>
          </w:p>
        </w:tc>
        <w:tc>
          <w:tcPr>
            <w:tcW w:w="1964"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5.00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10.00</w:t>
            </w:r>
          </w:p>
        </w:tc>
        <w:tc>
          <w:tcPr>
            <w:tcW w:w="1719"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9.50</w:t>
            </w:r>
            <w:r w:rsidRPr="000A5B5D">
              <w:rPr>
                <w:rFonts w:ascii="Arial" w:hAnsi="Arial" w:cs="Arial" w:hint="eastAsia"/>
                <w:szCs w:val="21"/>
              </w:rPr>
              <w:t>，</w:t>
            </w:r>
            <w:r w:rsidRPr="000A5B5D">
              <w:rPr>
                <w:rFonts w:ascii="Arial" w:hAnsi="Arial" w:cs="Arial"/>
                <w:szCs w:val="21"/>
              </w:rPr>
              <w:t>4.75</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9.00</w:t>
            </w:r>
            <w:r w:rsidRPr="000A5B5D">
              <w:rPr>
                <w:rFonts w:ascii="Arial" w:hAnsi="Arial" w:cs="Arial" w:hint="eastAsia"/>
                <w:szCs w:val="21"/>
              </w:rPr>
              <w:t>，</w:t>
            </w:r>
            <w:r w:rsidRPr="000A5B5D">
              <w:rPr>
                <w:rFonts w:ascii="Arial" w:hAnsi="Arial" w:cs="Arial"/>
                <w:szCs w:val="21"/>
              </w:rPr>
              <w:t>4.50</w:t>
            </w:r>
          </w:p>
        </w:tc>
      </w:tr>
      <w:tr w:rsidR="00851B9D" w:rsidRPr="000A5B5D" w:rsidTr="00851B9D">
        <w:tc>
          <w:tcPr>
            <w:tcW w:w="3297" w:type="dxa"/>
            <w:vAlign w:val="center"/>
          </w:tcPr>
          <w:p w:rsidR="00851B9D" w:rsidRPr="000A5B5D" w:rsidRDefault="00851B9D" w:rsidP="00851B9D">
            <w:pPr>
              <w:spacing w:line="400" w:lineRule="exact"/>
              <w:jc w:val="left"/>
              <w:rPr>
                <w:rFonts w:ascii="Arial" w:hAnsi="Arial" w:cs="Arial"/>
                <w:szCs w:val="21"/>
              </w:rPr>
            </w:pPr>
            <w:r w:rsidRPr="000A5B5D">
              <w:rPr>
                <w:rFonts w:ascii="Arial" w:hAnsi="Arial" w:cs="Arial" w:hint="eastAsia"/>
                <w:szCs w:val="21"/>
              </w:rPr>
              <w:t>机器设备</w:t>
            </w:r>
          </w:p>
        </w:tc>
        <w:tc>
          <w:tcPr>
            <w:tcW w:w="2094" w:type="dxa"/>
            <w:vAlign w:val="center"/>
          </w:tcPr>
          <w:p w:rsidR="00851B9D" w:rsidRPr="000A5B5D" w:rsidRDefault="00851B9D" w:rsidP="00851B9D">
            <w:pPr>
              <w:spacing w:line="400" w:lineRule="exact"/>
              <w:jc w:val="right"/>
              <w:rPr>
                <w:rFonts w:ascii="Arial" w:hAnsi="Arial" w:cs="Arial"/>
                <w:szCs w:val="21"/>
              </w:rPr>
            </w:pPr>
            <w:r w:rsidRPr="000A5B5D">
              <w:rPr>
                <w:rFonts w:ascii="Arial" w:hAnsi="Arial" w:cs="Arial"/>
                <w:szCs w:val="21"/>
              </w:rPr>
              <w:t>12</w:t>
            </w:r>
            <w:r w:rsidRPr="000A5B5D">
              <w:rPr>
                <w:rFonts w:ascii="Arial" w:hAnsi="Arial" w:cs="Arial" w:hint="eastAsia"/>
                <w:szCs w:val="21"/>
              </w:rPr>
              <w:t>年</w:t>
            </w:r>
            <w:r w:rsidRPr="000A5B5D">
              <w:rPr>
                <w:rFonts w:ascii="Arial" w:hAnsi="Arial" w:cs="Arial"/>
                <w:szCs w:val="21"/>
              </w:rPr>
              <w:t>,15</w:t>
            </w:r>
            <w:r w:rsidRPr="000A5B5D">
              <w:rPr>
                <w:rFonts w:ascii="Arial" w:hAnsi="Arial" w:cs="Arial" w:hint="eastAsia"/>
                <w:szCs w:val="21"/>
              </w:rPr>
              <w:t>年</w:t>
            </w:r>
          </w:p>
        </w:tc>
        <w:tc>
          <w:tcPr>
            <w:tcW w:w="1964"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5.00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10.00</w:t>
            </w:r>
          </w:p>
        </w:tc>
        <w:tc>
          <w:tcPr>
            <w:tcW w:w="1719"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7.92</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7.50</w:t>
            </w:r>
            <w:r w:rsidRPr="000A5B5D">
              <w:rPr>
                <w:rFonts w:ascii="Arial" w:hAnsi="Arial" w:cs="Arial" w:hint="eastAsia"/>
                <w:szCs w:val="21"/>
              </w:rPr>
              <w:t>，</w:t>
            </w:r>
            <w:r w:rsidRPr="000A5B5D">
              <w:rPr>
                <w:rFonts w:ascii="Arial" w:hAnsi="Arial" w:cs="Arial"/>
                <w:szCs w:val="21"/>
              </w:rPr>
              <w:t>6.00</w:t>
            </w:r>
          </w:p>
        </w:tc>
      </w:tr>
      <w:tr w:rsidR="00851B9D" w:rsidRPr="000A5B5D" w:rsidTr="00851B9D">
        <w:tc>
          <w:tcPr>
            <w:tcW w:w="3297" w:type="dxa"/>
            <w:vAlign w:val="center"/>
          </w:tcPr>
          <w:p w:rsidR="00851B9D" w:rsidRPr="000A5B5D" w:rsidRDefault="00851B9D" w:rsidP="00851B9D">
            <w:pPr>
              <w:spacing w:line="400" w:lineRule="exact"/>
              <w:jc w:val="left"/>
              <w:rPr>
                <w:rFonts w:ascii="Arial" w:hAnsi="Arial" w:cs="Arial"/>
                <w:szCs w:val="21"/>
              </w:rPr>
            </w:pPr>
            <w:r w:rsidRPr="000A5B5D">
              <w:rPr>
                <w:rFonts w:ascii="Arial" w:hAnsi="Arial" w:cs="Arial" w:hint="eastAsia"/>
                <w:szCs w:val="21"/>
              </w:rPr>
              <w:t>运输设备</w:t>
            </w:r>
          </w:p>
        </w:tc>
        <w:tc>
          <w:tcPr>
            <w:tcW w:w="2094" w:type="dxa"/>
            <w:vAlign w:val="center"/>
          </w:tcPr>
          <w:p w:rsidR="00851B9D" w:rsidRPr="000A5B5D" w:rsidRDefault="00851B9D" w:rsidP="00851B9D">
            <w:pPr>
              <w:spacing w:line="400" w:lineRule="exact"/>
              <w:jc w:val="right"/>
              <w:rPr>
                <w:rFonts w:ascii="Arial" w:hAnsi="Arial" w:cs="Arial"/>
                <w:szCs w:val="21"/>
              </w:rPr>
            </w:pPr>
            <w:r w:rsidRPr="000A5B5D">
              <w:rPr>
                <w:rFonts w:ascii="Arial" w:hAnsi="Arial" w:cs="Arial"/>
                <w:szCs w:val="21"/>
              </w:rPr>
              <w:t>5</w:t>
            </w:r>
            <w:r w:rsidRPr="000A5B5D">
              <w:rPr>
                <w:rFonts w:ascii="Arial" w:hAnsi="Arial" w:cs="Arial" w:hint="eastAsia"/>
                <w:szCs w:val="21"/>
              </w:rPr>
              <w:t>年</w:t>
            </w:r>
          </w:p>
        </w:tc>
        <w:tc>
          <w:tcPr>
            <w:tcW w:w="1964"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5.00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10.00</w:t>
            </w:r>
          </w:p>
        </w:tc>
        <w:tc>
          <w:tcPr>
            <w:tcW w:w="1719" w:type="dxa"/>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19.00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18.00</w:t>
            </w:r>
          </w:p>
        </w:tc>
      </w:tr>
      <w:tr w:rsidR="00851B9D" w:rsidRPr="000A5B5D" w:rsidTr="00851B9D">
        <w:tc>
          <w:tcPr>
            <w:tcW w:w="3297" w:type="dxa"/>
            <w:tcBorders>
              <w:bottom w:val="single" w:sz="12" w:space="0" w:color="auto"/>
            </w:tcBorders>
            <w:vAlign w:val="center"/>
          </w:tcPr>
          <w:p w:rsidR="00851B9D" w:rsidRPr="000A5B5D" w:rsidRDefault="00851B9D" w:rsidP="00851B9D">
            <w:pPr>
              <w:spacing w:line="400" w:lineRule="exact"/>
              <w:jc w:val="left"/>
              <w:rPr>
                <w:rFonts w:ascii="Arial" w:hAnsi="Arial" w:cs="Arial"/>
                <w:szCs w:val="21"/>
              </w:rPr>
            </w:pPr>
            <w:r w:rsidRPr="000A5B5D">
              <w:rPr>
                <w:rFonts w:ascii="Arial" w:hAnsi="Arial" w:cs="Arial" w:hint="eastAsia"/>
                <w:szCs w:val="21"/>
              </w:rPr>
              <w:lastRenderedPageBreak/>
              <w:t>办公设备及其他</w:t>
            </w:r>
          </w:p>
        </w:tc>
        <w:tc>
          <w:tcPr>
            <w:tcW w:w="2094" w:type="dxa"/>
            <w:tcBorders>
              <w:bottom w:val="single" w:sz="12" w:space="0" w:color="auto"/>
            </w:tcBorders>
            <w:vAlign w:val="center"/>
          </w:tcPr>
          <w:p w:rsidR="00851B9D" w:rsidRPr="000A5B5D" w:rsidRDefault="00851B9D" w:rsidP="00851B9D">
            <w:pPr>
              <w:spacing w:line="400" w:lineRule="exact"/>
              <w:jc w:val="right"/>
              <w:rPr>
                <w:rFonts w:ascii="Arial" w:hAnsi="Arial" w:cs="Arial"/>
                <w:szCs w:val="21"/>
              </w:rPr>
            </w:pPr>
            <w:r w:rsidRPr="000A5B5D">
              <w:rPr>
                <w:rFonts w:ascii="Arial" w:hAnsi="Arial" w:cs="Arial"/>
                <w:szCs w:val="21"/>
              </w:rPr>
              <w:t>5</w:t>
            </w:r>
            <w:r w:rsidRPr="000A5B5D">
              <w:rPr>
                <w:rFonts w:ascii="Arial" w:hAnsi="Arial" w:cs="Arial" w:hint="eastAsia"/>
                <w:szCs w:val="21"/>
              </w:rPr>
              <w:t>年</w:t>
            </w:r>
          </w:p>
        </w:tc>
        <w:tc>
          <w:tcPr>
            <w:tcW w:w="1964" w:type="dxa"/>
            <w:tcBorders>
              <w:bottom w:val="single" w:sz="12" w:space="0" w:color="auto"/>
            </w:tcBorders>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5.00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10.00</w:t>
            </w:r>
          </w:p>
        </w:tc>
        <w:tc>
          <w:tcPr>
            <w:tcW w:w="1719" w:type="dxa"/>
            <w:tcBorders>
              <w:bottom w:val="single" w:sz="12" w:space="0" w:color="auto"/>
            </w:tcBorders>
            <w:vAlign w:val="center"/>
          </w:tcPr>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19.00</w:t>
            </w:r>
          </w:p>
          <w:p w:rsidR="00851B9D" w:rsidRPr="000A5B5D" w:rsidRDefault="00851B9D" w:rsidP="00851B9D">
            <w:pPr>
              <w:spacing w:line="312" w:lineRule="auto"/>
              <w:ind w:rightChars="-28" w:right="-50" w:firstLine="412"/>
              <w:jc w:val="right"/>
              <w:rPr>
                <w:rFonts w:ascii="Arial" w:hAnsi="Arial" w:cs="Arial"/>
                <w:szCs w:val="21"/>
              </w:rPr>
            </w:pPr>
            <w:r w:rsidRPr="000A5B5D">
              <w:rPr>
                <w:rFonts w:ascii="Arial" w:hAnsi="Arial" w:cs="Arial"/>
                <w:szCs w:val="21"/>
              </w:rPr>
              <w:t>18.00</w:t>
            </w:r>
          </w:p>
        </w:tc>
      </w:tr>
    </w:tbl>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预计净残值是指假定固定资产预计使用寿命已满并处于使用寿命终了时的预期状态，本公司目前从该项资产处置中获得的扣除预计处置费用后的金额。</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w:t>
      </w:r>
      <w:r w:rsidRPr="000A5B5D">
        <w:rPr>
          <w:rFonts w:ascii="Arial" w:hAnsi="Arial" w:cs="Arial" w:hint="eastAsia"/>
          <w:sz w:val="24"/>
          <w:szCs w:val="24"/>
        </w:rPr>
        <w:t>固定资产的减值测试方法及减值准备计提方法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固定资产的减值测试方法和减值准备计提方法详见附注四、</w:t>
      </w:r>
      <w:r w:rsidRPr="000A5B5D">
        <w:rPr>
          <w:rFonts w:ascii="Arial" w:hAnsi="Arial" w:cs="Arial"/>
          <w:sz w:val="24"/>
          <w:szCs w:val="24"/>
        </w:rPr>
        <w:t>20“</w:t>
      </w:r>
      <w:r w:rsidRPr="000A5B5D">
        <w:rPr>
          <w:rFonts w:ascii="Arial" w:hAnsi="Arial" w:cs="Arial" w:hint="eastAsia"/>
          <w:sz w:val="24"/>
          <w:szCs w:val="24"/>
        </w:rPr>
        <w:t>长期资产减值</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融资租入固定资产的认定依据及计价方法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融资租赁为实质上转移了与资产所有权有关的全部风险和报酬的租赁，其所有权最终可能转移，也可能不转移。以融资租赁方式租入的固定资产采用与自有固定资产一致的政策计提租赁资产折旧。能够合理确定租赁期届满时取得租赁资产所有权的在租赁资产使用寿命内计提折旧，无法合理确定租赁期届满能够取得租赁资产所有权的，在租赁期与租赁资产使用寿命两者中较短的期间内计提折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w:t>
      </w:r>
      <w:r w:rsidRPr="000A5B5D">
        <w:rPr>
          <w:rFonts w:ascii="Arial" w:hAnsi="Arial" w:cs="Arial" w:hint="eastAsia"/>
          <w:sz w:val="24"/>
          <w:szCs w:val="24"/>
        </w:rPr>
        <w:t>其他说明</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与固定资产有关的后续支出，如果与该固定资产有关的经济利益很可能流入且其成本能可靠地计量，则计入固定资产成本，并终止确认被替换部分的账面价值。除此以外的其他后续支出，在发生时计入当期损益。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当固定资产处于处置状态或预期通过使用或处置不能产生经济利益时，终止确认该固定资产。固定资产出售、转让、报废或毁损的处置收入扣除其账面价值和相关税费后的差额计入当期损益。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本公司至少于年度终了对固定资产的使用寿命、预计净残值和折旧方法进行复核，如发生改变则作为会计估计变更处理。</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16</w:t>
      </w:r>
      <w:r w:rsidRPr="000A5B5D">
        <w:rPr>
          <w:rFonts w:ascii="Arial" w:hAnsi="Arial" w:cs="Arial" w:hint="eastAsia"/>
          <w:b/>
          <w:sz w:val="24"/>
        </w:rPr>
        <w:t>、在建工程</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在建工程成本按实际工程支出确定，包括在建期间发生的各项工程支出、工程达到预定可使用状态前的资本化的借款费用以及其他相关费用等。在建工程在达到预定可使用状态后结转为固定资产。</w:t>
      </w:r>
    </w:p>
    <w:p w:rsidR="00851B9D" w:rsidRPr="000A5B5D" w:rsidRDefault="00851B9D" w:rsidP="00851B9D">
      <w:pPr>
        <w:numPr>
          <w:ilvl w:val="0"/>
          <w:numId w:val="2"/>
        </w:numPr>
        <w:tabs>
          <w:tab w:val="left" w:pos="0"/>
        </w:tabs>
        <w:spacing w:before="0" w:after="0" w:line="400" w:lineRule="exact"/>
        <w:ind w:left="0" w:firstLineChars="200" w:firstLine="480"/>
        <w:rPr>
          <w:rFonts w:ascii="Arial" w:hAnsi="Arial" w:cs="Arial"/>
          <w:sz w:val="24"/>
        </w:rPr>
      </w:pPr>
      <w:r w:rsidRPr="000A5B5D">
        <w:rPr>
          <w:rFonts w:ascii="Arial" w:hAnsi="Arial" w:cs="Arial" w:hint="eastAsia"/>
          <w:sz w:val="24"/>
          <w:szCs w:val="24"/>
        </w:rPr>
        <w:t>在建工程的减值测试方法和减值准备计提方法详见附注四、</w:t>
      </w:r>
      <w:r w:rsidRPr="000A5B5D">
        <w:rPr>
          <w:rFonts w:ascii="Arial" w:hAnsi="Arial" w:cs="Arial"/>
          <w:sz w:val="24"/>
          <w:szCs w:val="24"/>
        </w:rPr>
        <w:t>20“</w:t>
      </w:r>
      <w:r w:rsidRPr="000A5B5D">
        <w:rPr>
          <w:rFonts w:ascii="Arial" w:hAnsi="Arial" w:cs="Arial" w:hint="eastAsia"/>
          <w:sz w:val="24"/>
          <w:szCs w:val="24"/>
        </w:rPr>
        <w:t>长期资产减值</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17</w:t>
      </w:r>
      <w:r w:rsidRPr="000A5B5D">
        <w:rPr>
          <w:rFonts w:ascii="Arial" w:hAnsi="Arial" w:cs="Arial" w:hint="eastAsia"/>
          <w:b/>
          <w:sz w:val="24"/>
        </w:rPr>
        <w:t>、借款费用</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借款费用包括借款利息、折价或溢价的摊销、辅助费用以及因外币借款而发生的汇兑差额等。可直接归属于符合资本化条件的资产的购建或者生产的借款费用，在资产支出已经发生、借款费用已经发生、为使资产达到预定可使用或可销售状态所必要的购建或生产活动已经开始时，开始资本化；构建或者生产的符合资本化条件的资产达到预定可使用状态或者可销售状态时，停止资本化。其余借款费用在发生当期确认为费用。</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专门借款当期实际发生的利息费用，减去尚未动用的借款资金存入银行取得的利息收入或进行暂时性投资取得的投资收益后的金额予以资本化；一般借款根据累计资产支出超过专门借款部分的资产支出加权平均数乘以所占用一般借款的资本化率，确定资本化金额。资本化率根据一般借款的加权平均利率计算确定。</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资本化期间内，外币专门借款的汇兑差额全部予以资本化；外币一般借款的汇兑差额计入当期损益。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符合资本化条件的资产指需要经过相当长时间的购建或者生产活动才能达到预定可使用或可销售状态的固定资产、投资性房地产和存货等资产。</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如果符合资本化条件的资产在购建或生产过程中发生非正常中断、并且中断时间连续超过</w:t>
      </w:r>
      <w:r w:rsidRPr="000A5B5D">
        <w:rPr>
          <w:rFonts w:ascii="Arial" w:hAnsi="Arial" w:cs="Arial"/>
          <w:sz w:val="24"/>
          <w:szCs w:val="24"/>
        </w:rPr>
        <w:t>3</w:t>
      </w:r>
      <w:r w:rsidRPr="000A5B5D">
        <w:rPr>
          <w:rFonts w:ascii="Arial" w:hAnsi="Arial" w:cs="Arial" w:hint="eastAsia"/>
          <w:sz w:val="24"/>
          <w:szCs w:val="24"/>
        </w:rPr>
        <w:t>个月的，暂停借款费用的资本化，直至资产的购建或生产活动重新开始。</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18</w:t>
      </w:r>
      <w:r w:rsidRPr="000A5B5D">
        <w:rPr>
          <w:rFonts w:ascii="Arial" w:hAnsi="Arial" w:cs="Arial" w:hint="eastAsia"/>
          <w:b/>
          <w:bCs/>
          <w:sz w:val="24"/>
        </w:rPr>
        <w:t>、无形资产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无形资产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无形资产是指本公司拥有或者控制的没有实物形态的可辨认非货币性资产。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无形资产按成本进行初始计量。与无形资产有关的支出，如果相关的经济利益很可能流入本公司且其成本能可靠地计量，则计入无形资产成本。除此以外的其他项目的支出，在发生时计入当期损益。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取得的土地使用权通常作为无形资产核算。自行开发建造厂房等建筑物，相关的土地使用权支出和建筑物建造成本则分别作为无形资产和固定资产核算。如为外购的房屋及建筑物，则将有关价款在土地使用权和建筑物之间进行分配，难以合理分配的，全部作为固定资产处理。</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使用寿命有限的无形资产自可供使用时起，对其原值减去预计净残值和已计提的减值准备累计金额在其预计使用寿命内采用直线法分期平均摊销。使用寿命不确定的无形资产不予摊销。</w:t>
      </w:r>
    </w:p>
    <w:p w:rsidR="00851B9D" w:rsidRPr="000A5B5D" w:rsidRDefault="00851B9D" w:rsidP="00851B9D">
      <w:pPr>
        <w:spacing w:line="400" w:lineRule="exact"/>
        <w:ind w:firstLineChars="200" w:firstLine="360"/>
        <w:jc w:val="left"/>
        <w:rPr>
          <w:rFonts w:ascii="Arial" w:hAnsi="Arial" w:cs="Arial"/>
          <w:sz w:val="24"/>
          <w:szCs w:val="24"/>
        </w:rPr>
      </w:pPr>
      <w:r w:rsidRPr="000A5B5D">
        <w:rPr>
          <w:rFonts w:ascii="Arial" w:hAnsi="Arial" w:cs="Arial"/>
          <w:szCs w:val="21"/>
        </w:rPr>
        <w:tab/>
      </w:r>
      <w:r w:rsidRPr="000A5B5D">
        <w:rPr>
          <w:rFonts w:ascii="Arial" w:hAnsi="Arial" w:cs="Arial" w:hint="eastAsia"/>
          <w:sz w:val="24"/>
          <w:szCs w:val="24"/>
        </w:rPr>
        <w:t>期末，对使用寿命有限的无形资产的使用寿命和摊销方法进行复核，如发生变更则作为会计估计变更处理。此外，还对使用寿命不确定的无形资产的使用寿命进行复核，如果有证据表明该无形资产为企业带来经济利益的期限是可预见的，则估计其使用寿命并按照使用寿命有限的无形资产的摊销政策进行摊销。</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研究与开发支出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本公司内部研究开发项目的支出分为研究阶段支出与开发阶段支出。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研究阶段的支出，于发生时计入当期损益。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开发阶段的支出同时满足下列条件的，确认为无形资产，不能满足下述条件的开发阶段的支出计入当期损益：</w:t>
      </w:r>
      <w:r w:rsidRPr="000A5B5D">
        <w:rPr>
          <w:rFonts w:ascii="Arial" w:hAnsi="Arial" w:cs="Arial"/>
          <w:sz w:val="24"/>
          <w:szCs w:val="24"/>
        </w:rPr>
        <w:t xml:space="preserve"> </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完成该无形资产以使其能够使用或出售在技术上具有可行性；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lastRenderedPageBreak/>
        <w:t>②</w:t>
      </w:r>
      <w:r w:rsidRPr="000A5B5D">
        <w:rPr>
          <w:rFonts w:ascii="Arial" w:hAnsi="Arial" w:cs="Arial"/>
          <w:sz w:val="24"/>
        </w:rPr>
        <w:t xml:space="preserve"> </w:t>
      </w:r>
      <w:r w:rsidRPr="000A5B5D">
        <w:rPr>
          <w:rFonts w:ascii="Arial" w:hAnsi="Arial" w:cs="Arial" w:hint="eastAsia"/>
          <w:sz w:val="24"/>
          <w:szCs w:val="24"/>
        </w:rPr>
        <w:t>具有完成该无形资产并使用或出售的意图；</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③</w:t>
      </w:r>
      <w:r w:rsidRPr="000A5B5D">
        <w:rPr>
          <w:rFonts w:ascii="Arial" w:hAnsi="Arial" w:cs="Arial"/>
          <w:sz w:val="24"/>
        </w:rPr>
        <w:t xml:space="preserve"> </w:t>
      </w:r>
      <w:r w:rsidRPr="000A5B5D">
        <w:rPr>
          <w:rFonts w:ascii="Arial" w:hAnsi="Arial" w:cs="Arial" w:hint="eastAsia"/>
          <w:sz w:val="24"/>
          <w:szCs w:val="24"/>
        </w:rPr>
        <w:t>无形资产产生经济利益的方式，包括能够证明运用该无形资产生产的产品存在市场或无形资产自身存在市场，无形资产将在内部使用的，能够证明其有用性；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④</w:t>
      </w:r>
      <w:r w:rsidRPr="000A5B5D">
        <w:rPr>
          <w:rFonts w:ascii="Arial" w:hAnsi="Arial" w:cs="Arial"/>
          <w:sz w:val="24"/>
        </w:rPr>
        <w:t xml:space="preserve"> </w:t>
      </w:r>
      <w:r w:rsidRPr="000A5B5D">
        <w:rPr>
          <w:rFonts w:ascii="Arial" w:hAnsi="Arial" w:cs="Arial" w:hint="eastAsia"/>
          <w:sz w:val="24"/>
          <w:szCs w:val="24"/>
        </w:rPr>
        <w:t>有足够的技术、财务资源和其他资源支持，以完成该无形资产的开发，并有能力使用或出售该无形资产；</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⑤</w:t>
      </w:r>
      <w:r w:rsidRPr="000A5B5D">
        <w:rPr>
          <w:rFonts w:ascii="Arial" w:hAnsi="Arial" w:cs="Arial"/>
          <w:sz w:val="24"/>
        </w:rPr>
        <w:t xml:space="preserve"> </w:t>
      </w:r>
      <w:r w:rsidRPr="000A5B5D">
        <w:rPr>
          <w:rFonts w:ascii="Arial" w:hAnsi="Arial" w:cs="Arial" w:hint="eastAsia"/>
          <w:sz w:val="24"/>
          <w:szCs w:val="24"/>
        </w:rPr>
        <w:t>归属于该无形资产开发阶段的支出能够可靠地计量。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无法区分研究阶段支出和开发阶段支出的，将发生的研发支出全部计入当期损益。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w:t>
      </w:r>
      <w:r w:rsidRPr="000A5B5D">
        <w:rPr>
          <w:rFonts w:ascii="Arial" w:hAnsi="Arial" w:cs="Arial" w:hint="eastAsia"/>
          <w:sz w:val="24"/>
          <w:szCs w:val="24"/>
        </w:rPr>
        <w:t>无形资产的减值测试方法及减值准备计提方法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无形资产的减值测试方法和减值准备计提方法详见附注四、</w:t>
      </w:r>
      <w:r w:rsidRPr="000A5B5D">
        <w:rPr>
          <w:rFonts w:ascii="Arial" w:hAnsi="Arial" w:cs="Arial"/>
          <w:sz w:val="24"/>
          <w:szCs w:val="24"/>
        </w:rPr>
        <w:t>20“</w:t>
      </w:r>
      <w:r w:rsidRPr="000A5B5D">
        <w:rPr>
          <w:rFonts w:ascii="Arial" w:hAnsi="Arial" w:cs="Arial" w:hint="eastAsia"/>
          <w:sz w:val="24"/>
          <w:szCs w:val="24"/>
        </w:rPr>
        <w:t>长期资产减值</w:t>
      </w:r>
      <w:r w:rsidRPr="000A5B5D">
        <w:rPr>
          <w:rFonts w:ascii="Arial" w:hAnsi="Arial" w:cs="Arial"/>
          <w:sz w:val="24"/>
          <w:szCs w:val="24"/>
        </w:rPr>
        <w:t>”</w:t>
      </w:r>
      <w:r w:rsidRPr="000A5B5D">
        <w:rPr>
          <w:rFonts w:ascii="Arial" w:hAnsi="Arial" w:cs="Arial" w:hint="eastAsia"/>
          <w:sz w:val="24"/>
          <w:szCs w:val="24"/>
        </w:rPr>
        <w:t>。</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19</w:t>
      </w:r>
      <w:r w:rsidRPr="000A5B5D">
        <w:rPr>
          <w:rFonts w:ascii="Arial" w:hAnsi="Arial" w:cs="Arial" w:hint="eastAsia"/>
          <w:b/>
          <w:bCs/>
          <w:sz w:val="24"/>
        </w:rPr>
        <w:t>、长期待摊费用</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长期待摊费用为已经发生但应由报告期和以后各期负担的分摊期限在一年以上的各项费用。长期待摊费用按实际支出入账，在预计受益期间按直线法摊销。</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20</w:t>
      </w:r>
      <w:r w:rsidRPr="000A5B5D">
        <w:rPr>
          <w:rFonts w:ascii="Arial" w:hAnsi="Arial" w:cs="Arial" w:hint="eastAsia"/>
          <w:b/>
          <w:sz w:val="24"/>
        </w:rPr>
        <w:t>、长期资产减值</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对于固定资产、在建工程、使用寿命有限的无形资产、以成本模式计量的投资性房地产及对子公司、合营企业、联营企业的长期股权投资等非流动非金融资产，本公司于资产负债表日判断是否存在减值迹象。如存在减值迹象的，则估计其可收回金额，进行减值测试。商誉、使用寿命不确定的无形资产和尚未达到可使用状态的无形资产，无论是否存在减值迹象，每年均进行减值测试。</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减值测试结果表明资产的可收回金额低于其账面价值的，按其差额计提减值准备并计入减值损失。可收回金额为资产的公允价值减去处置费用后的净额与资产预计未来现金流量的现值两者之间的较高者。资产的公允价值根据公平交易中销售协议价格确定；不存在销售协议但存在资产活跃市场的，公允价值按照该资产的买方出价确定；不存在销售协议和资产活跃市场的，则以可获取的最佳信息为基础估计资产的公允价值。处置费用包括与资产处置有关的法律费用、相关税费、搬运费以及为使资产达到可销售状态所发生的直接费用。资产预计未来现金流量的现值，按照资产在持续使用过程中和最终处置时所产生的预计未来现金流量，选择恰当的折现率对其进行折现后的金额加以确定。资产减值准备按单项资产为基础计算并确认，如果难以对单项资产的可收回金额进行估计的，以该资产所属的资产组确定资产组的可收回金额。资产组是能够独立产生现金流入的最小资产组合。</w:t>
      </w:r>
    </w:p>
    <w:p w:rsidR="00851B9D" w:rsidRPr="000A5B5D" w:rsidRDefault="00851B9D" w:rsidP="00851B9D">
      <w:pPr>
        <w:overflowPunct w:val="0"/>
        <w:spacing w:line="400" w:lineRule="exact"/>
        <w:ind w:firstLineChars="200" w:firstLine="480"/>
        <w:rPr>
          <w:rFonts w:ascii="Arial" w:hAnsi="Arial" w:cs="Arial"/>
          <w:sz w:val="24"/>
          <w:szCs w:val="24"/>
        </w:rPr>
      </w:pPr>
      <w:r w:rsidRPr="000A5B5D">
        <w:rPr>
          <w:rFonts w:ascii="Arial" w:hAnsi="Arial" w:cs="Arial" w:hint="eastAsia"/>
          <w:sz w:val="24"/>
          <w:szCs w:val="24"/>
        </w:rPr>
        <w:t>在财务报表中单独列示的商誉，在进行减值测试时，将商誉的账面价值分摊至预期从企业合并的协同效应中受益的资产组或资产组组合。测试结果表明包含分摊的商誉的资产组或资产组组合的可收回金额低于其账面价值的，确认相应的减值损失。减值损失金额先抵减分摊至该资产组或资产组组合的商誉的账面价值，再根据资产组或资产组组合中除商誉以外的其他各项资产的账面价值所占比重，按比例抵减其他各项资产的账面价值。</w:t>
      </w:r>
    </w:p>
    <w:p w:rsidR="00851B9D" w:rsidRPr="000A5B5D" w:rsidRDefault="00851B9D" w:rsidP="00851B9D">
      <w:pPr>
        <w:overflowPunct w:val="0"/>
        <w:spacing w:line="400" w:lineRule="exact"/>
        <w:ind w:firstLineChars="200" w:firstLine="480"/>
        <w:rPr>
          <w:rFonts w:ascii="Arial" w:hAnsi="Arial" w:cs="Arial"/>
          <w:b/>
          <w:sz w:val="24"/>
        </w:rPr>
      </w:pPr>
      <w:r w:rsidRPr="000A5B5D">
        <w:rPr>
          <w:rFonts w:ascii="Arial" w:hAnsi="Arial" w:cs="Arial" w:hint="eastAsia"/>
          <w:sz w:val="24"/>
          <w:szCs w:val="24"/>
        </w:rPr>
        <w:lastRenderedPageBreak/>
        <w:t>上述资产减值损失一经确认，以后期间不予转回价值得以恢复的部分。</w:t>
      </w:r>
    </w:p>
    <w:p w:rsidR="00851B9D" w:rsidRPr="000A5B5D" w:rsidRDefault="00851B9D" w:rsidP="00851B9D">
      <w:pPr>
        <w:spacing w:line="400" w:lineRule="exact"/>
        <w:ind w:firstLineChars="200" w:firstLine="482"/>
        <w:jc w:val="left"/>
        <w:outlineLvl w:val="1"/>
        <w:rPr>
          <w:rFonts w:ascii="Arial" w:hAnsi="Arial" w:cs="Arial"/>
          <w:b/>
          <w:sz w:val="24"/>
          <w:szCs w:val="24"/>
        </w:rPr>
      </w:pPr>
      <w:r w:rsidRPr="000A5B5D">
        <w:rPr>
          <w:rFonts w:ascii="Arial" w:hAnsi="Arial" w:cs="Arial"/>
          <w:b/>
          <w:sz w:val="24"/>
          <w:szCs w:val="24"/>
        </w:rPr>
        <w:t>21</w:t>
      </w:r>
      <w:r w:rsidRPr="000A5B5D">
        <w:rPr>
          <w:rFonts w:ascii="Arial" w:hAnsi="Arial" w:cs="Arial" w:hint="eastAsia"/>
          <w:b/>
          <w:sz w:val="24"/>
          <w:szCs w:val="24"/>
        </w:rPr>
        <w:t>、职工薪酬</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本公司职工薪酬主要包括短期职工薪酬、离职后福利、辞退福利以及其他长期职工福利。其中：</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短期薪酬主要包括工资、奖金、津贴和补贴、职工福利费、医疗保险费、生育保险费、工伤保险费、住房公积金、工会经费和职工教育经费、非货币性福利等。本公司在职工为本公司提供服务的会计期间将实际发生的短期职工薪酬确认为负债，并计入当期损益或相关资产成本。其中非货币性福利按公允价值计量。</w:t>
      </w:r>
    </w:p>
    <w:p w:rsidR="00851B9D" w:rsidRPr="000A5B5D" w:rsidRDefault="00851B9D" w:rsidP="00851B9D">
      <w:pPr>
        <w:widowControl/>
        <w:spacing w:line="400" w:lineRule="exact"/>
        <w:ind w:firstLineChars="200" w:firstLine="480"/>
        <w:rPr>
          <w:rFonts w:ascii="Arial" w:hAnsi="Arial" w:cs="Arial"/>
          <w:sz w:val="24"/>
          <w:szCs w:val="24"/>
        </w:rPr>
      </w:pPr>
      <w:r w:rsidRPr="000A5B5D">
        <w:rPr>
          <w:rFonts w:ascii="Arial" w:hAnsi="Arial" w:cs="Arial" w:hint="eastAsia"/>
          <w:sz w:val="24"/>
          <w:szCs w:val="24"/>
        </w:rPr>
        <w:t>离职后福利主要包括设定提存计划。设定提存计划主要包括基本养老保险、失业保险以及年金等，相应的应缴存金额于发生时计入相关资产成本或当期损益。</w:t>
      </w:r>
    </w:p>
    <w:p w:rsidR="00851B9D" w:rsidRPr="000A5B5D" w:rsidRDefault="00851B9D" w:rsidP="00851B9D">
      <w:pPr>
        <w:widowControl/>
        <w:spacing w:line="400" w:lineRule="exact"/>
        <w:ind w:firstLineChars="200" w:firstLine="480"/>
        <w:rPr>
          <w:rFonts w:ascii="Arial" w:hAnsi="Arial" w:cs="Arial"/>
          <w:sz w:val="24"/>
          <w:szCs w:val="24"/>
        </w:rPr>
      </w:pPr>
      <w:r w:rsidRPr="000A5B5D">
        <w:rPr>
          <w:rFonts w:ascii="Arial" w:hAnsi="Arial" w:cs="Arial" w:hint="eastAsia"/>
          <w:sz w:val="24"/>
          <w:szCs w:val="24"/>
        </w:rPr>
        <w:t>在职工劳动合同到期之前解除与职工的劳动关系，或为鼓励职工自愿接受裁减而提出给予补偿的建议，在本公司不能单方面撤回因解除劳动关系计划或裁减建议所提供的辞退福利时，和本公司确认与涉及支付辞退福利的重组相关的成本两者孰早日，确认辞退福利产生的职工薪酬负债，并计入当期损益。但辞退福利预期在年度报告期结束后十二个月不能完全支付的，按照其他长期职工薪酬处理。</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职工内部退休计划采用与上述辞退福利相同的原则处理。本公司将自职工停止提供服务日至正常退休日的期间拟支付的内退人员工资和缴纳的社会保险费等，在符合预计负债确认条件时，计入当期损益（辞退福利）。</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本公司向职工提供的其他长期职工福利，符合设定提存计划的，按照设定提存计划进行会计处理，除此之外按照设定受益计划进行会计处理。</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22</w:t>
      </w:r>
      <w:r w:rsidRPr="000A5B5D">
        <w:rPr>
          <w:rFonts w:ascii="Arial" w:hAnsi="Arial" w:cs="Arial" w:hint="eastAsia"/>
          <w:b/>
          <w:bCs/>
          <w:sz w:val="24"/>
        </w:rPr>
        <w:t>、预计负债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当与或有事项相关的义务同时符合以下条件，确认为预计负债：（</w:t>
      </w:r>
      <w:r w:rsidRPr="000A5B5D">
        <w:rPr>
          <w:rFonts w:ascii="Arial" w:hAnsi="Arial" w:cs="Arial"/>
          <w:sz w:val="24"/>
          <w:szCs w:val="24"/>
        </w:rPr>
        <w:t>1</w:t>
      </w:r>
      <w:r w:rsidRPr="000A5B5D">
        <w:rPr>
          <w:rFonts w:ascii="Arial" w:hAnsi="Arial" w:cs="Arial" w:hint="eastAsia"/>
          <w:sz w:val="24"/>
          <w:szCs w:val="24"/>
        </w:rPr>
        <w:t>）该义务是本公司承担的现时义务；（</w:t>
      </w:r>
      <w:r w:rsidRPr="000A5B5D">
        <w:rPr>
          <w:rFonts w:ascii="Arial" w:hAnsi="Arial" w:cs="Arial"/>
          <w:sz w:val="24"/>
          <w:szCs w:val="24"/>
        </w:rPr>
        <w:t>2</w:t>
      </w:r>
      <w:r w:rsidRPr="000A5B5D">
        <w:rPr>
          <w:rFonts w:ascii="Arial" w:hAnsi="Arial" w:cs="Arial" w:hint="eastAsia"/>
          <w:sz w:val="24"/>
          <w:szCs w:val="24"/>
        </w:rPr>
        <w:t>）履行该义务很可能导致经济利益流出；（</w:t>
      </w:r>
      <w:r w:rsidRPr="000A5B5D">
        <w:rPr>
          <w:rFonts w:ascii="Arial" w:hAnsi="Arial" w:cs="Arial"/>
          <w:sz w:val="24"/>
          <w:szCs w:val="24"/>
        </w:rPr>
        <w:t>3</w:t>
      </w:r>
      <w:r w:rsidRPr="000A5B5D">
        <w:rPr>
          <w:rFonts w:ascii="Arial" w:hAnsi="Arial" w:cs="Arial" w:hint="eastAsia"/>
          <w:sz w:val="24"/>
          <w:szCs w:val="24"/>
        </w:rPr>
        <w:t>）该义务的金额能够可靠地计量。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在资产负债表日，考虑与或有事项有关的风险、不确定性和货币时间价值等因素，按照履行相关现时义务所需支出的最佳估计数对预计负债进行计量。</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如果清偿预计负债所需支出全部或部分预期由第三方补偿的，补偿金额在基本确定能够收到时，作为资产单独确认，且确认的补偿金额不超过预计负债的账面价值。</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亏损合同</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亏损合同是履行合同义务不可避免会发生的成本超过预期经济利益的合同。待执行合同变成亏损合同，且该亏损合同产生的义务满足上述预计负债的确认条件的，将合同预计损失超过合同标的资产已确认的减值损失（如有）的部分，确认为预计负债。</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重组义务</w:t>
      </w:r>
    </w:p>
    <w:p w:rsidR="00851B9D" w:rsidRPr="000A5B5D" w:rsidRDefault="00851B9D" w:rsidP="00851B9D">
      <w:pPr>
        <w:spacing w:line="400" w:lineRule="exact"/>
        <w:ind w:firstLineChars="200" w:firstLine="480"/>
        <w:jc w:val="left"/>
        <w:rPr>
          <w:rFonts w:ascii="Arial" w:hAnsi="Arial" w:cs="Arial"/>
          <w:b/>
          <w:sz w:val="24"/>
          <w:szCs w:val="24"/>
        </w:rPr>
      </w:pPr>
      <w:r w:rsidRPr="000A5B5D">
        <w:rPr>
          <w:rFonts w:ascii="Arial" w:hAnsi="Arial" w:cs="Arial" w:hint="eastAsia"/>
          <w:sz w:val="24"/>
          <w:szCs w:val="24"/>
        </w:rPr>
        <w:lastRenderedPageBreak/>
        <w:t>对于有详细、正式并且已经对外公告的重组计划，在满足前述预计负债的确认条件的情况下，按照与重组有关的直接支出确定预计负债金额。</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23</w:t>
      </w:r>
      <w:r w:rsidRPr="000A5B5D">
        <w:rPr>
          <w:rFonts w:ascii="Arial" w:hAnsi="Arial" w:cs="Arial" w:hint="eastAsia"/>
          <w:b/>
          <w:bCs/>
          <w:sz w:val="24"/>
        </w:rPr>
        <w:t>、股份支付</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股份支付的会计处理方法</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股份支付是为了获取职工或其他方提供服务而授予权益工具或者承担以权益工具为基础确定的负债的交易。股份支付分为以权益结算的股份支付和以现金结算的股份支付。</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宋体" w:hAnsi="宋体" w:cs="宋体" w:hint="eastAsia"/>
          <w:sz w:val="24"/>
        </w:rPr>
        <w:t>①</w:t>
      </w:r>
      <w:r w:rsidRPr="000A5B5D">
        <w:rPr>
          <w:rFonts w:ascii="Arial" w:hAnsi="Arial" w:cs="Arial"/>
          <w:sz w:val="24"/>
        </w:rPr>
        <w:t xml:space="preserve"> </w:t>
      </w:r>
      <w:r w:rsidRPr="000A5B5D">
        <w:rPr>
          <w:rFonts w:ascii="Arial" w:hAnsi="Arial" w:cs="Arial" w:hint="eastAsia"/>
          <w:sz w:val="24"/>
          <w:szCs w:val="24"/>
        </w:rPr>
        <w:t>以权益结算的股份支付</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Arial" w:hAnsi="Arial" w:cs="Arial" w:hint="eastAsia"/>
          <w:sz w:val="24"/>
          <w:szCs w:val="24"/>
        </w:rPr>
        <w:t>用以换取职工提供的服务的权益结算的股份支付，以授予职工权益工具在授予日的公允价值计量。该公允价值的金额在</w:t>
      </w:r>
      <w:r w:rsidRPr="000A5B5D">
        <w:rPr>
          <w:rFonts w:ascii="Arial" w:hAnsi="Arial" w:cs="Arial" w:hint="eastAsia"/>
          <w:sz w:val="24"/>
          <w:szCs w:val="24"/>
          <w:lang w:val="en-GB"/>
        </w:rPr>
        <w:t>完成等待期内的服务或达到规定业绩条件才可行权的情况下，在等待期内以对可行权权益工具数量的最佳估计为基础，</w:t>
      </w:r>
      <w:r w:rsidRPr="000A5B5D">
        <w:rPr>
          <w:rFonts w:ascii="Arial" w:hAnsi="Arial" w:cs="Arial" w:hint="eastAsia"/>
          <w:sz w:val="24"/>
          <w:szCs w:val="24"/>
        </w:rPr>
        <w:t>按直线法计算</w:t>
      </w:r>
      <w:r w:rsidRPr="000A5B5D">
        <w:rPr>
          <w:rFonts w:ascii="Arial" w:hAnsi="Arial" w:cs="Arial" w:hint="eastAsia"/>
          <w:sz w:val="24"/>
          <w:szCs w:val="24"/>
          <w:lang w:val="en-GB"/>
        </w:rPr>
        <w:t>计入相关成本或费用</w:t>
      </w:r>
      <w:r w:rsidRPr="000A5B5D">
        <w:rPr>
          <w:rFonts w:ascii="Arial" w:hAnsi="Arial" w:cs="Arial"/>
          <w:sz w:val="24"/>
          <w:szCs w:val="24"/>
          <w:lang w:val="en-GB"/>
        </w:rPr>
        <w:t>/</w:t>
      </w:r>
      <w:r w:rsidRPr="000A5B5D">
        <w:rPr>
          <w:rFonts w:ascii="Arial" w:hAnsi="Arial" w:cs="Arial" w:hint="eastAsia"/>
          <w:sz w:val="24"/>
          <w:szCs w:val="24"/>
        </w:rPr>
        <w:t>在</w:t>
      </w:r>
      <w:r w:rsidRPr="000A5B5D">
        <w:rPr>
          <w:rFonts w:ascii="Arial" w:hAnsi="Arial" w:cs="Arial" w:hint="eastAsia"/>
          <w:sz w:val="24"/>
          <w:szCs w:val="24"/>
          <w:lang w:val="en-GB"/>
        </w:rPr>
        <w:t>授予后立即可行权时，在授予日计入相关成本或费用，相应增加资本公积。</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Arial" w:hAnsi="Arial" w:cs="Arial" w:hint="eastAsia"/>
          <w:sz w:val="24"/>
          <w:szCs w:val="24"/>
          <w:lang w:val="en-GB"/>
        </w:rPr>
        <w:t>在等待期内每个资产负债表日，本公司根据最新取得的可行权职工人数变动等后续信息做出最佳估计，修正预计可行权的权益工具数量。上述估计的影响计入当期相关成本或费用，并相应调整资本公积。</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Arial" w:hAnsi="Arial" w:cs="Arial" w:hint="eastAsia"/>
          <w:sz w:val="24"/>
          <w:szCs w:val="24"/>
        </w:rPr>
        <w:t>用以换取其他方服务的权益结算的股份支付，如果其他方服务的公允价值能够可靠计量，按照其他方服务在取得日的公允价值计量，如果其他方服务的公允价值不能可靠计量，但权益工具的公允价值能够可靠计量的，按照权益工具在服务取得日的公允价值计量，计入相关成本或费用，相应增加股东权益。</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宋体" w:hAnsi="宋体" w:cs="宋体" w:hint="eastAsia"/>
          <w:sz w:val="24"/>
        </w:rPr>
        <w:t>②</w:t>
      </w:r>
      <w:r w:rsidRPr="000A5B5D">
        <w:rPr>
          <w:rFonts w:ascii="Arial" w:hAnsi="Arial" w:cs="Arial"/>
          <w:sz w:val="24"/>
        </w:rPr>
        <w:t xml:space="preserve"> </w:t>
      </w:r>
      <w:r w:rsidRPr="000A5B5D">
        <w:rPr>
          <w:rFonts w:ascii="Arial" w:hAnsi="Arial" w:cs="Arial" w:hint="eastAsia"/>
          <w:sz w:val="24"/>
          <w:szCs w:val="24"/>
        </w:rPr>
        <w:t>以现金结算的股份支付</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Arial" w:hAnsi="Arial" w:cs="Arial" w:hint="eastAsia"/>
          <w:sz w:val="24"/>
          <w:szCs w:val="24"/>
        </w:rPr>
        <w:t>以现金结算的股份支付，按照本公司承担的以股份或其他权益工具为基础确定的负债的公允价值计量。如授予后立即可行权，在授予日计入相关成本或费用，相应增加负债；如须完成等待期内的服务或达到规定业绩条件以后才可行权，在等待期的每个资产负债表日，以对可行权情况的最佳估计为基础，按照本公司承担负债的公允价值金额，将当期取得的服务计入成本或费用，相应增加负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在相关负债结算前的每个资产负债表日以及结算日，对负债的公允价值重新计量，其变动计入当期损益。</w:t>
      </w:r>
    </w:p>
    <w:p w:rsidR="00851B9D" w:rsidRPr="000A5B5D" w:rsidRDefault="00851B9D" w:rsidP="00851B9D">
      <w:pPr>
        <w:tabs>
          <w:tab w:val="left" w:pos="576"/>
        </w:tabs>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修改、终止股份支付计划的相关会计处理</w:t>
      </w:r>
    </w:p>
    <w:p w:rsidR="00851B9D" w:rsidRPr="000A5B5D" w:rsidRDefault="00851B9D" w:rsidP="00851B9D">
      <w:pPr>
        <w:spacing w:line="400" w:lineRule="exact"/>
        <w:ind w:firstLineChars="200" w:firstLine="480"/>
        <w:jc w:val="left"/>
        <w:rPr>
          <w:rFonts w:ascii="Arial" w:hAnsi="Arial" w:cs="Arial"/>
          <w:sz w:val="24"/>
          <w:szCs w:val="24"/>
          <w:lang w:val="en-GB"/>
        </w:rPr>
      </w:pPr>
      <w:r w:rsidRPr="000A5B5D">
        <w:rPr>
          <w:rFonts w:ascii="Arial" w:hAnsi="Arial" w:cs="Arial" w:hint="eastAsia"/>
          <w:sz w:val="24"/>
          <w:szCs w:val="24"/>
        </w:rPr>
        <w:t>本公司对股份支付计划进行修改时，若修改增加了所授予权益工具的公允价值，按照权益工具公允价值的增加相应确认取得服务的增加。权益工具公允价值的增加是指修改前后的权益工具在修改日的公允价值之间的差额。若修改减少了股份支付公允价值总额或采用了其他不利于职工的方式，则仍继续对取得的服务进行会计处理，视同该变更从未发生，除非本公司取消了部分或全部已授予的权益工具。</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在等待期内，如果取消了授予的权益工具，本公司对取消所授予的权益性工具作为加速</w:t>
      </w:r>
      <w:r w:rsidRPr="000A5B5D">
        <w:rPr>
          <w:rFonts w:ascii="Arial" w:hAnsi="Arial" w:cs="Arial" w:hint="eastAsia"/>
          <w:sz w:val="24"/>
          <w:szCs w:val="24"/>
        </w:rPr>
        <w:lastRenderedPageBreak/>
        <w:t>行权处理，将剩余等待期内应确认的金额立即计入当期损益，同时确认资本公积。职工或其他方能够选择满足非可行权条件但在等待期内未满足的，本公司将其作为授予权益工具的取消处理。</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3</w:t>
      </w:r>
      <w:r w:rsidRPr="000A5B5D">
        <w:rPr>
          <w:rFonts w:ascii="Arial" w:hAnsi="Arial" w:cs="Arial" w:hint="eastAsia"/>
          <w:sz w:val="24"/>
          <w:szCs w:val="24"/>
        </w:rPr>
        <w:t>）涉及本公司与本公司股东或实际控制人的股份支付交易的会计处理</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涉及本公司与本公司股东或实际控制人的股份支付交易，结算企业与接受服务企业中其一在本公司内，另一在本公司外的，在本公司合并财务报表中按照以下规定进行会计处理：</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宋体" w:hAnsi="宋体" w:cs="宋体" w:hint="eastAsia"/>
          <w:sz w:val="24"/>
          <w:szCs w:val="24"/>
        </w:rPr>
        <w:t>①</w:t>
      </w:r>
      <w:r w:rsidRPr="000A5B5D">
        <w:rPr>
          <w:rFonts w:ascii="Arial" w:hAnsi="Arial" w:cs="Arial"/>
          <w:sz w:val="24"/>
          <w:szCs w:val="24"/>
        </w:rPr>
        <w:t xml:space="preserve"> </w:t>
      </w:r>
      <w:r w:rsidRPr="000A5B5D">
        <w:rPr>
          <w:rFonts w:ascii="Arial" w:hAnsi="Arial" w:cs="Arial" w:hint="eastAsia"/>
          <w:sz w:val="24"/>
          <w:szCs w:val="24"/>
        </w:rPr>
        <w:t>结算企业以其本身权益工具结算的，将该股份支付交易作为权益结算的股份支付处理；除此之外，作为现金结算的股份支付处理。</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结算企业是接受服务企业的投资者的，按照授予日权益工具的公允价值或应承担负债的公允价值确认为对接受服务企业的长期股权投资，同时确认资本公积（其他资本公积）或负债。</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宋体" w:hAnsi="宋体" w:cs="宋体" w:hint="eastAsia"/>
          <w:sz w:val="24"/>
          <w:szCs w:val="24"/>
        </w:rPr>
        <w:t>②</w:t>
      </w:r>
      <w:r w:rsidRPr="000A5B5D">
        <w:rPr>
          <w:rFonts w:ascii="Arial" w:hAnsi="Arial" w:cs="Arial"/>
          <w:sz w:val="24"/>
          <w:szCs w:val="24"/>
        </w:rPr>
        <w:t xml:space="preserve"> </w:t>
      </w:r>
      <w:r w:rsidRPr="000A5B5D">
        <w:rPr>
          <w:rFonts w:ascii="Arial" w:hAnsi="Arial" w:cs="Arial" w:hint="eastAsia"/>
          <w:sz w:val="24"/>
          <w:szCs w:val="24"/>
        </w:rPr>
        <w:t>接受服务企业没有结算义务或授予本企业职工的是其本身权益工具的，将该股份支付交易作为权益结算的股份支付处理；接受服务企业具有结算义务且授予本企业职工的并非其本身权益工具的，将该股份支付交易作为现金结算的股份支付处理。</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本公司内各企业之间发生的股份支付交易，接受服务企业和结算企业不是同一企业的，在接受服务企业和结算企业各自的个别财务报表中对该股份支付交易的确认和计量，比照上述原则处理。</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24</w:t>
      </w:r>
      <w:r w:rsidRPr="000A5B5D">
        <w:rPr>
          <w:rFonts w:ascii="Arial" w:hAnsi="Arial" w:cs="Arial" w:hint="eastAsia"/>
          <w:b/>
          <w:sz w:val="24"/>
        </w:rPr>
        <w:t>、收入</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商品销售收入</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已将商品所有权上的主要风险和报酬转移给买方，既没有保留通常与所有权相联系的继续管理权，也没有对已售商品实施有效控制，收入的金额能够可靠地计量，相关的经济利益很可能流入企业，相关的已发生或将发生的成本能够可靠地计量时，确认商品销售收入的实现。本公司结合实际生产经营特点，对于销往国内的商品在商品发出时确认收入，对于出口的商品在商品报关出口时确认收入。</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提供劳务收入</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在提供劳务交易的结果能够可靠估计的情况下，于资产负债表日按照完工百分比法确认提供的劳务收入。劳务交易的完工进度按已经提供的劳务占应提供劳务总量的比例确定。</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提供劳务交易的结果能够可靠估计是指同时满足：</w:t>
      </w:r>
      <w:r w:rsidRPr="000A5B5D">
        <w:rPr>
          <w:rFonts w:ascii="宋体" w:hAnsi="宋体" w:cs="宋体" w:hint="eastAsia"/>
          <w:sz w:val="24"/>
          <w:szCs w:val="24"/>
        </w:rPr>
        <w:t>①</w:t>
      </w:r>
      <w:r w:rsidRPr="000A5B5D">
        <w:rPr>
          <w:rFonts w:ascii="Arial" w:hAnsi="Arial" w:cs="Arial" w:hint="eastAsia"/>
          <w:sz w:val="24"/>
          <w:szCs w:val="24"/>
        </w:rPr>
        <w:t>收入的金额能够可靠地计量；</w:t>
      </w:r>
      <w:r w:rsidRPr="000A5B5D">
        <w:rPr>
          <w:rFonts w:ascii="宋体" w:hAnsi="宋体" w:cs="宋体" w:hint="eastAsia"/>
          <w:sz w:val="24"/>
          <w:szCs w:val="24"/>
        </w:rPr>
        <w:t>②</w:t>
      </w:r>
      <w:r w:rsidRPr="000A5B5D">
        <w:rPr>
          <w:rFonts w:ascii="Arial" w:hAnsi="Arial" w:cs="Arial" w:hint="eastAsia"/>
          <w:sz w:val="24"/>
          <w:szCs w:val="24"/>
        </w:rPr>
        <w:t>相关的经济利益很可能流入企业；</w:t>
      </w:r>
      <w:r w:rsidRPr="000A5B5D">
        <w:rPr>
          <w:rFonts w:ascii="宋体" w:hAnsi="宋体" w:cs="宋体" w:hint="eastAsia"/>
          <w:sz w:val="24"/>
          <w:szCs w:val="24"/>
        </w:rPr>
        <w:t>③</w:t>
      </w:r>
      <w:r w:rsidRPr="000A5B5D">
        <w:rPr>
          <w:rFonts w:ascii="Arial" w:hAnsi="Arial" w:cs="Arial" w:hint="eastAsia"/>
          <w:sz w:val="24"/>
          <w:szCs w:val="24"/>
        </w:rPr>
        <w:t>交易的完工程度能够可靠地确定；</w:t>
      </w:r>
      <w:r w:rsidRPr="000A5B5D">
        <w:rPr>
          <w:rFonts w:ascii="宋体" w:hAnsi="宋体" w:cs="宋体" w:hint="eastAsia"/>
          <w:sz w:val="24"/>
          <w:szCs w:val="24"/>
        </w:rPr>
        <w:t>④</w:t>
      </w:r>
      <w:r w:rsidRPr="000A5B5D">
        <w:rPr>
          <w:rFonts w:ascii="Arial" w:hAnsi="Arial" w:cs="Arial" w:hint="eastAsia"/>
          <w:sz w:val="24"/>
          <w:szCs w:val="24"/>
        </w:rPr>
        <w:t>交易中已发生和将发生的成本能够可靠地计量。</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szCs w:val="24"/>
        </w:rPr>
        <w:t>如果提供劳务交易的结果不能够可靠估计，则按已经发生并预计能够得到补偿的劳务成本金额确认提供的劳务收入，并将已发生的劳务成本作为当期费用。已经发生的劳务成本如预计不能得到补偿的，则不确认收入。</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本公司与其他企业签订的合同或协议包括销售商品和提供劳务时，如销售商品部分和提供劳务部分能够区分并单独计量的，将销售商品部分和提供劳务部分分别处理；如销售商品部分和提供劳务部分不能够区分，或虽能区分但不能够单独计量的，将该合同全部作为销售商品处理。</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w:t>
      </w:r>
      <w:r w:rsidRPr="000A5B5D">
        <w:rPr>
          <w:rFonts w:ascii="Arial" w:hAnsi="Arial" w:cs="Arial" w:hint="eastAsia"/>
          <w:sz w:val="24"/>
          <w:szCs w:val="24"/>
        </w:rPr>
        <w:t>使用费收入</w:t>
      </w:r>
    </w:p>
    <w:p w:rsidR="00851B9D" w:rsidRPr="000A5B5D" w:rsidRDefault="00851B9D" w:rsidP="00851B9D">
      <w:pPr>
        <w:widowControl/>
        <w:spacing w:line="400" w:lineRule="exact"/>
        <w:ind w:firstLineChars="200" w:firstLine="480"/>
        <w:jc w:val="left"/>
        <w:rPr>
          <w:rFonts w:ascii="Arial" w:hAnsi="Arial" w:cs="Arial"/>
          <w:i/>
          <w:sz w:val="24"/>
          <w:szCs w:val="24"/>
        </w:rPr>
      </w:pPr>
      <w:r w:rsidRPr="000A5B5D">
        <w:rPr>
          <w:rFonts w:ascii="Arial" w:hAnsi="Arial" w:cs="Arial" w:hint="eastAsia"/>
          <w:sz w:val="24"/>
          <w:szCs w:val="24"/>
        </w:rPr>
        <w:t>根据有关合同或协议，按权责发生制确认收入。</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利息收入</w:t>
      </w:r>
    </w:p>
    <w:p w:rsidR="00851B9D" w:rsidRPr="000A5B5D" w:rsidRDefault="00851B9D" w:rsidP="00851B9D">
      <w:pPr>
        <w:widowControl/>
        <w:spacing w:line="400" w:lineRule="exact"/>
        <w:ind w:firstLineChars="200" w:firstLine="480"/>
        <w:jc w:val="left"/>
        <w:rPr>
          <w:rFonts w:ascii="Arial" w:hAnsi="Arial" w:cs="Arial"/>
          <w:i/>
          <w:sz w:val="24"/>
          <w:szCs w:val="24"/>
        </w:rPr>
      </w:pPr>
      <w:r w:rsidRPr="000A5B5D">
        <w:rPr>
          <w:rFonts w:ascii="Arial" w:hAnsi="Arial" w:cs="Arial" w:hint="eastAsia"/>
          <w:sz w:val="24"/>
          <w:szCs w:val="24"/>
        </w:rPr>
        <w:t>按照他人使用本公司货币资金的时间和实际利率计算确定</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25</w:t>
      </w:r>
      <w:r w:rsidRPr="000A5B5D">
        <w:rPr>
          <w:rFonts w:ascii="Arial" w:hAnsi="Arial" w:cs="Arial" w:hint="eastAsia"/>
          <w:b/>
          <w:sz w:val="24"/>
        </w:rPr>
        <w:t>、政府补助</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政府补助是指本公司从政府无偿取得货币性资产和非货币性资产，不包括政府作为所有者投入的资本。政府补助分为与资产相关的政府补助和与收益相关的政府补助。本公司将所取得的用于购建或以其他方式形成长期资产的政府补助界定为与资产相关的政府补助；其余政府补助界定为与收益相关的政府补助。若政府文件未明确规定补助对象，则采用以下方式将补助款划分为与收益相关的政府补助和与资产相关的政府补助：（</w:t>
      </w:r>
      <w:r w:rsidRPr="000A5B5D">
        <w:rPr>
          <w:rFonts w:ascii="Arial" w:hAnsi="Arial" w:cs="Arial"/>
          <w:sz w:val="24"/>
          <w:szCs w:val="24"/>
        </w:rPr>
        <w:t>1</w:t>
      </w:r>
      <w:r w:rsidRPr="000A5B5D">
        <w:rPr>
          <w:rFonts w:ascii="Arial" w:hAnsi="Arial" w:cs="Arial" w:hint="eastAsia"/>
          <w:sz w:val="24"/>
          <w:szCs w:val="24"/>
        </w:rPr>
        <w:t>）政府文件明确了补助所针对的特定项目的，根据该特定项目的预算中将形成资产的支出金额和计入费用的支出金额的相对比例进行划分，对该划分比例需在每个资产负债表日进行复核，必要时进行变更；（</w:t>
      </w:r>
      <w:r w:rsidRPr="000A5B5D">
        <w:rPr>
          <w:rFonts w:ascii="Arial" w:hAnsi="Arial" w:cs="Arial"/>
          <w:sz w:val="24"/>
          <w:szCs w:val="24"/>
        </w:rPr>
        <w:t>2</w:t>
      </w:r>
      <w:r w:rsidRPr="000A5B5D">
        <w:rPr>
          <w:rFonts w:ascii="Arial" w:hAnsi="Arial" w:cs="Arial" w:hint="eastAsia"/>
          <w:sz w:val="24"/>
          <w:szCs w:val="24"/>
        </w:rPr>
        <w:t>）政府文件中对用途仅作一般性表述，没有指明特定项目的，作为与收益相关的政府补助。</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政府补助为货币性资产的，按照收到或应收的金额计量。政府补助为非货币性资产的，按照公允价值计量；公允价值不能够可靠取得的，按照名义金额计量。按照名义金额计量的政府补助，直接计入当期损益。</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对于政府补助通常在实际收到时，按照实收金额予以确认和计量。但对于期末有确凿证据表明能够符合财政扶持政策规定的相关条件预计能够收到财政扶持资金，按照应收的金额计量。按照应收金额计量的政府补助应同时符合以下条件：（</w:t>
      </w:r>
      <w:r w:rsidRPr="000A5B5D">
        <w:rPr>
          <w:rFonts w:ascii="Arial" w:hAnsi="Arial" w:cs="Arial"/>
          <w:sz w:val="24"/>
          <w:szCs w:val="24"/>
        </w:rPr>
        <w:t>1</w:t>
      </w:r>
      <w:r w:rsidRPr="000A5B5D">
        <w:rPr>
          <w:rFonts w:ascii="Arial" w:hAnsi="Arial" w:cs="Arial" w:hint="eastAsia"/>
          <w:sz w:val="24"/>
          <w:szCs w:val="24"/>
        </w:rPr>
        <w:t>）应收补助款的金额已经过有权政府部门发文确认，或者可根据正式发布的财政资金管理办法的有关规定自行合理测算，且预计其金额不存在重大不确定性；（</w:t>
      </w:r>
      <w:r w:rsidRPr="000A5B5D">
        <w:rPr>
          <w:rFonts w:ascii="Arial" w:hAnsi="Arial" w:cs="Arial"/>
          <w:sz w:val="24"/>
          <w:szCs w:val="24"/>
        </w:rPr>
        <w:t>2</w:t>
      </w:r>
      <w:r w:rsidRPr="000A5B5D">
        <w:rPr>
          <w:rFonts w:ascii="Arial" w:hAnsi="Arial" w:cs="Arial" w:hint="eastAsia"/>
          <w:sz w:val="24"/>
          <w:szCs w:val="24"/>
        </w:rPr>
        <w:t>）所依据的是当地财政部门正式发布并按照《政府信息公开条例》的规定予以主动公开的财政扶持项目及其财政资金管理办法，且该管理办法应当是普惠性的（任何符合规定条件的企业均可申请），而不是专门针对特定企业制定的；（</w:t>
      </w:r>
      <w:r w:rsidRPr="000A5B5D">
        <w:rPr>
          <w:rFonts w:ascii="Arial" w:hAnsi="Arial" w:cs="Arial"/>
          <w:sz w:val="24"/>
          <w:szCs w:val="24"/>
        </w:rPr>
        <w:t>3</w:t>
      </w:r>
      <w:r w:rsidRPr="000A5B5D">
        <w:rPr>
          <w:rFonts w:ascii="Arial" w:hAnsi="Arial" w:cs="Arial" w:hint="eastAsia"/>
          <w:sz w:val="24"/>
          <w:szCs w:val="24"/>
        </w:rPr>
        <w:t>）相关的补助款批文中已明确承诺了拨付期限，且该款项的拨付是有相应财政预算作为保障的，因而可以合理保证其可在规定期限内收到；（</w:t>
      </w:r>
      <w:r w:rsidRPr="000A5B5D">
        <w:rPr>
          <w:rFonts w:ascii="Arial" w:hAnsi="Arial" w:cs="Arial"/>
          <w:sz w:val="24"/>
          <w:szCs w:val="24"/>
        </w:rPr>
        <w:t>4</w:t>
      </w:r>
      <w:r w:rsidRPr="000A5B5D">
        <w:rPr>
          <w:rFonts w:ascii="Arial" w:hAnsi="Arial" w:cs="Arial" w:hint="eastAsia"/>
          <w:sz w:val="24"/>
          <w:szCs w:val="24"/>
        </w:rPr>
        <w:t>）根据本公司和该补助事项的具体情况，应满足的其他相关条件（如有）。</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与资产相关的政府补助，确认为递延收益，并在相关资产的使用寿命内平均分配计入当期损益。与收益相关的政府补助，用于补偿以后期间的相关费用和损失的，确认为递延收</w:t>
      </w:r>
      <w:r w:rsidRPr="000A5B5D">
        <w:rPr>
          <w:rFonts w:ascii="Arial" w:hAnsi="Arial" w:cs="Arial" w:hint="eastAsia"/>
          <w:sz w:val="24"/>
          <w:szCs w:val="24"/>
        </w:rPr>
        <w:lastRenderedPageBreak/>
        <w:t>益，并在确认相关费用的期间计入当期损益；用于补偿已经发生的相关费用和损失的，直接计入当期损益。</w:t>
      </w:r>
    </w:p>
    <w:p w:rsidR="00851B9D" w:rsidRPr="000A5B5D" w:rsidRDefault="00851B9D" w:rsidP="00851B9D">
      <w:pPr>
        <w:widowControl/>
        <w:spacing w:line="400" w:lineRule="exact"/>
        <w:ind w:firstLineChars="200" w:firstLine="480"/>
        <w:jc w:val="left"/>
        <w:rPr>
          <w:rFonts w:ascii="Arial" w:hAnsi="Arial" w:cs="Arial"/>
          <w:sz w:val="24"/>
          <w:szCs w:val="24"/>
        </w:rPr>
      </w:pPr>
      <w:r w:rsidRPr="000A5B5D">
        <w:rPr>
          <w:rFonts w:ascii="Arial" w:hAnsi="Arial" w:cs="Arial" w:hint="eastAsia"/>
          <w:sz w:val="24"/>
          <w:szCs w:val="24"/>
        </w:rPr>
        <w:t>已确认的政府补助需要返还时，存在相关递延收益余额的，冲减相关递延收益账面余额，超出部分计入当期损益；不存在相关递延收益的，直接计入当期损益。</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26</w:t>
      </w:r>
      <w:r w:rsidRPr="000A5B5D">
        <w:rPr>
          <w:rFonts w:ascii="Arial" w:hAnsi="Arial" w:cs="Arial" w:hint="eastAsia"/>
          <w:b/>
          <w:bCs/>
          <w:sz w:val="24"/>
        </w:rPr>
        <w:t>、递延所得税资产</w:t>
      </w:r>
      <w:r w:rsidRPr="000A5B5D">
        <w:rPr>
          <w:rFonts w:ascii="Arial" w:hAnsi="Arial" w:cs="Arial"/>
          <w:b/>
          <w:bCs/>
          <w:sz w:val="24"/>
        </w:rPr>
        <w:t>/</w:t>
      </w:r>
      <w:r w:rsidRPr="000A5B5D">
        <w:rPr>
          <w:rFonts w:ascii="Arial" w:hAnsi="Arial" w:cs="Arial" w:hint="eastAsia"/>
          <w:b/>
          <w:bCs/>
          <w:sz w:val="24"/>
        </w:rPr>
        <w:t>递延所得税负债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rPr>
        <w:t>（</w:t>
      </w:r>
      <w:r w:rsidRPr="000A5B5D">
        <w:rPr>
          <w:rFonts w:ascii="Arial" w:hAnsi="Arial" w:cs="Arial"/>
          <w:sz w:val="24"/>
          <w:szCs w:val="24"/>
        </w:rPr>
        <w:t>1</w:t>
      </w:r>
      <w:r w:rsidRPr="000A5B5D">
        <w:rPr>
          <w:rFonts w:ascii="Arial" w:hAnsi="Arial" w:cs="Arial" w:hint="eastAsia"/>
          <w:sz w:val="24"/>
          <w:szCs w:val="24"/>
        </w:rPr>
        <w:t>）当期所得税</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资产负债表日，对于当期和以前期间形成的当期所得税负债（或资产），以按照税法规定计算的预期应交纳（或返还）的所得税金额计量。计算当期所得税费用所依据的应纳税所得额系根据有关税法规定对本年度税前会计利润作相应调整后计算得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）递延所得税资产及递延所得税负债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某些资产、负债项目的账面价值与其计税基础之间的差额，以及未作为资产和负债确认但按照税法规定可以确定其计税基础的项目的账面价值与计税基础之间的差额产生的暂时性差异，采用资产负债表债务法确认递延所得税资产及递延所得税负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与商誉的初始确认有关，以及与既不是企业合并、发生时也不影响会计利润和应纳税所得额（或可抵扣亏损）的交易中产生的资产或负债的初始确认有关的应纳税暂时性差异，不予确认有关的递延所得税负债。此外，对与子公司、联营企业及合营企业投资相关的应纳税暂时性差异，如果本公司能够控制暂时性差异转回的时间，而且该暂时性差异在可预见的未来很可能不会转回，也不予确认有关的递延所得税负债。除上述例外情况，本公司确认其他所有应纳税暂时性差异产生的递延所得税负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与既不是企业合并、发生时也不影响会计利润和应纳税所得额（或可抵扣亏损）的交易中产生的资产或负债的初始确认有关的可抵扣暂时性差异，不予确认有关的递延所得税资产。此外，对与子公司、联营企业及合营企业投资相关的可抵扣暂时性差异，如果暂时性差异在可预见的未来不是很可能转回，或者未来不是很可能获得用来抵扣可抵扣暂时性差异的应纳税所得额，不予确认有关的递延所得税资产。除上述例外情况，本公司以很可能取得用来抵扣可抵扣暂时性差异的应纳税所得额为限，确认其他可抵扣暂时性差异产生的递延所得税资产。</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对于能够结转以后年度的可抵扣亏损和税款抵减，以很可能获得用来抵扣可抵扣亏损和税款抵减的未来应纳税所得额为限，确认相应的递延所得税资产。</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资产负债表日，对于递延所得税资产和递延所得税负债，根据税法规定，按照预期收回相关资产或清偿相关负债期间的适用税率计量。</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于资产负债表日，对递延所得税资产的账面价值进行复核，如果未来很可能无法获得足够的应纳税所得额用以抵扣递延所得税资产的利益，则减记递延所得税资产的账面价值。在很可能获得足够的应纳税所得额时，减记的金额予以转回。</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lastRenderedPageBreak/>
        <w:t>（</w:t>
      </w:r>
      <w:r w:rsidRPr="000A5B5D">
        <w:rPr>
          <w:rFonts w:ascii="Arial" w:hAnsi="Arial" w:cs="Arial"/>
          <w:sz w:val="24"/>
          <w:szCs w:val="24"/>
        </w:rPr>
        <w:t>3</w:t>
      </w:r>
      <w:r w:rsidRPr="000A5B5D">
        <w:rPr>
          <w:rFonts w:ascii="Arial" w:hAnsi="Arial" w:cs="Arial" w:hint="eastAsia"/>
          <w:sz w:val="24"/>
          <w:szCs w:val="24"/>
        </w:rPr>
        <w:t>）所得税费用</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所得税费用包括当期所得税和递延所得税。</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除确认为其他综合收益或直接计入股东权益的交易和事项相关的当期所得税和递延所得税计入其他综合收益或股东权益，以及企业合并产生的递延所得税调整商誉的账面价值外，其余当期所得税和递延所得税费用或收益计入当期损益。</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4</w:t>
      </w:r>
      <w:r w:rsidRPr="000A5B5D">
        <w:rPr>
          <w:rFonts w:ascii="Arial" w:hAnsi="Arial" w:cs="Arial" w:hint="eastAsia"/>
          <w:sz w:val="24"/>
          <w:szCs w:val="24"/>
        </w:rPr>
        <w:t>）所得税的抵销</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当拥有以净额结算的法定权利，且意图以净额结算或取得资产、清偿负债同时进行时，本公司当期所得税资产及当期所得税负债以抵销后的净额列报。</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当拥有以净额结算当期所得税资产及当期所得税负债的法定权利，且递延所得税资产及递延所得税负债是与同一税收征管部门对同一纳税主体征收的所得税相关或者是对不同的纳税主体相关，但在未来每一具有重要性的递延所得税资产及负债转回的期间内，涉及的纳税主体意图以净额结算当期所得税资产和负债或是同时取得资产、清偿负债时，本公司递延所得税资产及递延所得税负债以抵销后的净额列报。</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27</w:t>
      </w:r>
      <w:r w:rsidRPr="000A5B5D">
        <w:rPr>
          <w:rFonts w:ascii="Arial" w:hAnsi="Arial" w:cs="Arial" w:hint="eastAsia"/>
          <w:b/>
          <w:sz w:val="24"/>
        </w:rPr>
        <w:t>、租赁</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融资租赁为实质上转移了与资产所有权有关的全部风险和报酬的租赁，其所有权最终可能转移，也可能不转移。融资租赁以外的其他租赁为经营租赁。</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hint="eastAsia"/>
          <w:sz w:val="24"/>
          <w:szCs w:val="24"/>
        </w:rPr>
        <w:t>本公司作为承租人记录经营租赁业务</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经营租赁的租金支出在租赁期内的各个期间按直线法计入相关资产成本或当期损益。初始直接费用计入当期损益。或有租金于实际发生时计入当期损益。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w:t>
      </w:r>
      <w:r w:rsidRPr="000A5B5D">
        <w:rPr>
          <w:rFonts w:ascii="Arial" w:hAnsi="Arial" w:cs="Arial" w:hint="eastAsia"/>
          <w:sz w:val="24"/>
          <w:szCs w:val="24"/>
        </w:rPr>
        <w:t>本公司作为出租人记录经营租赁业务</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经营租赁的租金收入在租赁期内的各个期间按直线法确认为当期损益。对金额较大的初始直接费用于发生时予以资本化，在整个租赁期间内按照与确认租金收入相同的基础分期计入当期损益；其他金额较小的初始直接费用于发生时计入当期损益。或有租金于实际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w:t>
      </w:r>
      <w:r w:rsidRPr="000A5B5D">
        <w:rPr>
          <w:rFonts w:ascii="Arial" w:hAnsi="Arial" w:cs="Arial" w:hint="eastAsia"/>
          <w:sz w:val="24"/>
          <w:szCs w:val="24"/>
        </w:rPr>
        <w:t>本公司作为承租人记录融资租赁业务</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于租赁期开始日，将租赁开始日租赁资产的公允价值与最低租赁付款额现值两者中较低者作为租入资产的入账价值，将最低租赁付款额作为长期应付款的入账价值，其差额作为未确认融资费用。此外，在租赁谈判和签订租赁合同过程中发生的，可归属于租赁项目的初始直接费用也计入租入资产价值。最低租赁付款额扣除未确认融资费用后的余额分别长期负债和一年内到期的长期负债列示。</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t>未确认融资费用在租赁期内采用实际利率法计算确认当期的融资费用。或有租金于实际发生时计入当期损益。</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本公司作为出租人记录融资租赁业务</w:t>
      </w: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sz w:val="24"/>
          <w:szCs w:val="24"/>
        </w:rPr>
        <w:lastRenderedPageBreak/>
        <w:t>于租赁期开始日，将租赁开始日最低租赁收款额与初始直接费用之和作为应收融资租赁款的入账价值，同时记录未担保余值；将最低租赁收款额、初始直接费用及未担保余值之和与其现值之和的差额确认为未实现融资收益。应收融资租赁款扣除未实现融资收益后的余额分别长期债权和一年内到期的长期债权列示。</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未实现融资收益在租赁期内采用实际利率法计算确认当期的融资收入。或有租金于实际发生时计入当期损益。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28</w:t>
      </w:r>
      <w:r w:rsidRPr="000A5B5D">
        <w:rPr>
          <w:rFonts w:ascii="Arial" w:hAnsi="Arial" w:cs="Arial" w:hint="eastAsia"/>
          <w:b/>
          <w:sz w:val="24"/>
        </w:rPr>
        <w:t>、套期会计</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为规避某些风险，本公司把某些金融工具作为套期工具进行套期。满足规定条件的套期，本公司采用套期会计方法进行处理。本公司的套期包括公允价值套期、现金流量套期以及对境外经营净投资的套期。对确定承诺的外汇风险进行的套期，本公司作为现金流量套期处理。</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本公司在套期开始时，记录套期工具与被套期项目之间的关系，以及风险管理目标和进行不同套期交易的策略。此外，在套期开始及之后，本公司会持续地对套期有效性进行评价，以检查有关套期在套期关系被指定的会计期间内是否高度有效。</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）公允价值套期</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被指定为公允价值套期且符合条件的的衍生工具，其公允价值变动形成的利得或损失计入当期损益。被套期项目因被套期风险形成的利得或损失也计入当期损益，同时调整被套期项目的账面价值。</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当本公司撤销对套期关系的指定、套期工具已到期或被出售、合同终止或已行使、或不再符合运用套期会计的条件时，终止运用套期会计。</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）现金流量套期</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被指定为现金流量套期且符合条件的的衍生工具，其公允价值的变动属于有效套期的部分确认为其他综合收益并计入所有者权益，无效套期部分计入当期损益。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如果对预期交易的套期使本公司随后确认一项金融资产或金融负债的，原直接确认为所有者权益的相关利得或损失，应当在该金融资产或金融负债影响企业损益的相同期间转出，计入当期损益。但是，企业预期原直接在所有者权益中确认的净损失全部或部分在未来会计期间不能弥补时，应当将不能弥补的部分转出，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如果对预期交易的套期使本公司随后确认一项非金融资产或非金融负债的，则将原直接在所有者权益中确认的相关利得或损失转出，计入该非金融资产或非金融负债的初始确认金额。但是，企业预期原直接在所有者权益中确认的净损失全部或部分在未来会计期间不能弥补时，应当将不能弥补的部分转出，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除上述情况外，原计入所有者权益的金额在被套期预期交易影响损益的相同期间转出，计入当期损益。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lastRenderedPageBreak/>
        <w:t>当本公司撤销了对套期关系的指定、套期工具已到期或被出售、合同终止、已行使或不再符合套期会计条件时，终止运用套期会计。套期会计终止时，已计入所有者权益的累计利得或损失，将在预期交易发生并计入损益时，自所有者权益中转出计入损益。如果预期交易不会发生，则将计入所有者权益的累计利得或损失立即转出，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）境外经营净投资套期</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境外经营净投资的套期采用与现金流量套期类似的方法进行核算。套期工具的利得或损失中，属于有效套期的部分确认为其他综合收益并计入所有者权益，无效套期部分的利得或损失则计入当期损益。</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已计入所有者权益的利得和损失，在处置境外经营时，自所有者权益转出，计入当期损益。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29</w:t>
      </w:r>
      <w:r w:rsidRPr="000A5B5D">
        <w:rPr>
          <w:rFonts w:ascii="Arial" w:hAnsi="Arial" w:cs="Arial" w:hint="eastAsia"/>
          <w:b/>
          <w:sz w:val="24"/>
        </w:rPr>
        <w:t>、重要会计政策、会计估计的变更</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1</w:t>
      </w:r>
      <w:r w:rsidRPr="000A5B5D">
        <w:rPr>
          <w:rFonts w:ascii="Arial" w:hAnsi="Arial" w:cs="Arial" w:hint="eastAsia"/>
          <w:sz w:val="24"/>
          <w:szCs w:val="24"/>
        </w:rPr>
        <w:t>）会计政策变更</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本公司本报告期无会计政策变更事项。</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）会计估计变更</w:t>
      </w:r>
    </w:p>
    <w:p w:rsidR="00851B9D" w:rsidRPr="000A5B5D" w:rsidRDefault="00851B9D" w:rsidP="00851B9D">
      <w:pPr>
        <w:spacing w:line="400" w:lineRule="exact"/>
        <w:ind w:firstLineChars="200" w:firstLine="480"/>
        <w:rPr>
          <w:rFonts w:ascii="Arial" w:hAnsi="Arial" w:cs="Arial"/>
          <w:sz w:val="24"/>
          <w:szCs w:val="24"/>
        </w:rPr>
      </w:pPr>
      <w:r w:rsidRPr="000A5B5D">
        <w:rPr>
          <w:rFonts w:ascii="Arial" w:hAnsi="Arial" w:cs="Arial" w:hint="eastAsia"/>
          <w:sz w:val="24"/>
          <w:szCs w:val="24"/>
        </w:rPr>
        <w:t>本公司本报告期无会计估计变更事项。</w:t>
      </w:r>
    </w:p>
    <w:p w:rsidR="00851B9D" w:rsidRPr="000A5B5D" w:rsidRDefault="00851B9D" w:rsidP="00851B9D">
      <w:pPr>
        <w:spacing w:line="400" w:lineRule="exact"/>
        <w:ind w:firstLineChars="200" w:firstLine="482"/>
        <w:outlineLvl w:val="1"/>
        <w:rPr>
          <w:rFonts w:ascii="Arial" w:hAnsi="宋体" w:cs="Arial"/>
          <w:b/>
          <w:bCs/>
          <w:sz w:val="24"/>
        </w:rPr>
      </w:pPr>
      <w:r w:rsidRPr="000A5B5D">
        <w:rPr>
          <w:rFonts w:ascii="Arial" w:hAnsi="Arial" w:cs="Arial"/>
          <w:b/>
          <w:sz w:val="24"/>
        </w:rPr>
        <w:t>30</w:t>
      </w:r>
      <w:r w:rsidRPr="000A5B5D">
        <w:rPr>
          <w:rFonts w:ascii="Arial" w:hAnsi="Arial" w:cs="Arial" w:hint="eastAsia"/>
          <w:b/>
          <w:sz w:val="24"/>
        </w:rPr>
        <w:t>、</w:t>
      </w:r>
      <w:r w:rsidRPr="000A5B5D">
        <w:rPr>
          <w:rFonts w:ascii="Arial" w:hAnsi="宋体" w:cs="Arial" w:hint="eastAsia"/>
          <w:b/>
          <w:bCs/>
          <w:sz w:val="24"/>
        </w:rPr>
        <w:t>重大会计判断和估计</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本公司在运用会计政策过程中，由于经营活动内在的不确定性，本公司需要对无法准确计量的报表项目的账面价值进行判断、估计和假设。这些判断、估计和假设是基于本公司管理层过去的历史经验，并在考虑其他相关因素的基础上做出的。这些判断、估计和假设会影响收入、费用、资产和负债的报告金额以及资产负债表日或有负债的披露。然而，这些估计的不确定性所导致的实际结果可能与本公司管理层当前的估计存在差异，进而造成对未来受影响的资产或负债的账面金额进行重大调整。</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本公司对前述判断、估计和假设在持续经营的基础上进行定期复核，会计估计的变更仅影响变更当期的，其影响数在变更当期予以确认；既影响变更当期又影响未来期间的，其影响数在变更当期和未来期间予以确认。</w:t>
      </w:r>
    </w:p>
    <w:p w:rsidR="00851B9D" w:rsidRPr="000A5B5D" w:rsidRDefault="00851B9D" w:rsidP="00851B9D">
      <w:pPr>
        <w:spacing w:line="400" w:lineRule="exact"/>
        <w:ind w:firstLineChars="200" w:firstLine="480"/>
        <w:jc w:val="left"/>
        <w:rPr>
          <w:rFonts w:ascii="Arial" w:hAnsi="Arial" w:cs="Arial"/>
          <w:sz w:val="24"/>
        </w:rPr>
      </w:pPr>
      <w:r w:rsidRPr="000A5B5D">
        <w:rPr>
          <w:rFonts w:ascii="Arial" w:hAnsi="Arial" w:cs="Arial" w:hint="eastAsia"/>
          <w:sz w:val="24"/>
        </w:rPr>
        <w:t>于资产负债表日，本公司需对财务报表项目金额进行判断、估计和假设的重要领域如下：</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租赁的归类</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本公司根据《企业会计准则第</w:t>
      </w:r>
      <w:r w:rsidRPr="000A5B5D">
        <w:rPr>
          <w:rFonts w:ascii="Arial" w:hAnsi="Arial" w:cs="Arial"/>
          <w:sz w:val="24"/>
        </w:rPr>
        <w:t>21</w:t>
      </w:r>
      <w:r w:rsidRPr="000A5B5D">
        <w:rPr>
          <w:rFonts w:ascii="Arial" w:hAnsi="宋体" w:cs="Arial" w:hint="eastAsia"/>
          <w:sz w:val="24"/>
        </w:rPr>
        <w:t>号</w:t>
      </w:r>
      <w:r w:rsidRPr="000A5B5D">
        <w:rPr>
          <w:rFonts w:ascii="Arial" w:hAnsi="Arial" w:cs="Arial"/>
          <w:sz w:val="24"/>
        </w:rPr>
        <w:t>——</w:t>
      </w:r>
      <w:r w:rsidRPr="000A5B5D">
        <w:rPr>
          <w:rFonts w:ascii="Arial" w:hAnsi="宋体" w:cs="Arial" w:hint="eastAsia"/>
          <w:sz w:val="24"/>
        </w:rPr>
        <w:t>租赁》的规定，将租赁归类为经营租赁和融资租赁，在进行归类时，管理层需要对是否已将与租出资产所有权有关的全部风险和报酬实质上转移给承租人，或者本公司是否已经实质上承担与租入资产所有权有关的全部风险和报酬，作出分析和判断。</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坏账准备计提</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lastRenderedPageBreak/>
        <w:t>本公司根据应收款项的会计政策，采用备抵法核算坏账损失。应收款项减值是基于评估应收款项的可收回性。鉴定应收款项减值要求管理层的判断和估计。实际的结果与原先估计的差异将在估计被改变的期间影响应收款项的账面价值及应收款项坏账准备的计提或转回。</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存货跌价准备</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根据存货会计政策，按照成本与可变现净值孰低计量，对成本高于可变现净值及陈旧和滞销的存货，计提存货跌价准备。存货减值至可变现净值是基于评估存货的可售性及其可变现净值。鉴定存货减值要求管理层在取得确凿证据，并且考虑持有存货的目的、资产负债表日后事项的影响等因素的基础上作出判断和估计。实际的结果与原先估计的差异将在估计被改变的期间影响存货的账面价值及存货跌价准备的计提或转回。</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金融工具公允价值</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对不存在活跃交易市场的金融工具，本公司通过各种估值方法确定其公允价值。这些估值方法包括贴现现金流模型分析等。估值时本公司需对未来现金流量、信用风险、市场波动率和相关性等方面进行估计，并选择适当的折现率。这些相关假设具有不确定性，其变化会对金融工具的公允价值产生影响。</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长期资产减值准备</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于资产负债表日对除金融资产之外的非流动资产判断是否存在可能发生减值的迹象。对使用寿命不确定的无形资产，除每年进行的减值测试外，当其存在减值迹象时，也进行减值测试。其他除金融资产之外的非流动资产，当存在迹象表明其账面金额不可收回时，进行减值测试。</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当资产或资产组的账面价值高于可收回金额，即公允价值减去处置费用后的净额和预计未来现金流量的现值中的较高者，表明发生了减值。</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公允价值减去处置费用后的净额，参考公平交易中类似资产的销售协议价格或可观察到的市场价格，减去可直接归属于该资产处置的增量成本确定。</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在预计未来现金流量现值时，需要对该资产（或资产组）的产量、售价、相关经营成本以及计算现值时使用的折现率等作出重大判断。本公司在估计可收回金额时会采用所有能够获得的相关资料，包括根据合理和可支持的假设所作出有关产量、售价和相关经营成本的预测。</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至少每年测试商誉是否发生减值。这要求对分配了商誉的资产组或者资产组组合的未来现金流量的现值进行预计。对未来现金流量的现值进行预计时，本公司需要预计未来资产组或者资产组组合产生的现金流量，同时选择恰当的折现率确定未来现金流量的现值。</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折旧和摊销</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本公司对投资性房地产、固定资产和无形资产在考虑其残值后，在使用寿命内按直线法计提折旧和摊销。本公司定期复核使用寿命，以决定将计入每个报告期的折旧和摊销费用数</w:t>
      </w:r>
      <w:r w:rsidRPr="000A5B5D">
        <w:rPr>
          <w:rFonts w:ascii="Arial" w:hAnsi="宋体" w:cs="Arial" w:hint="eastAsia"/>
          <w:sz w:val="24"/>
        </w:rPr>
        <w:lastRenderedPageBreak/>
        <w:t>额。使用寿命是本公司根据对同类资产的以往经验并结合预期的技术更新而确定的。如果以前的估计发生重大变化，则会在未来期间对折旧和摊销费用进行调整。</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递延所得税资产</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在很有可能有足够的应纳税利润来抵扣亏损的限度内，本公司就所有未利用的税务亏损确认递延所得税资产。这需要本公司管理层运用大量的判断来估计未来应纳税利润发生的时间和金额，结合纳税筹划策略，以决定应确认的递延所得税资产的金额。</w:t>
      </w:r>
    </w:p>
    <w:p w:rsidR="00851B9D" w:rsidRPr="000A5B5D" w:rsidRDefault="00851B9D" w:rsidP="00851B9D">
      <w:pPr>
        <w:pStyle w:val="af5"/>
        <w:numPr>
          <w:ilvl w:val="0"/>
          <w:numId w:val="9"/>
        </w:numPr>
        <w:spacing w:line="400" w:lineRule="exact"/>
        <w:ind w:left="0" w:firstLineChars="0" w:firstLine="420"/>
        <w:rPr>
          <w:rFonts w:ascii="Arial" w:hAnsi="Arial" w:cs="Arial"/>
          <w:sz w:val="24"/>
        </w:rPr>
      </w:pPr>
      <w:r w:rsidRPr="000A5B5D">
        <w:rPr>
          <w:rFonts w:ascii="Arial" w:hAnsi="宋体" w:cs="Arial" w:hint="eastAsia"/>
          <w:sz w:val="24"/>
        </w:rPr>
        <w:t>所得税</w:t>
      </w:r>
    </w:p>
    <w:p w:rsidR="00851B9D" w:rsidRPr="000A5B5D" w:rsidRDefault="00851B9D" w:rsidP="00851B9D">
      <w:pPr>
        <w:spacing w:line="400" w:lineRule="exact"/>
        <w:ind w:firstLineChars="200" w:firstLine="480"/>
        <w:rPr>
          <w:rFonts w:ascii="Arial" w:hAnsi="Arial" w:cs="Arial"/>
          <w:sz w:val="24"/>
        </w:rPr>
      </w:pPr>
      <w:r w:rsidRPr="000A5B5D">
        <w:rPr>
          <w:rFonts w:ascii="Arial" w:hAnsi="宋体" w:cs="Arial" w:hint="eastAsia"/>
          <w:sz w:val="24"/>
        </w:rPr>
        <w:t>本公司在正常的经营活动中，有部分交易其最终的税务处理和计算存在一定的不确定性。部分项目是否能够在税前列支需要税收主管机关的审批。如果这些税务事项的最终认定结果同最初估计的金额存在差异，则该差异将对其最终认定期间的当期所得税和递延所得税产生影响。</w:t>
      </w:r>
    </w:p>
    <w:p w:rsidR="00851B9D" w:rsidRPr="000A5B5D" w:rsidRDefault="00851B9D" w:rsidP="00851B9D">
      <w:pPr>
        <w:pStyle w:val="af5"/>
        <w:numPr>
          <w:ilvl w:val="0"/>
          <w:numId w:val="9"/>
        </w:numPr>
        <w:spacing w:line="400" w:lineRule="exact"/>
        <w:ind w:left="0" w:firstLineChars="0" w:firstLine="420"/>
        <w:rPr>
          <w:rFonts w:ascii="Arial" w:hAnsi="宋体" w:cs="Arial"/>
          <w:sz w:val="24"/>
        </w:rPr>
      </w:pPr>
      <w:r w:rsidRPr="000A5B5D">
        <w:rPr>
          <w:rFonts w:ascii="Arial" w:hAnsi="宋体" w:cs="Arial" w:hint="eastAsia"/>
          <w:sz w:val="24"/>
        </w:rPr>
        <w:t>公允价值计量</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的某些资产和负债在财务报表中按公允价值计量。在对某项资产或负债的公允价值作出估计时，本公司采用可获得的可观察市场数据。如果无法获得第一层次输入值，本公司会聘用第三方有资质的评估师来执行估价。在确定各类资产和负债的公允价值的过程中所采用的估值技术和输入值的相关信息在附注十中披露。</w:t>
      </w:r>
    </w:p>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税项</w:t>
      </w:r>
    </w:p>
    <w:p w:rsidR="00851B9D" w:rsidRPr="000A5B5D" w:rsidRDefault="00851B9D" w:rsidP="00851B9D">
      <w:pPr>
        <w:spacing w:line="400" w:lineRule="exact"/>
        <w:ind w:left="482"/>
        <w:outlineLvl w:val="1"/>
        <w:rPr>
          <w:rFonts w:ascii="Arial" w:hAnsi="Arial" w:cs="Arial"/>
          <w:b/>
          <w:sz w:val="24"/>
        </w:rPr>
      </w:pPr>
      <w:r w:rsidRPr="000A5B5D">
        <w:rPr>
          <w:rFonts w:ascii="Arial" w:hAnsi="Arial" w:cs="Arial"/>
          <w:b/>
          <w:sz w:val="24"/>
        </w:rPr>
        <w:t>1</w:t>
      </w:r>
      <w:r w:rsidRPr="000A5B5D">
        <w:rPr>
          <w:rFonts w:ascii="Arial" w:hAnsi="Arial" w:cs="Arial" w:hint="eastAsia"/>
          <w:b/>
          <w:sz w:val="24"/>
        </w:rPr>
        <w:t>、主要税种及税率</w:t>
      </w:r>
    </w:p>
    <w:tbl>
      <w:tblPr>
        <w:tblW w:w="9072"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037"/>
        <w:gridCol w:w="6035"/>
      </w:tblGrid>
      <w:tr w:rsidR="00851B9D" w:rsidRPr="000A5B5D" w:rsidTr="00851B9D">
        <w:trPr>
          <w:tblHeader/>
        </w:trPr>
        <w:tc>
          <w:tcPr>
            <w:tcW w:w="3037" w:type="dxa"/>
            <w:tcBorders>
              <w:top w:val="single" w:sz="12" w:space="0" w:color="auto"/>
            </w:tcBorders>
            <w:vAlign w:val="center"/>
          </w:tcPr>
          <w:p w:rsidR="00851B9D" w:rsidRPr="000A5B5D" w:rsidRDefault="00851B9D" w:rsidP="00851B9D">
            <w:pPr>
              <w:tabs>
                <w:tab w:val="left" w:pos="2520"/>
              </w:tabs>
              <w:overflowPunct w:val="0"/>
              <w:autoSpaceDE w:val="0"/>
              <w:autoSpaceDN w:val="0"/>
              <w:adjustRightInd w:val="0"/>
              <w:snapToGrid w:val="0"/>
              <w:spacing w:line="400" w:lineRule="exact"/>
              <w:jc w:val="center"/>
              <w:textAlignment w:val="bottom"/>
              <w:rPr>
                <w:rFonts w:ascii="Arial" w:hAnsi="Arial" w:cs="Arial"/>
                <w:snapToGrid w:val="0"/>
              </w:rPr>
            </w:pPr>
            <w:r w:rsidRPr="000A5B5D">
              <w:rPr>
                <w:rFonts w:ascii="Arial" w:hAnsi="Arial" w:cs="Arial" w:hint="eastAsia"/>
                <w:snapToGrid w:val="0"/>
              </w:rPr>
              <w:t>税种</w:t>
            </w:r>
          </w:p>
        </w:tc>
        <w:tc>
          <w:tcPr>
            <w:tcW w:w="6035" w:type="dxa"/>
            <w:tcBorders>
              <w:top w:val="single" w:sz="12" w:space="0" w:color="auto"/>
            </w:tcBorders>
            <w:vAlign w:val="center"/>
          </w:tcPr>
          <w:p w:rsidR="00851B9D" w:rsidRPr="000A5B5D" w:rsidRDefault="00851B9D" w:rsidP="00851B9D">
            <w:pPr>
              <w:tabs>
                <w:tab w:val="left" w:pos="2520"/>
              </w:tabs>
              <w:overflowPunct w:val="0"/>
              <w:autoSpaceDE w:val="0"/>
              <w:autoSpaceDN w:val="0"/>
              <w:adjustRightInd w:val="0"/>
              <w:snapToGrid w:val="0"/>
              <w:spacing w:line="400" w:lineRule="exact"/>
              <w:jc w:val="center"/>
              <w:textAlignment w:val="bottom"/>
              <w:rPr>
                <w:rFonts w:ascii="Arial" w:hAnsi="Arial" w:cs="Arial"/>
                <w:snapToGrid w:val="0"/>
              </w:rPr>
            </w:pPr>
            <w:r w:rsidRPr="000A5B5D">
              <w:rPr>
                <w:rFonts w:ascii="Arial" w:hAnsi="Arial" w:cs="Arial" w:hint="eastAsia"/>
                <w:snapToGrid w:val="0"/>
              </w:rPr>
              <w:t>具体税率情况</w:t>
            </w:r>
          </w:p>
        </w:tc>
      </w:tr>
      <w:tr w:rsidR="00851B9D" w:rsidRPr="000A5B5D" w:rsidTr="00851B9D">
        <w:tc>
          <w:tcPr>
            <w:tcW w:w="3037"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增值税</w:t>
            </w:r>
          </w:p>
        </w:tc>
        <w:tc>
          <w:tcPr>
            <w:tcW w:w="6035"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应税收入按</w:t>
            </w:r>
            <w:r w:rsidRPr="000A5B5D">
              <w:rPr>
                <w:rFonts w:ascii="Arial" w:hAnsi="Arial" w:cs="Arial"/>
                <w:snapToGrid w:val="0"/>
              </w:rPr>
              <w:t>17%</w:t>
            </w:r>
            <w:r w:rsidRPr="000A5B5D">
              <w:rPr>
                <w:rFonts w:ascii="Arial" w:hAnsi="Arial" w:cs="Arial" w:hint="eastAsia"/>
                <w:snapToGrid w:val="0"/>
              </w:rPr>
              <w:t>、</w:t>
            </w:r>
            <w:r w:rsidRPr="000A5B5D">
              <w:rPr>
                <w:rFonts w:ascii="Arial" w:hAnsi="Arial" w:cs="Arial"/>
                <w:snapToGrid w:val="0"/>
              </w:rPr>
              <w:t xml:space="preserve">6% </w:t>
            </w:r>
            <w:r w:rsidRPr="000A5B5D">
              <w:rPr>
                <w:rFonts w:ascii="Arial" w:hAnsi="Arial" w:cs="Arial" w:hint="eastAsia"/>
                <w:snapToGrid w:val="0"/>
              </w:rPr>
              <w:t>的税率计算销项税，并按扣除当期允许抵扣的进项税额后的差额计缴增值税。</w:t>
            </w:r>
          </w:p>
        </w:tc>
      </w:tr>
      <w:tr w:rsidR="00851B9D" w:rsidRPr="000A5B5D" w:rsidTr="00851B9D">
        <w:tc>
          <w:tcPr>
            <w:tcW w:w="3037"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营业税</w:t>
            </w:r>
          </w:p>
        </w:tc>
        <w:tc>
          <w:tcPr>
            <w:tcW w:w="6035"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按应税营业额的</w:t>
            </w:r>
            <w:r w:rsidRPr="000A5B5D">
              <w:rPr>
                <w:rFonts w:ascii="Arial" w:hAnsi="Arial" w:cs="Arial"/>
                <w:snapToGrid w:val="0"/>
              </w:rPr>
              <w:t>3%</w:t>
            </w:r>
            <w:r w:rsidRPr="000A5B5D">
              <w:rPr>
                <w:rFonts w:ascii="Arial" w:hAnsi="Arial" w:cs="Arial" w:hint="eastAsia"/>
                <w:snapToGrid w:val="0"/>
              </w:rPr>
              <w:t>、</w:t>
            </w:r>
            <w:r w:rsidRPr="000A5B5D">
              <w:rPr>
                <w:rFonts w:ascii="Arial" w:hAnsi="Arial" w:cs="Arial"/>
                <w:snapToGrid w:val="0"/>
              </w:rPr>
              <w:t xml:space="preserve">5% </w:t>
            </w:r>
            <w:r w:rsidRPr="000A5B5D">
              <w:rPr>
                <w:rFonts w:ascii="Arial" w:hAnsi="Arial" w:cs="Arial" w:hint="eastAsia"/>
                <w:snapToGrid w:val="0"/>
              </w:rPr>
              <w:t>计缴营业税。</w:t>
            </w:r>
          </w:p>
        </w:tc>
      </w:tr>
      <w:tr w:rsidR="00851B9D" w:rsidRPr="000A5B5D" w:rsidTr="00851B9D">
        <w:tc>
          <w:tcPr>
            <w:tcW w:w="3037"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城市维护建设税</w:t>
            </w:r>
          </w:p>
        </w:tc>
        <w:tc>
          <w:tcPr>
            <w:tcW w:w="6035"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按实际缴纳的流转税的</w:t>
            </w:r>
            <w:r w:rsidRPr="000A5B5D">
              <w:rPr>
                <w:rFonts w:ascii="Arial" w:hAnsi="Arial" w:cs="Arial"/>
                <w:snapToGrid w:val="0"/>
              </w:rPr>
              <w:t xml:space="preserve">7% </w:t>
            </w:r>
            <w:r w:rsidRPr="000A5B5D">
              <w:rPr>
                <w:rFonts w:ascii="Arial" w:hAnsi="Arial" w:cs="Arial" w:hint="eastAsia"/>
                <w:snapToGrid w:val="0"/>
              </w:rPr>
              <w:t>计缴。</w:t>
            </w:r>
          </w:p>
        </w:tc>
      </w:tr>
      <w:tr w:rsidR="00851B9D" w:rsidRPr="000A5B5D" w:rsidTr="00851B9D">
        <w:tc>
          <w:tcPr>
            <w:tcW w:w="3037"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szCs w:val="21"/>
              </w:rPr>
            </w:pPr>
            <w:r w:rsidRPr="000A5B5D">
              <w:rPr>
                <w:rFonts w:ascii="Arial" w:hAnsi="Arial" w:cs="Arial" w:hint="eastAsia"/>
                <w:kern w:val="0"/>
                <w:szCs w:val="21"/>
              </w:rPr>
              <w:t>教育费附加</w:t>
            </w:r>
          </w:p>
        </w:tc>
        <w:tc>
          <w:tcPr>
            <w:tcW w:w="6035"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按实际缴纳的流转税的</w:t>
            </w:r>
            <w:r w:rsidRPr="000A5B5D">
              <w:rPr>
                <w:rFonts w:ascii="Arial" w:hAnsi="Arial" w:cs="Arial"/>
                <w:snapToGrid w:val="0"/>
              </w:rPr>
              <w:t xml:space="preserve">3% </w:t>
            </w:r>
            <w:r w:rsidRPr="000A5B5D">
              <w:rPr>
                <w:rFonts w:ascii="Arial" w:hAnsi="Arial" w:cs="Arial" w:hint="eastAsia"/>
                <w:snapToGrid w:val="0"/>
              </w:rPr>
              <w:t>计缴。</w:t>
            </w:r>
          </w:p>
        </w:tc>
      </w:tr>
      <w:tr w:rsidR="00851B9D" w:rsidRPr="000A5B5D" w:rsidTr="00851B9D">
        <w:tc>
          <w:tcPr>
            <w:tcW w:w="3037"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szCs w:val="21"/>
              </w:rPr>
            </w:pPr>
            <w:r w:rsidRPr="000A5B5D">
              <w:rPr>
                <w:rFonts w:ascii="Arial" w:hAnsi="Arial" w:cs="Arial" w:hint="eastAsia"/>
                <w:kern w:val="0"/>
                <w:szCs w:val="21"/>
              </w:rPr>
              <w:t>地方教育费附加</w:t>
            </w:r>
          </w:p>
        </w:tc>
        <w:tc>
          <w:tcPr>
            <w:tcW w:w="6035" w:type="dxa"/>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按实际缴纳的流转税的</w:t>
            </w:r>
            <w:r w:rsidRPr="000A5B5D">
              <w:rPr>
                <w:rFonts w:ascii="Arial" w:hAnsi="Arial" w:cs="Arial"/>
                <w:snapToGrid w:val="0"/>
              </w:rPr>
              <w:t xml:space="preserve">2% </w:t>
            </w:r>
            <w:r w:rsidRPr="000A5B5D">
              <w:rPr>
                <w:rFonts w:ascii="Arial" w:hAnsi="Arial" w:cs="Arial" w:hint="eastAsia"/>
                <w:snapToGrid w:val="0"/>
              </w:rPr>
              <w:t>计缴。</w:t>
            </w:r>
          </w:p>
        </w:tc>
      </w:tr>
      <w:tr w:rsidR="00851B9D" w:rsidRPr="000A5B5D" w:rsidTr="00851B9D">
        <w:tc>
          <w:tcPr>
            <w:tcW w:w="3037" w:type="dxa"/>
            <w:tcBorders>
              <w:bottom w:val="single" w:sz="12" w:space="0" w:color="auto"/>
            </w:tcBorders>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企业所得税</w:t>
            </w:r>
          </w:p>
        </w:tc>
        <w:tc>
          <w:tcPr>
            <w:tcW w:w="6035" w:type="dxa"/>
            <w:tcBorders>
              <w:bottom w:val="single" w:sz="12" w:space="0" w:color="auto"/>
            </w:tcBorders>
            <w:vAlign w:val="center"/>
          </w:tcPr>
          <w:p w:rsidR="00851B9D" w:rsidRPr="000A5B5D" w:rsidRDefault="00851B9D" w:rsidP="00851B9D">
            <w:pPr>
              <w:tabs>
                <w:tab w:val="left" w:pos="2520"/>
              </w:tabs>
              <w:overflowPunct w:val="0"/>
              <w:autoSpaceDE w:val="0"/>
              <w:autoSpaceDN w:val="0"/>
              <w:adjustRightInd w:val="0"/>
              <w:snapToGrid w:val="0"/>
              <w:spacing w:line="400" w:lineRule="exact"/>
              <w:textAlignment w:val="bottom"/>
              <w:rPr>
                <w:rFonts w:ascii="Arial" w:hAnsi="Arial" w:cs="Arial"/>
                <w:snapToGrid w:val="0"/>
              </w:rPr>
            </w:pPr>
            <w:r w:rsidRPr="000A5B5D">
              <w:rPr>
                <w:rFonts w:ascii="Arial" w:hAnsi="Arial" w:cs="Arial" w:hint="eastAsia"/>
                <w:snapToGrid w:val="0"/>
              </w:rPr>
              <w:t>按应纳税所得额的</w:t>
            </w:r>
            <w:r w:rsidRPr="000A5B5D">
              <w:rPr>
                <w:rFonts w:ascii="Arial" w:hAnsi="Arial" w:cs="Arial"/>
                <w:snapToGrid w:val="0"/>
              </w:rPr>
              <w:t>25%</w:t>
            </w:r>
            <w:r w:rsidRPr="000A5B5D">
              <w:rPr>
                <w:rFonts w:ascii="Arial" w:hAnsi="Arial" w:cs="Arial" w:hint="eastAsia"/>
                <w:snapToGrid w:val="0"/>
              </w:rPr>
              <w:t>、</w:t>
            </w:r>
            <w:r w:rsidRPr="000A5B5D">
              <w:rPr>
                <w:rFonts w:ascii="Arial" w:hAnsi="Arial" w:cs="Arial"/>
                <w:snapToGrid w:val="0"/>
              </w:rPr>
              <w:t>15%</w:t>
            </w:r>
            <w:r w:rsidRPr="000A5B5D">
              <w:rPr>
                <w:rFonts w:ascii="Arial" w:hAnsi="Arial" w:cs="Arial" w:hint="eastAsia"/>
                <w:snapToGrid w:val="0"/>
              </w:rPr>
              <w:t>、</w:t>
            </w:r>
            <w:r w:rsidRPr="000A5B5D">
              <w:rPr>
                <w:rFonts w:ascii="Arial" w:hAnsi="Arial" w:cs="Arial"/>
                <w:snapToGrid w:val="0"/>
              </w:rPr>
              <w:t xml:space="preserve">16.5% </w:t>
            </w:r>
            <w:r w:rsidRPr="000A5B5D">
              <w:rPr>
                <w:rFonts w:ascii="Arial" w:hAnsi="Arial" w:cs="Arial" w:hint="eastAsia"/>
                <w:snapToGrid w:val="0"/>
              </w:rPr>
              <w:t>计缴。</w:t>
            </w:r>
          </w:p>
        </w:tc>
      </w:tr>
    </w:tbl>
    <w:p w:rsidR="00851B9D" w:rsidRPr="000A5B5D" w:rsidRDefault="00851B9D" w:rsidP="00851B9D">
      <w:pPr>
        <w:spacing w:line="400" w:lineRule="exact"/>
        <w:ind w:left="482"/>
        <w:outlineLvl w:val="1"/>
        <w:rPr>
          <w:rFonts w:ascii="Arial" w:hAnsi="Arial" w:cs="Arial"/>
          <w:b/>
          <w:sz w:val="24"/>
        </w:rPr>
      </w:pPr>
      <w:r w:rsidRPr="000A5B5D">
        <w:rPr>
          <w:rFonts w:ascii="Arial" w:hAnsi="Arial" w:cs="Arial"/>
          <w:b/>
          <w:sz w:val="24"/>
        </w:rPr>
        <w:t>2</w:t>
      </w:r>
      <w:r w:rsidRPr="000A5B5D">
        <w:rPr>
          <w:rFonts w:ascii="Arial" w:hAnsi="Arial" w:cs="Arial" w:hint="eastAsia"/>
          <w:b/>
          <w:sz w:val="24"/>
        </w:rPr>
        <w:t>、税收优惠及批文</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snapToGrid w:val="0"/>
          <w:sz w:val="24"/>
          <w:szCs w:val="24"/>
        </w:rPr>
        <w:tab/>
      </w:r>
      <w:r w:rsidRPr="000A5B5D">
        <w:rPr>
          <w:rFonts w:ascii="Arial" w:hAnsi="Arial" w:cs="Arial" w:hint="eastAsia"/>
          <w:snapToGrid w:val="0"/>
          <w:sz w:val="24"/>
          <w:szCs w:val="24"/>
        </w:rPr>
        <w:t>（</w:t>
      </w:r>
      <w:r w:rsidRPr="000A5B5D">
        <w:rPr>
          <w:rFonts w:ascii="Arial" w:hAnsi="Arial" w:cs="Arial"/>
          <w:snapToGrid w:val="0"/>
          <w:sz w:val="24"/>
          <w:szCs w:val="24"/>
        </w:rPr>
        <w:t>1</w:t>
      </w:r>
      <w:r w:rsidRPr="000A5B5D">
        <w:rPr>
          <w:rFonts w:ascii="Arial" w:hAnsi="Arial" w:cs="Arial" w:hint="eastAsia"/>
          <w:snapToGrid w:val="0"/>
          <w:sz w:val="24"/>
          <w:szCs w:val="24"/>
        </w:rPr>
        <w:t>）根据财税【</w:t>
      </w:r>
      <w:r w:rsidRPr="000A5B5D">
        <w:rPr>
          <w:rFonts w:ascii="Arial" w:hAnsi="Arial" w:cs="Arial"/>
          <w:snapToGrid w:val="0"/>
          <w:sz w:val="24"/>
          <w:szCs w:val="24"/>
        </w:rPr>
        <w:t>2007</w:t>
      </w:r>
      <w:r w:rsidRPr="000A5B5D">
        <w:rPr>
          <w:rFonts w:ascii="Arial" w:hAnsi="Arial" w:cs="Arial" w:hint="eastAsia"/>
          <w:snapToGrid w:val="0"/>
          <w:sz w:val="24"/>
          <w:szCs w:val="24"/>
        </w:rPr>
        <w:t>】</w:t>
      </w:r>
      <w:r w:rsidRPr="000A5B5D">
        <w:rPr>
          <w:rFonts w:ascii="Arial" w:hAnsi="Arial" w:cs="Arial"/>
          <w:snapToGrid w:val="0"/>
          <w:sz w:val="24"/>
          <w:szCs w:val="24"/>
        </w:rPr>
        <w:t>92</w:t>
      </w:r>
      <w:r w:rsidRPr="000A5B5D">
        <w:rPr>
          <w:rFonts w:ascii="Arial" w:hAnsi="Arial" w:cs="Arial" w:hint="eastAsia"/>
          <w:snapToGrid w:val="0"/>
          <w:sz w:val="24"/>
          <w:szCs w:val="24"/>
        </w:rPr>
        <w:t>号《关于促进残疾人就业税收优惠的通知》，本公司之控股子企业浙江恒逸聚合物有限公司（以下简称</w:t>
      </w:r>
      <w:r w:rsidRPr="000A5B5D">
        <w:rPr>
          <w:rFonts w:ascii="Arial" w:hAnsi="Arial" w:cs="Arial"/>
          <w:snapToGrid w:val="0"/>
          <w:sz w:val="24"/>
          <w:szCs w:val="24"/>
        </w:rPr>
        <w:t>“</w:t>
      </w:r>
      <w:r w:rsidRPr="000A5B5D">
        <w:rPr>
          <w:rFonts w:ascii="Arial" w:hAnsi="Arial" w:cs="Arial" w:hint="eastAsia"/>
          <w:snapToGrid w:val="0"/>
          <w:sz w:val="24"/>
          <w:szCs w:val="24"/>
        </w:rPr>
        <w:t>聚合物公司</w:t>
      </w:r>
      <w:r w:rsidRPr="000A5B5D">
        <w:rPr>
          <w:rFonts w:ascii="Arial" w:hAnsi="Arial" w:cs="Arial"/>
          <w:snapToGrid w:val="0"/>
          <w:sz w:val="24"/>
          <w:szCs w:val="24"/>
        </w:rPr>
        <w:t>”</w:t>
      </w:r>
      <w:r w:rsidRPr="000A5B5D">
        <w:rPr>
          <w:rFonts w:ascii="Arial" w:hAnsi="Arial" w:cs="Arial" w:hint="eastAsia"/>
          <w:snapToGrid w:val="0"/>
          <w:sz w:val="24"/>
          <w:szCs w:val="24"/>
        </w:rPr>
        <w:t>）因安置残疾人就业并满足相关条件，而享受对应的税收优惠政策。聚合物公司备案申请退还其</w:t>
      </w:r>
      <w:r w:rsidRPr="000A5B5D">
        <w:rPr>
          <w:rFonts w:ascii="Arial" w:hAnsi="Arial" w:cs="Arial"/>
          <w:snapToGrid w:val="0"/>
          <w:sz w:val="24"/>
          <w:szCs w:val="24"/>
        </w:rPr>
        <w:t>2015</w:t>
      </w:r>
      <w:r w:rsidRPr="000A5B5D">
        <w:rPr>
          <w:rFonts w:ascii="Arial" w:hAnsi="Arial" w:cs="Arial" w:hint="eastAsia"/>
          <w:snapToGrid w:val="0"/>
          <w:sz w:val="24"/>
          <w:szCs w:val="24"/>
        </w:rPr>
        <w:t>年度自产增值税应税货物、</w:t>
      </w:r>
      <w:r w:rsidRPr="000A5B5D">
        <w:rPr>
          <w:rFonts w:ascii="Arial" w:hAnsi="Arial" w:cs="Arial" w:hint="eastAsia"/>
          <w:snapToGrid w:val="0"/>
          <w:sz w:val="24"/>
          <w:szCs w:val="24"/>
        </w:rPr>
        <w:lastRenderedPageBreak/>
        <w:t>应税劳务已入库的增值税款，可退限额为每单位实际安置残疾人员每年不超过</w:t>
      </w:r>
      <w:r w:rsidRPr="000A5B5D">
        <w:rPr>
          <w:rFonts w:ascii="Arial" w:hAnsi="Arial" w:cs="Arial"/>
          <w:snapToGrid w:val="0"/>
          <w:sz w:val="24"/>
          <w:szCs w:val="24"/>
        </w:rPr>
        <w:t>3.5</w:t>
      </w:r>
      <w:r w:rsidRPr="000A5B5D">
        <w:rPr>
          <w:rFonts w:ascii="Arial" w:hAnsi="Arial" w:cs="Arial" w:hint="eastAsia"/>
          <w:snapToGrid w:val="0"/>
          <w:sz w:val="24"/>
          <w:szCs w:val="24"/>
        </w:rPr>
        <w:t>万元。</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hint="eastAsia"/>
          <w:snapToGrid w:val="0"/>
          <w:sz w:val="24"/>
          <w:szCs w:val="24"/>
        </w:rPr>
        <w:t>（</w:t>
      </w:r>
      <w:r w:rsidRPr="000A5B5D">
        <w:rPr>
          <w:rFonts w:ascii="Arial" w:hAnsi="Arial" w:cs="Arial"/>
          <w:snapToGrid w:val="0"/>
          <w:sz w:val="24"/>
          <w:szCs w:val="24"/>
        </w:rPr>
        <w:t>2</w:t>
      </w:r>
      <w:r w:rsidRPr="000A5B5D">
        <w:rPr>
          <w:rFonts w:ascii="Arial" w:hAnsi="Arial" w:cs="Arial" w:hint="eastAsia"/>
          <w:snapToGrid w:val="0"/>
          <w:sz w:val="24"/>
          <w:szCs w:val="24"/>
        </w:rPr>
        <w:t>）据浙江省科技厅于</w:t>
      </w:r>
      <w:r w:rsidRPr="000A5B5D">
        <w:rPr>
          <w:rFonts w:ascii="Arial" w:hAnsi="Arial" w:cs="Arial"/>
          <w:snapToGrid w:val="0"/>
          <w:sz w:val="24"/>
          <w:szCs w:val="24"/>
        </w:rPr>
        <w:t>2011</w:t>
      </w:r>
      <w:r w:rsidRPr="000A5B5D">
        <w:rPr>
          <w:rFonts w:ascii="Arial" w:hAnsi="Arial" w:cs="Arial" w:hint="eastAsia"/>
          <w:snapToGrid w:val="0"/>
          <w:sz w:val="24"/>
          <w:szCs w:val="24"/>
        </w:rPr>
        <w:t>年</w:t>
      </w:r>
      <w:r w:rsidRPr="000A5B5D">
        <w:rPr>
          <w:rFonts w:ascii="Arial" w:hAnsi="Arial" w:cs="Arial"/>
          <w:snapToGrid w:val="0"/>
          <w:sz w:val="24"/>
          <w:szCs w:val="24"/>
        </w:rPr>
        <w:t>12</w:t>
      </w:r>
      <w:r w:rsidRPr="000A5B5D">
        <w:rPr>
          <w:rFonts w:ascii="Arial" w:hAnsi="Arial" w:cs="Arial" w:hint="eastAsia"/>
          <w:snapToGrid w:val="0"/>
          <w:sz w:val="24"/>
          <w:szCs w:val="24"/>
        </w:rPr>
        <w:t>月</w:t>
      </w:r>
      <w:r w:rsidRPr="000A5B5D">
        <w:rPr>
          <w:rFonts w:ascii="Arial" w:hAnsi="Arial" w:cs="Arial"/>
          <w:snapToGrid w:val="0"/>
          <w:sz w:val="24"/>
          <w:szCs w:val="24"/>
        </w:rPr>
        <w:t>30</w:t>
      </w:r>
      <w:r w:rsidRPr="000A5B5D">
        <w:rPr>
          <w:rFonts w:ascii="Arial" w:hAnsi="Arial" w:cs="Arial" w:hint="eastAsia"/>
          <w:snapToGrid w:val="0"/>
          <w:sz w:val="24"/>
          <w:szCs w:val="24"/>
        </w:rPr>
        <w:t>日发布的</w:t>
      </w:r>
      <w:r w:rsidRPr="000A5B5D">
        <w:rPr>
          <w:rFonts w:ascii="Arial" w:hAnsi="Arial" w:cs="Arial"/>
          <w:snapToGrid w:val="0"/>
          <w:sz w:val="24"/>
          <w:szCs w:val="24"/>
        </w:rPr>
        <w:t>“</w:t>
      </w:r>
      <w:r w:rsidRPr="000A5B5D">
        <w:rPr>
          <w:rFonts w:ascii="Arial" w:hAnsi="Arial" w:cs="Arial" w:hint="eastAsia"/>
          <w:snapToGrid w:val="0"/>
          <w:sz w:val="24"/>
          <w:szCs w:val="24"/>
        </w:rPr>
        <w:t>关于认定杭州阿普科技有限公司等</w:t>
      </w:r>
      <w:r w:rsidRPr="000A5B5D">
        <w:rPr>
          <w:rFonts w:ascii="Arial" w:hAnsi="Arial" w:cs="Arial"/>
          <w:snapToGrid w:val="0"/>
          <w:sz w:val="24"/>
          <w:szCs w:val="24"/>
        </w:rPr>
        <w:t>306</w:t>
      </w:r>
      <w:r w:rsidRPr="000A5B5D">
        <w:rPr>
          <w:rFonts w:ascii="Arial" w:hAnsi="Arial" w:cs="Arial" w:hint="eastAsia"/>
          <w:snapToGrid w:val="0"/>
          <w:sz w:val="24"/>
          <w:szCs w:val="24"/>
        </w:rPr>
        <w:t>家企业为</w:t>
      </w:r>
      <w:r w:rsidRPr="000A5B5D">
        <w:rPr>
          <w:rFonts w:ascii="Arial" w:hAnsi="Arial" w:cs="Arial"/>
          <w:snapToGrid w:val="0"/>
          <w:sz w:val="24"/>
          <w:szCs w:val="24"/>
        </w:rPr>
        <w:t>2011</w:t>
      </w:r>
      <w:r w:rsidRPr="000A5B5D">
        <w:rPr>
          <w:rFonts w:ascii="Arial" w:hAnsi="Arial" w:cs="Arial" w:hint="eastAsia"/>
          <w:snapToGrid w:val="0"/>
          <w:sz w:val="24"/>
          <w:szCs w:val="24"/>
        </w:rPr>
        <w:t>年第二批高新技术企业的通知</w:t>
      </w:r>
      <w:r w:rsidRPr="000A5B5D">
        <w:rPr>
          <w:rFonts w:ascii="Arial" w:hAnsi="Arial" w:cs="Arial"/>
          <w:snapToGrid w:val="0"/>
          <w:sz w:val="24"/>
          <w:szCs w:val="24"/>
        </w:rPr>
        <w:t>”</w:t>
      </w:r>
      <w:r w:rsidRPr="000A5B5D">
        <w:rPr>
          <w:rFonts w:ascii="Arial" w:hAnsi="Arial" w:cs="Arial" w:hint="eastAsia"/>
          <w:snapToGrid w:val="0"/>
          <w:sz w:val="24"/>
          <w:szCs w:val="24"/>
        </w:rPr>
        <w:t>［浙科发高（</w:t>
      </w:r>
      <w:r w:rsidRPr="000A5B5D">
        <w:rPr>
          <w:rFonts w:ascii="Arial" w:hAnsi="Arial" w:cs="Arial"/>
          <w:snapToGrid w:val="0"/>
          <w:sz w:val="24"/>
          <w:szCs w:val="24"/>
        </w:rPr>
        <w:t>2011</w:t>
      </w:r>
      <w:r w:rsidRPr="000A5B5D">
        <w:rPr>
          <w:rFonts w:ascii="Arial" w:hAnsi="Arial" w:cs="Arial" w:hint="eastAsia"/>
          <w:snapToGrid w:val="0"/>
          <w:sz w:val="24"/>
          <w:szCs w:val="24"/>
        </w:rPr>
        <w:t>）</w:t>
      </w:r>
      <w:r w:rsidRPr="000A5B5D">
        <w:rPr>
          <w:rFonts w:ascii="Arial" w:hAnsi="Arial" w:cs="Arial"/>
          <w:snapToGrid w:val="0"/>
          <w:sz w:val="24"/>
          <w:szCs w:val="24"/>
        </w:rPr>
        <w:t>262</w:t>
      </w:r>
      <w:r w:rsidRPr="000A5B5D">
        <w:rPr>
          <w:rFonts w:ascii="Arial" w:hAnsi="Arial" w:cs="Arial" w:hint="eastAsia"/>
          <w:snapToGrid w:val="0"/>
          <w:sz w:val="24"/>
          <w:szCs w:val="24"/>
        </w:rPr>
        <w:t>号］，本公司之子公司浙江恒逸高新材料有限公司（以下简称</w:t>
      </w:r>
      <w:r w:rsidRPr="000A5B5D">
        <w:rPr>
          <w:rFonts w:ascii="Arial" w:hAnsi="Arial" w:cs="Arial"/>
          <w:snapToGrid w:val="0"/>
          <w:sz w:val="24"/>
          <w:szCs w:val="24"/>
        </w:rPr>
        <w:t>“</w:t>
      </w:r>
      <w:r w:rsidRPr="000A5B5D">
        <w:rPr>
          <w:rFonts w:ascii="Arial" w:hAnsi="Arial" w:cs="Arial" w:hint="eastAsia"/>
          <w:snapToGrid w:val="0"/>
          <w:sz w:val="24"/>
          <w:szCs w:val="24"/>
        </w:rPr>
        <w:t>恒逸高新材料</w:t>
      </w:r>
      <w:r w:rsidRPr="000A5B5D">
        <w:rPr>
          <w:rFonts w:ascii="Arial" w:hAnsi="Arial" w:cs="Arial"/>
          <w:snapToGrid w:val="0"/>
          <w:sz w:val="24"/>
          <w:szCs w:val="24"/>
        </w:rPr>
        <w:t>”</w:t>
      </w:r>
      <w:r w:rsidRPr="000A5B5D">
        <w:rPr>
          <w:rFonts w:ascii="Arial" w:hAnsi="Arial" w:cs="Arial" w:hint="eastAsia"/>
          <w:snapToGrid w:val="0"/>
          <w:sz w:val="24"/>
          <w:szCs w:val="24"/>
        </w:rPr>
        <w:t>）被认定为高新技术企业，企业所得税优惠期为</w:t>
      </w:r>
      <w:r w:rsidRPr="000A5B5D">
        <w:rPr>
          <w:rFonts w:ascii="Arial" w:hAnsi="Arial" w:cs="Arial"/>
          <w:snapToGrid w:val="0"/>
          <w:sz w:val="24"/>
          <w:szCs w:val="24"/>
        </w:rPr>
        <w:t>2011</w:t>
      </w:r>
      <w:r w:rsidRPr="000A5B5D">
        <w:rPr>
          <w:rFonts w:ascii="Arial" w:hAnsi="Arial" w:cs="Arial" w:hint="eastAsia"/>
          <w:snapToGrid w:val="0"/>
          <w:sz w:val="24"/>
          <w:szCs w:val="24"/>
        </w:rPr>
        <w:t>年</w:t>
      </w:r>
      <w:r w:rsidRPr="000A5B5D">
        <w:rPr>
          <w:rFonts w:ascii="Arial" w:hAnsi="Arial" w:cs="Arial"/>
          <w:snapToGrid w:val="0"/>
          <w:sz w:val="24"/>
          <w:szCs w:val="24"/>
        </w:rPr>
        <w:t>1</w:t>
      </w:r>
      <w:r w:rsidRPr="000A5B5D">
        <w:rPr>
          <w:rFonts w:ascii="Arial" w:hAnsi="Arial" w:cs="Arial" w:hint="eastAsia"/>
          <w:snapToGrid w:val="0"/>
          <w:sz w:val="24"/>
          <w:szCs w:val="24"/>
        </w:rPr>
        <w:t>月</w:t>
      </w:r>
      <w:r w:rsidRPr="000A5B5D">
        <w:rPr>
          <w:rFonts w:ascii="Arial" w:hAnsi="Arial" w:cs="Arial"/>
          <w:snapToGrid w:val="0"/>
          <w:sz w:val="24"/>
          <w:szCs w:val="24"/>
        </w:rPr>
        <w:t>1</w:t>
      </w:r>
      <w:r w:rsidRPr="000A5B5D">
        <w:rPr>
          <w:rFonts w:ascii="Arial" w:hAnsi="Arial" w:cs="Arial" w:hint="eastAsia"/>
          <w:snapToGrid w:val="0"/>
          <w:sz w:val="24"/>
          <w:szCs w:val="24"/>
        </w:rPr>
        <w:t>日至</w:t>
      </w:r>
      <w:r w:rsidRPr="000A5B5D">
        <w:rPr>
          <w:rFonts w:ascii="Arial" w:hAnsi="Arial" w:cs="Arial"/>
          <w:snapToGrid w:val="0"/>
          <w:sz w:val="24"/>
          <w:szCs w:val="24"/>
        </w:rPr>
        <w:t>2013</w:t>
      </w:r>
      <w:r w:rsidRPr="000A5B5D">
        <w:rPr>
          <w:rFonts w:ascii="Arial" w:hAnsi="Arial" w:cs="Arial" w:hint="eastAsia"/>
          <w:snapToGrid w:val="0"/>
          <w:sz w:val="24"/>
          <w:szCs w:val="24"/>
        </w:rPr>
        <w:t>年</w:t>
      </w:r>
      <w:r w:rsidRPr="000A5B5D">
        <w:rPr>
          <w:rFonts w:ascii="Arial" w:hAnsi="Arial" w:cs="Arial"/>
          <w:snapToGrid w:val="0"/>
          <w:sz w:val="24"/>
          <w:szCs w:val="24"/>
        </w:rPr>
        <w:t>12</w:t>
      </w:r>
      <w:r w:rsidRPr="000A5B5D">
        <w:rPr>
          <w:rFonts w:ascii="Arial" w:hAnsi="Arial" w:cs="Arial" w:hint="eastAsia"/>
          <w:snapToGrid w:val="0"/>
          <w:sz w:val="24"/>
          <w:szCs w:val="24"/>
        </w:rPr>
        <w:t>月</w:t>
      </w:r>
      <w:r w:rsidRPr="000A5B5D">
        <w:rPr>
          <w:rFonts w:ascii="Arial" w:hAnsi="Arial" w:cs="Arial"/>
          <w:snapToGrid w:val="0"/>
          <w:sz w:val="24"/>
          <w:szCs w:val="24"/>
        </w:rPr>
        <w:t>31</w:t>
      </w:r>
      <w:r w:rsidRPr="000A5B5D">
        <w:rPr>
          <w:rFonts w:ascii="Arial" w:hAnsi="Arial" w:cs="Arial" w:hint="eastAsia"/>
          <w:snapToGrid w:val="0"/>
          <w:sz w:val="24"/>
          <w:szCs w:val="24"/>
        </w:rPr>
        <w:t>日。</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snapToGrid w:val="0"/>
          <w:sz w:val="24"/>
          <w:szCs w:val="24"/>
        </w:rPr>
        <w:t>2014</w:t>
      </w:r>
      <w:r w:rsidRPr="000A5B5D">
        <w:rPr>
          <w:rFonts w:ascii="Arial" w:hAnsi="Arial" w:cs="Arial" w:hint="eastAsia"/>
          <w:snapToGrid w:val="0"/>
          <w:sz w:val="24"/>
          <w:szCs w:val="24"/>
        </w:rPr>
        <w:t>年</w:t>
      </w:r>
      <w:r w:rsidRPr="000A5B5D">
        <w:rPr>
          <w:rFonts w:ascii="Arial" w:hAnsi="Arial" w:cs="Arial"/>
          <w:snapToGrid w:val="0"/>
          <w:sz w:val="24"/>
          <w:szCs w:val="24"/>
        </w:rPr>
        <w:t>9</w:t>
      </w:r>
      <w:r w:rsidRPr="000A5B5D">
        <w:rPr>
          <w:rFonts w:ascii="Arial" w:hAnsi="Arial" w:cs="Arial" w:hint="eastAsia"/>
          <w:snapToGrid w:val="0"/>
          <w:sz w:val="24"/>
          <w:szCs w:val="24"/>
        </w:rPr>
        <w:t>月</w:t>
      </w:r>
      <w:r w:rsidRPr="000A5B5D">
        <w:rPr>
          <w:rFonts w:ascii="Arial" w:hAnsi="Arial" w:cs="Arial"/>
          <w:snapToGrid w:val="0"/>
          <w:sz w:val="24"/>
          <w:szCs w:val="24"/>
        </w:rPr>
        <w:t>29</w:t>
      </w:r>
      <w:r w:rsidRPr="000A5B5D">
        <w:rPr>
          <w:rFonts w:ascii="Arial" w:hAnsi="Arial" w:cs="Arial" w:hint="eastAsia"/>
          <w:snapToGrid w:val="0"/>
          <w:sz w:val="24"/>
          <w:szCs w:val="24"/>
        </w:rPr>
        <w:t>日，恒逸高新材料已通过高新技术企业复审，税收优惠期限为三年，根据《中华人民共和国企业所得税法》以及《中华人民共和国企业所得税法实施条例》规定，高新技术企业减按</w:t>
      </w:r>
      <w:r w:rsidRPr="000A5B5D">
        <w:rPr>
          <w:rFonts w:ascii="Arial" w:hAnsi="Arial" w:cs="Arial"/>
          <w:snapToGrid w:val="0"/>
          <w:sz w:val="24"/>
          <w:szCs w:val="24"/>
        </w:rPr>
        <w:t>15%</w:t>
      </w:r>
      <w:r w:rsidRPr="000A5B5D">
        <w:rPr>
          <w:rFonts w:ascii="Arial" w:hAnsi="Arial" w:cs="Arial" w:hint="eastAsia"/>
          <w:snapToGrid w:val="0"/>
          <w:sz w:val="24"/>
          <w:szCs w:val="24"/>
        </w:rPr>
        <w:t>的税征收企业所得税。</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hint="eastAsia"/>
          <w:snapToGrid w:val="0"/>
          <w:sz w:val="24"/>
          <w:szCs w:val="24"/>
        </w:rPr>
        <w:t>（</w:t>
      </w:r>
      <w:r w:rsidRPr="000A5B5D">
        <w:rPr>
          <w:rFonts w:ascii="Arial" w:hAnsi="Arial" w:cs="Arial"/>
          <w:snapToGrid w:val="0"/>
          <w:sz w:val="24"/>
          <w:szCs w:val="24"/>
        </w:rPr>
        <w:t>3</w:t>
      </w:r>
      <w:r w:rsidRPr="000A5B5D">
        <w:rPr>
          <w:rFonts w:ascii="Arial" w:hAnsi="Arial" w:cs="Arial" w:hint="eastAsia"/>
          <w:snapToGrid w:val="0"/>
          <w:sz w:val="24"/>
          <w:szCs w:val="24"/>
        </w:rPr>
        <w:t>）根据宁波市高新技术企业认定管理工作领导小组文件（甬高企认领（</w:t>
      </w:r>
      <w:r w:rsidRPr="000A5B5D">
        <w:rPr>
          <w:rFonts w:ascii="Arial" w:hAnsi="Arial" w:cs="Arial"/>
          <w:snapToGrid w:val="0"/>
          <w:sz w:val="24"/>
          <w:szCs w:val="24"/>
        </w:rPr>
        <w:t>2015</w:t>
      </w:r>
      <w:r w:rsidRPr="000A5B5D">
        <w:rPr>
          <w:rFonts w:ascii="Arial" w:hAnsi="Arial" w:cs="Arial" w:hint="eastAsia"/>
          <w:snapToGrid w:val="0"/>
          <w:sz w:val="24"/>
          <w:szCs w:val="24"/>
        </w:rPr>
        <w:t>）</w:t>
      </w:r>
      <w:r w:rsidRPr="000A5B5D">
        <w:rPr>
          <w:rFonts w:ascii="Arial" w:hAnsi="Arial" w:cs="Arial"/>
          <w:snapToGrid w:val="0"/>
          <w:sz w:val="24"/>
          <w:szCs w:val="24"/>
        </w:rPr>
        <w:t>1</w:t>
      </w:r>
      <w:r w:rsidRPr="000A5B5D">
        <w:rPr>
          <w:rFonts w:ascii="Arial" w:hAnsi="Arial" w:cs="Arial" w:hint="eastAsia"/>
          <w:snapToGrid w:val="0"/>
          <w:sz w:val="24"/>
          <w:szCs w:val="24"/>
        </w:rPr>
        <w:t>号）《关于公布宁波市</w:t>
      </w:r>
      <w:r w:rsidRPr="000A5B5D">
        <w:rPr>
          <w:rFonts w:ascii="Arial" w:hAnsi="Arial" w:cs="Arial"/>
          <w:snapToGrid w:val="0"/>
          <w:sz w:val="24"/>
          <w:szCs w:val="24"/>
        </w:rPr>
        <w:t>2014</w:t>
      </w:r>
      <w:r w:rsidRPr="000A5B5D">
        <w:rPr>
          <w:rFonts w:ascii="Arial" w:hAnsi="Arial" w:cs="Arial" w:hint="eastAsia"/>
          <w:snapToGrid w:val="0"/>
          <w:sz w:val="24"/>
          <w:szCs w:val="24"/>
        </w:rPr>
        <w:t>年第一批复审高新技术企业名单的通知》，本公司之子公司浙江逸盛石化有限公司（以下简称</w:t>
      </w:r>
      <w:r w:rsidRPr="000A5B5D">
        <w:rPr>
          <w:rFonts w:ascii="Arial" w:hAnsi="Arial" w:cs="Arial"/>
          <w:snapToGrid w:val="0"/>
          <w:sz w:val="24"/>
          <w:szCs w:val="24"/>
        </w:rPr>
        <w:t>“</w:t>
      </w:r>
      <w:r w:rsidRPr="000A5B5D">
        <w:rPr>
          <w:rFonts w:ascii="Arial" w:hAnsi="Arial" w:cs="Arial" w:hint="eastAsia"/>
          <w:snapToGrid w:val="0"/>
          <w:sz w:val="24"/>
          <w:szCs w:val="24"/>
        </w:rPr>
        <w:t>浙江逸盛公司</w:t>
      </w:r>
      <w:r w:rsidRPr="000A5B5D">
        <w:rPr>
          <w:rFonts w:ascii="Arial" w:hAnsi="Arial" w:cs="Arial"/>
          <w:snapToGrid w:val="0"/>
          <w:sz w:val="24"/>
          <w:szCs w:val="24"/>
        </w:rPr>
        <w:t>”</w:t>
      </w:r>
      <w:r w:rsidRPr="000A5B5D">
        <w:rPr>
          <w:rFonts w:ascii="Arial" w:hAnsi="Arial" w:cs="Arial" w:hint="eastAsia"/>
          <w:snapToGrid w:val="0"/>
          <w:sz w:val="24"/>
          <w:szCs w:val="24"/>
        </w:rPr>
        <w:t>）继续被认定为高新技术企业，企业所得税优惠期为三年。根据《中华人民共和国企业所得税法》以及《中华人民共和国企业所得税法实施条例》规定，高新技术企业减按</w:t>
      </w:r>
      <w:r w:rsidRPr="000A5B5D">
        <w:rPr>
          <w:rFonts w:ascii="Arial" w:hAnsi="Arial" w:cs="Arial"/>
          <w:snapToGrid w:val="0"/>
          <w:sz w:val="24"/>
          <w:szCs w:val="24"/>
        </w:rPr>
        <w:t>15%</w:t>
      </w:r>
      <w:r w:rsidRPr="000A5B5D">
        <w:rPr>
          <w:rFonts w:ascii="Arial" w:hAnsi="Arial" w:cs="Arial" w:hint="eastAsia"/>
          <w:snapToGrid w:val="0"/>
          <w:sz w:val="24"/>
          <w:szCs w:val="24"/>
        </w:rPr>
        <w:t>的税征收企业所得税。</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hint="eastAsia"/>
          <w:snapToGrid w:val="0"/>
          <w:sz w:val="24"/>
          <w:szCs w:val="24"/>
        </w:rPr>
        <w:t>根据税务事项通知书仓地税税（</w:t>
      </w:r>
      <w:r w:rsidRPr="000A5B5D">
        <w:rPr>
          <w:rFonts w:ascii="Arial" w:hAnsi="Arial" w:cs="Arial"/>
          <w:snapToGrid w:val="0"/>
          <w:sz w:val="24"/>
          <w:szCs w:val="24"/>
        </w:rPr>
        <w:t>2015</w:t>
      </w:r>
      <w:r w:rsidRPr="000A5B5D">
        <w:rPr>
          <w:rFonts w:ascii="Arial" w:hAnsi="Arial" w:cs="Arial" w:hint="eastAsia"/>
          <w:snapToGrid w:val="0"/>
          <w:sz w:val="24"/>
          <w:szCs w:val="24"/>
        </w:rPr>
        <w:t>）</w:t>
      </w:r>
      <w:r w:rsidRPr="000A5B5D">
        <w:rPr>
          <w:rFonts w:ascii="Arial" w:hAnsi="Arial" w:cs="Arial"/>
          <w:snapToGrid w:val="0"/>
          <w:sz w:val="24"/>
          <w:szCs w:val="24"/>
        </w:rPr>
        <w:t>2</w:t>
      </w:r>
      <w:r w:rsidRPr="000A5B5D">
        <w:rPr>
          <w:rFonts w:ascii="Arial" w:hAnsi="Arial" w:cs="Arial" w:hint="eastAsia"/>
          <w:snapToGrid w:val="0"/>
          <w:sz w:val="24"/>
          <w:szCs w:val="24"/>
        </w:rPr>
        <w:t>号文件，同意减免浙江逸盛公司销售给本公司之其他子公司宁波恒逸贸易有限公司、宁波恒逸实业有限公司、浙江恒逸聚合物有限公司、浙江恒逸高新材料有限公司营业收入产生的水利基金。</w:t>
      </w:r>
    </w:p>
    <w:p w:rsidR="00851B9D" w:rsidRPr="000A5B5D" w:rsidRDefault="00851B9D" w:rsidP="00851B9D">
      <w:pPr>
        <w:overflowPunct w:val="0"/>
        <w:autoSpaceDE w:val="0"/>
        <w:autoSpaceDN w:val="0"/>
        <w:adjustRightInd w:val="0"/>
        <w:snapToGrid w:val="0"/>
        <w:spacing w:line="400" w:lineRule="exact"/>
        <w:ind w:firstLineChars="200" w:firstLine="480"/>
        <w:textAlignment w:val="bottom"/>
        <w:rPr>
          <w:rFonts w:ascii="Arial" w:hAnsi="Arial" w:cs="Arial"/>
          <w:snapToGrid w:val="0"/>
          <w:sz w:val="24"/>
          <w:szCs w:val="24"/>
        </w:rPr>
      </w:pPr>
      <w:r w:rsidRPr="000A5B5D">
        <w:rPr>
          <w:rFonts w:ascii="Arial" w:hAnsi="Arial" w:cs="Arial" w:hint="eastAsia"/>
          <w:snapToGrid w:val="0"/>
          <w:sz w:val="24"/>
          <w:szCs w:val="24"/>
        </w:rPr>
        <w:t>（</w:t>
      </w:r>
      <w:r w:rsidRPr="000A5B5D">
        <w:rPr>
          <w:rFonts w:ascii="Arial" w:hAnsi="Arial" w:cs="Arial"/>
          <w:snapToGrid w:val="0"/>
          <w:sz w:val="24"/>
          <w:szCs w:val="24"/>
        </w:rPr>
        <w:t>4</w:t>
      </w:r>
      <w:r w:rsidRPr="000A5B5D">
        <w:rPr>
          <w:rFonts w:ascii="Arial" w:hAnsi="Arial" w:cs="Arial" w:hint="eastAsia"/>
          <w:snapToGrid w:val="0"/>
          <w:sz w:val="24"/>
          <w:szCs w:val="24"/>
        </w:rPr>
        <w:t>）根据宁波市地方税务局经济技术开发区分局四分局税务事项通知书（仑地税</w:t>
      </w:r>
      <w:r w:rsidRPr="000A5B5D">
        <w:rPr>
          <w:rFonts w:ascii="Arial" w:hAnsi="Arial" w:cs="Arial"/>
          <w:snapToGrid w:val="0"/>
          <w:sz w:val="24"/>
          <w:szCs w:val="24"/>
        </w:rPr>
        <w:t xml:space="preserve"> </w:t>
      </w:r>
      <w:r w:rsidRPr="000A5B5D">
        <w:rPr>
          <w:rFonts w:ascii="Arial" w:hAnsi="Arial" w:cs="Arial" w:hint="eastAsia"/>
          <w:snapToGrid w:val="0"/>
          <w:sz w:val="24"/>
          <w:szCs w:val="24"/>
        </w:rPr>
        <w:t>批</w:t>
      </w:r>
      <w:r w:rsidRPr="000A5B5D">
        <w:rPr>
          <w:rFonts w:ascii="Arial" w:hAnsi="Arial" w:cs="Arial"/>
          <w:snapToGrid w:val="0"/>
          <w:sz w:val="24"/>
          <w:szCs w:val="24"/>
        </w:rPr>
        <w:t>[2015]1127</w:t>
      </w:r>
      <w:r w:rsidRPr="000A5B5D">
        <w:rPr>
          <w:rFonts w:ascii="Arial" w:hAnsi="Arial" w:cs="Arial" w:hint="eastAsia"/>
          <w:snapToGrid w:val="0"/>
          <w:sz w:val="24"/>
          <w:szCs w:val="24"/>
        </w:rPr>
        <w:t>号）：根据甬地税发</w:t>
      </w:r>
      <w:r w:rsidRPr="000A5B5D">
        <w:rPr>
          <w:rFonts w:ascii="Arial" w:hAnsi="Arial" w:cs="Arial"/>
          <w:snapToGrid w:val="0"/>
          <w:sz w:val="24"/>
          <w:szCs w:val="24"/>
        </w:rPr>
        <w:t>[2013]65</w:t>
      </w:r>
      <w:r w:rsidRPr="000A5B5D">
        <w:rPr>
          <w:rFonts w:ascii="Arial" w:hAnsi="Arial" w:cs="Arial" w:hint="eastAsia"/>
          <w:snapToGrid w:val="0"/>
          <w:sz w:val="24"/>
          <w:szCs w:val="24"/>
        </w:rPr>
        <w:t>号、甬地税发</w:t>
      </w:r>
      <w:r w:rsidRPr="000A5B5D">
        <w:rPr>
          <w:rFonts w:ascii="Arial" w:hAnsi="Arial" w:cs="Arial"/>
          <w:snapToGrid w:val="0"/>
          <w:sz w:val="24"/>
          <w:szCs w:val="24"/>
        </w:rPr>
        <w:t>[2014]11</w:t>
      </w:r>
      <w:r w:rsidRPr="000A5B5D">
        <w:rPr>
          <w:rFonts w:ascii="Arial" w:hAnsi="Arial" w:cs="Arial" w:hint="eastAsia"/>
          <w:snapToGrid w:val="0"/>
          <w:sz w:val="24"/>
          <w:szCs w:val="24"/>
        </w:rPr>
        <w:t>号、仑地税政</w:t>
      </w:r>
      <w:r w:rsidRPr="000A5B5D">
        <w:rPr>
          <w:rFonts w:ascii="Arial" w:hAnsi="Arial" w:cs="Arial"/>
          <w:snapToGrid w:val="0"/>
          <w:sz w:val="24"/>
          <w:szCs w:val="24"/>
        </w:rPr>
        <w:t>[2015]34</w:t>
      </w:r>
      <w:r w:rsidRPr="000A5B5D">
        <w:rPr>
          <w:rFonts w:ascii="Arial" w:hAnsi="Arial" w:cs="Arial" w:hint="eastAsia"/>
          <w:snapToGrid w:val="0"/>
          <w:sz w:val="24"/>
          <w:szCs w:val="24"/>
        </w:rPr>
        <w:t>号和《宁波市地方水利建设基金减免政策问题指引》等文件精神，同意免征本公司之子公司宁波恒逸实业有限公司</w:t>
      </w:r>
      <w:r w:rsidRPr="000A5B5D">
        <w:rPr>
          <w:rFonts w:ascii="Arial" w:hAnsi="Arial" w:cs="Arial"/>
          <w:snapToGrid w:val="0"/>
          <w:sz w:val="24"/>
          <w:szCs w:val="24"/>
        </w:rPr>
        <w:t>2015</w:t>
      </w:r>
      <w:r w:rsidRPr="000A5B5D">
        <w:rPr>
          <w:rFonts w:ascii="Arial" w:hAnsi="Arial" w:cs="Arial" w:hint="eastAsia"/>
          <w:snapToGrid w:val="0"/>
          <w:sz w:val="24"/>
          <w:szCs w:val="24"/>
        </w:rPr>
        <w:t>年度大宗商品贸易部分地方水利建设基金。</w:t>
      </w:r>
    </w:p>
    <w:p w:rsidR="00851B9D" w:rsidRPr="000A5B5D" w:rsidRDefault="00851B9D" w:rsidP="00851B9D">
      <w:pPr>
        <w:spacing w:line="400" w:lineRule="exact"/>
        <w:ind w:firstLineChars="200" w:firstLine="480"/>
        <w:rPr>
          <w:rFonts w:ascii="Arial" w:hAnsi="Arial" w:cs="Arial"/>
          <w:b/>
          <w:bCs/>
          <w:sz w:val="24"/>
        </w:rPr>
      </w:pPr>
      <w:r w:rsidRPr="000A5B5D">
        <w:rPr>
          <w:rFonts w:ascii="Arial" w:hAnsi="Arial" w:cs="Arial"/>
          <w:snapToGrid w:val="0"/>
          <w:sz w:val="24"/>
          <w:szCs w:val="24"/>
        </w:rPr>
        <w:tab/>
      </w: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合并财务报表项目注释</w:t>
      </w:r>
    </w:p>
    <w:p w:rsidR="00851B9D" w:rsidRPr="000A5B5D" w:rsidRDefault="00851B9D" w:rsidP="00851B9D">
      <w:pPr>
        <w:spacing w:line="400" w:lineRule="exact"/>
        <w:ind w:firstLine="482"/>
        <w:rPr>
          <w:rFonts w:ascii="Arial" w:hAnsi="Arial" w:cs="Arial"/>
          <w:sz w:val="24"/>
        </w:rPr>
      </w:pPr>
      <w:r w:rsidRPr="000A5B5D">
        <w:rPr>
          <w:rFonts w:ascii="Arial" w:hAnsi="Arial" w:cs="Arial" w:hint="eastAsia"/>
          <w:sz w:val="24"/>
        </w:rPr>
        <w:t>以下注释项目（含公司财务报表主要项目注释）除非特别指出，年初指</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w:t>
      </w:r>
      <w:r w:rsidRPr="000A5B5D">
        <w:rPr>
          <w:rFonts w:ascii="Arial" w:hAnsi="Arial" w:cs="Arial" w:hint="eastAsia"/>
          <w:sz w:val="24"/>
        </w:rPr>
        <w:t>月</w:t>
      </w:r>
      <w:r w:rsidRPr="000A5B5D">
        <w:rPr>
          <w:rFonts w:ascii="Arial" w:hAnsi="Arial" w:cs="Arial"/>
          <w:sz w:val="24"/>
        </w:rPr>
        <w:t>1</w:t>
      </w:r>
      <w:r w:rsidRPr="000A5B5D">
        <w:rPr>
          <w:rFonts w:ascii="Arial" w:hAnsi="Arial" w:cs="Arial" w:hint="eastAsia"/>
          <w:sz w:val="24"/>
        </w:rPr>
        <w:t>日，年末指</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12</w:t>
      </w:r>
      <w:r w:rsidRPr="000A5B5D">
        <w:rPr>
          <w:rFonts w:ascii="Arial" w:hAnsi="Arial" w:cs="Arial" w:hint="eastAsia"/>
          <w:sz w:val="24"/>
        </w:rPr>
        <w:t>月</w:t>
      </w:r>
      <w:r w:rsidRPr="000A5B5D">
        <w:rPr>
          <w:rFonts w:ascii="Arial" w:hAnsi="Arial" w:cs="Arial"/>
          <w:sz w:val="24"/>
        </w:rPr>
        <w:t>31</w:t>
      </w:r>
      <w:r w:rsidRPr="000A5B5D">
        <w:rPr>
          <w:rFonts w:ascii="Arial" w:hAnsi="Arial" w:cs="Arial" w:hint="eastAsia"/>
          <w:sz w:val="24"/>
        </w:rPr>
        <w:t>日。</w:t>
      </w:r>
    </w:p>
    <w:p w:rsidR="00851B9D" w:rsidRPr="000A5B5D" w:rsidRDefault="00851B9D" w:rsidP="00851B9D">
      <w:pPr>
        <w:pStyle w:val="10"/>
        <w:numPr>
          <w:ilvl w:val="0"/>
          <w:numId w:val="3"/>
        </w:numPr>
        <w:spacing w:line="400" w:lineRule="exact"/>
        <w:ind w:left="0" w:firstLineChars="0" w:firstLine="482"/>
        <w:outlineLvl w:val="1"/>
        <w:rPr>
          <w:rFonts w:ascii="Arial" w:hAnsi="Arial" w:cs="Arial"/>
          <w:b/>
          <w:sz w:val="24"/>
        </w:rPr>
      </w:pPr>
      <w:bookmarkStart w:id="15" w:name="OLE_LINK7"/>
      <w:r w:rsidRPr="000A5B5D">
        <w:rPr>
          <w:rFonts w:ascii="Arial" w:hAnsi="Arial" w:cs="Arial" w:hint="eastAsia"/>
          <w:b/>
          <w:sz w:val="24"/>
        </w:rPr>
        <w:t>货币资金</w:t>
      </w:r>
      <w:r w:rsidRPr="000A5B5D">
        <w:rPr>
          <w:rFonts w:ascii="Arial" w:hAnsi="Arial" w:cs="Arial"/>
          <w:b/>
          <w:sz w:val="24"/>
        </w:rPr>
        <w:t xml:space="preserve"> </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816"/>
        <w:gridCol w:w="2599"/>
        <w:gridCol w:w="2799"/>
      </w:tblGrid>
      <w:tr w:rsidR="00851B9D" w:rsidRPr="000A5B5D" w:rsidTr="00851B9D">
        <w:trPr>
          <w:trHeight w:val="397"/>
          <w:tblHeader/>
          <w:jc w:val="center"/>
        </w:trPr>
        <w:tc>
          <w:tcPr>
            <w:tcW w:w="381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5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7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81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库存现金</w:t>
            </w:r>
          </w:p>
        </w:tc>
        <w:tc>
          <w:tcPr>
            <w:tcW w:w="259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460,439.85</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441,228.92</w:t>
            </w:r>
          </w:p>
        </w:tc>
      </w:tr>
      <w:tr w:rsidR="00851B9D" w:rsidRPr="000A5B5D" w:rsidTr="00851B9D">
        <w:trPr>
          <w:trHeight w:val="397"/>
          <w:jc w:val="center"/>
        </w:trPr>
        <w:tc>
          <w:tcPr>
            <w:tcW w:w="381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银行存款</w:t>
            </w:r>
          </w:p>
        </w:tc>
        <w:tc>
          <w:tcPr>
            <w:tcW w:w="259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1,299,213,369.54</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1,872,048,255.50</w:t>
            </w:r>
          </w:p>
        </w:tc>
      </w:tr>
      <w:tr w:rsidR="00851B9D" w:rsidRPr="000A5B5D" w:rsidTr="00851B9D">
        <w:trPr>
          <w:trHeight w:val="397"/>
          <w:jc w:val="center"/>
        </w:trPr>
        <w:tc>
          <w:tcPr>
            <w:tcW w:w="381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其他货币资金</w:t>
            </w:r>
          </w:p>
        </w:tc>
        <w:tc>
          <w:tcPr>
            <w:tcW w:w="259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1,318,650,369.98</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1,270,240,358.01</w:t>
            </w:r>
          </w:p>
        </w:tc>
      </w:tr>
      <w:tr w:rsidR="00851B9D" w:rsidRPr="000A5B5D" w:rsidTr="00851B9D">
        <w:trPr>
          <w:trHeight w:val="397"/>
          <w:jc w:val="center"/>
        </w:trPr>
        <w:tc>
          <w:tcPr>
            <w:tcW w:w="381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59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2,618,324,179.37</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fldChar w:fldCharType="begin"/>
            </w:r>
            <w:r w:rsidRPr="000A5B5D">
              <w:rPr>
                <w:rFonts w:ascii="Arial Narrow" w:hAnsi="Arial Narrow" w:cs="Arial"/>
                <w:szCs w:val="21"/>
              </w:rPr>
              <w:instrText xml:space="preserve"> =SUM(ABOVE) </w:instrText>
            </w:r>
            <w:r w:rsidRPr="000A5B5D">
              <w:rPr>
                <w:rFonts w:ascii="Arial Narrow" w:hAnsi="Arial Narrow" w:cs="Arial"/>
                <w:szCs w:val="21"/>
              </w:rPr>
              <w:fldChar w:fldCharType="separate"/>
            </w:r>
            <w:r w:rsidRPr="000A5B5D">
              <w:rPr>
                <w:rFonts w:ascii="Arial Narrow" w:hAnsi="Arial Narrow" w:cs="Arial"/>
                <w:szCs w:val="21"/>
              </w:rPr>
              <w:t>3,142,729,842.43</w:t>
            </w:r>
            <w:r w:rsidRPr="000A5B5D">
              <w:rPr>
                <w:rFonts w:ascii="Arial Narrow" w:hAnsi="Arial Narrow" w:cs="Arial"/>
                <w:szCs w:val="21"/>
              </w:rPr>
              <w:fldChar w:fldCharType="end"/>
            </w:r>
          </w:p>
        </w:tc>
      </w:tr>
      <w:tr w:rsidR="00851B9D" w:rsidRPr="000A5B5D" w:rsidTr="00851B9D">
        <w:trPr>
          <w:trHeight w:val="397"/>
          <w:jc w:val="center"/>
        </w:trPr>
        <w:tc>
          <w:tcPr>
            <w:tcW w:w="381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其中：存放在境外的款项总额</w:t>
            </w:r>
          </w:p>
        </w:tc>
        <w:tc>
          <w:tcPr>
            <w:tcW w:w="2599"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124,796,890.15</w:t>
            </w:r>
          </w:p>
        </w:tc>
        <w:tc>
          <w:tcPr>
            <w:tcW w:w="279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302,440,621.44</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注：</w:t>
      </w:r>
      <w:bookmarkStart w:id="16" w:name="OLE_LINK6"/>
      <w:bookmarkStart w:id="17" w:name="OLE_LINK24"/>
      <w:r w:rsidRPr="000A5B5D">
        <w:rPr>
          <w:rFonts w:ascii="Arial" w:hAnsi="Arial" w:cs="Arial" w:hint="eastAsia"/>
          <w:sz w:val="24"/>
        </w:rPr>
        <w:t>截止</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12</w:t>
      </w:r>
      <w:r w:rsidRPr="000A5B5D">
        <w:rPr>
          <w:rFonts w:ascii="Arial" w:hAnsi="Arial" w:cs="Arial" w:hint="eastAsia"/>
          <w:sz w:val="24"/>
        </w:rPr>
        <w:t>月</w:t>
      </w:r>
      <w:r w:rsidRPr="000A5B5D">
        <w:rPr>
          <w:rFonts w:ascii="Arial" w:hAnsi="Arial" w:cs="Arial"/>
          <w:sz w:val="24"/>
        </w:rPr>
        <w:t>31</w:t>
      </w:r>
      <w:r w:rsidRPr="000A5B5D">
        <w:rPr>
          <w:rFonts w:ascii="Arial" w:hAnsi="Arial" w:cs="Arial" w:hint="eastAsia"/>
          <w:sz w:val="24"/>
        </w:rPr>
        <w:t>日，本公司使用权受到限制的货币资金为</w:t>
      </w:r>
      <w:r w:rsidRPr="000A5B5D">
        <w:rPr>
          <w:rFonts w:ascii="Arial" w:hAnsi="Arial" w:cs="Arial"/>
          <w:sz w:val="24"/>
        </w:rPr>
        <w:t>1,318,650,369.98</w:t>
      </w:r>
      <w:r w:rsidRPr="000A5B5D">
        <w:rPr>
          <w:rFonts w:ascii="Arial" w:hAnsi="Arial" w:cs="Arial" w:hint="eastAsia"/>
          <w:sz w:val="24"/>
        </w:rPr>
        <w:t>元，其中：信用证保证金</w:t>
      </w:r>
      <w:r w:rsidRPr="000A5B5D">
        <w:rPr>
          <w:rFonts w:ascii="Arial" w:hAnsi="Arial" w:cs="Arial"/>
          <w:sz w:val="24"/>
        </w:rPr>
        <w:t>416,036,406.38</w:t>
      </w:r>
      <w:r w:rsidRPr="000A5B5D">
        <w:rPr>
          <w:rFonts w:ascii="Arial" w:hAnsi="Arial" w:cs="Arial" w:hint="eastAsia"/>
          <w:sz w:val="24"/>
        </w:rPr>
        <w:t>元，承兑汇票保证金</w:t>
      </w:r>
      <w:r w:rsidRPr="000A5B5D">
        <w:rPr>
          <w:rFonts w:ascii="Arial" w:hAnsi="Arial" w:cs="Arial"/>
          <w:sz w:val="24"/>
        </w:rPr>
        <w:t>570,518,869.72</w:t>
      </w:r>
      <w:r w:rsidRPr="000A5B5D">
        <w:rPr>
          <w:rFonts w:ascii="Arial" w:hAnsi="Arial" w:cs="Arial" w:hint="eastAsia"/>
          <w:sz w:val="24"/>
        </w:rPr>
        <w:t>元，保函保</w:t>
      </w:r>
      <w:r w:rsidRPr="000A5B5D">
        <w:rPr>
          <w:rFonts w:ascii="Arial" w:hAnsi="Arial" w:cs="Arial" w:hint="eastAsia"/>
          <w:sz w:val="24"/>
        </w:rPr>
        <w:lastRenderedPageBreak/>
        <w:t>证金</w:t>
      </w:r>
      <w:r w:rsidRPr="000A5B5D">
        <w:rPr>
          <w:rFonts w:ascii="Arial" w:hAnsi="Arial" w:cs="Arial"/>
          <w:sz w:val="24"/>
        </w:rPr>
        <w:t>126,147,853.62</w:t>
      </w:r>
      <w:r w:rsidRPr="000A5B5D">
        <w:rPr>
          <w:rFonts w:ascii="Arial" w:hAnsi="Arial" w:cs="Arial" w:hint="eastAsia"/>
          <w:sz w:val="24"/>
        </w:rPr>
        <w:t>元，票据质押托收款</w:t>
      </w:r>
      <w:r w:rsidRPr="000A5B5D">
        <w:rPr>
          <w:rFonts w:ascii="Arial" w:hAnsi="Arial" w:cs="Arial"/>
          <w:sz w:val="24"/>
        </w:rPr>
        <w:t>49,822,543.07</w:t>
      </w:r>
      <w:r w:rsidRPr="000A5B5D">
        <w:rPr>
          <w:rFonts w:ascii="Arial" w:hAnsi="Arial" w:cs="Arial" w:hint="eastAsia"/>
          <w:sz w:val="24"/>
        </w:rPr>
        <w:t>元，票据质押定期户</w:t>
      </w:r>
      <w:r w:rsidRPr="000A5B5D">
        <w:rPr>
          <w:rFonts w:ascii="Arial" w:hAnsi="Arial" w:cs="Arial"/>
          <w:sz w:val="24"/>
        </w:rPr>
        <w:t>145,962,310.31</w:t>
      </w:r>
      <w:r w:rsidRPr="000A5B5D">
        <w:rPr>
          <w:rFonts w:ascii="Arial" w:hAnsi="Arial" w:cs="Arial" w:hint="eastAsia"/>
          <w:sz w:val="24"/>
        </w:rPr>
        <w:t>元，关税保证金</w:t>
      </w:r>
      <w:r w:rsidRPr="000A5B5D">
        <w:rPr>
          <w:rFonts w:ascii="Arial" w:hAnsi="Arial" w:cs="Arial"/>
          <w:sz w:val="24"/>
        </w:rPr>
        <w:t>10,000,000.00</w:t>
      </w:r>
      <w:r w:rsidRPr="000A5B5D">
        <w:rPr>
          <w:rFonts w:ascii="Arial" w:hAnsi="Arial" w:cs="Arial" w:hint="eastAsia"/>
          <w:sz w:val="24"/>
        </w:rPr>
        <w:t>元，其他保证金</w:t>
      </w:r>
      <w:r w:rsidRPr="000A5B5D">
        <w:rPr>
          <w:rFonts w:ascii="Arial" w:hAnsi="Arial" w:cs="Arial"/>
          <w:sz w:val="24"/>
        </w:rPr>
        <w:t>162,386.88</w:t>
      </w:r>
      <w:r w:rsidRPr="000A5B5D">
        <w:rPr>
          <w:rFonts w:ascii="Arial" w:hAnsi="Arial" w:cs="Arial" w:hint="eastAsia"/>
          <w:sz w:val="24"/>
        </w:rPr>
        <w:t>元。</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18" w:name="OLE_LINK69"/>
      <w:r w:rsidRPr="000A5B5D">
        <w:rPr>
          <w:rFonts w:ascii="Arial" w:hAnsi="Arial" w:cs="Arial" w:hint="eastAsia"/>
          <w:b/>
          <w:sz w:val="24"/>
        </w:rPr>
        <w:t>以公允价值计量且其变动计入当期损益的金融资产</w:t>
      </w:r>
      <w:bookmarkEnd w:id="18"/>
    </w:p>
    <w:tbl>
      <w:tblPr>
        <w:tblW w:w="9214"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815"/>
        <w:gridCol w:w="2600"/>
        <w:gridCol w:w="2799"/>
      </w:tblGrid>
      <w:tr w:rsidR="00851B9D" w:rsidRPr="000A5B5D" w:rsidTr="00851B9D">
        <w:trPr>
          <w:trHeight w:val="397"/>
          <w:tblHeader/>
          <w:jc w:val="center"/>
        </w:trPr>
        <w:tc>
          <w:tcPr>
            <w:tcW w:w="381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0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7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81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交易性金融资产</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24,435,904.89</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2,397,943.01</w:t>
            </w:r>
          </w:p>
        </w:tc>
      </w:tr>
      <w:tr w:rsidR="00851B9D" w:rsidRPr="000A5B5D" w:rsidTr="00851B9D">
        <w:trPr>
          <w:trHeight w:val="397"/>
          <w:jc w:val="center"/>
        </w:trPr>
        <w:tc>
          <w:tcPr>
            <w:tcW w:w="381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其中：债务工具投资</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815"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kern w:val="0"/>
                <w:szCs w:val="21"/>
              </w:rPr>
              <w:t>权益工具投资</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815"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kern w:val="0"/>
                <w:szCs w:val="21"/>
              </w:rPr>
              <w:t>衍生金融资产</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24,435,904.89</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2,397,943.01</w:t>
            </w:r>
          </w:p>
        </w:tc>
      </w:tr>
      <w:tr w:rsidR="00851B9D" w:rsidRPr="000A5B5D" w:rsidTr="00851B9D">
        <w:trPr>
          <w:trHeight w:val="397"/>
          <w:jc w:val="center"/>
        </w:trPr>
        <w:tc>
          <w:tcPr>
            <w:tcW w:w="3815"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kern w:val="0"/>
                <w:szCs w:val="21"/>
              </w:rPr>
              <w:t>其他</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81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指定为以公允价值计量且其变动计入当期损益的金融资产</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r w:rsidRPr="000A5B5D">
              <w:rPr>
                <w:rFonts w:ascii="Arial Narrow" w:hAnsi="Arial Narrow" w:cs="Arial"/>
                <w:szCs w:val="21"/>
              </w:rPr>
              <w:t xml:space="preserve"> </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381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其中：债务工具投资</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3815"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kern w:val="0"/>
                <w:szCs w:val="21"/>
              </w:rPr>
              <w:t>权益工具投资</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r w:rsidRPr="000A5B5D">
              <w:rPr>
                <w:rFonts w:ascii="Arial Narrow" w:hAnsi="Arial Narrow" w:cs="Arial"/>
                <w:szCs w:val="21"/>
              </w:rPr>
              <w:t xml:space="preserve"> </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3815"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szCs w:val="21"/>
              </w:rPr>
              <w:t>其他</w:t>
            </w:r>
          </w:p>
        </w:tc>
        <w:tc>
          <w:tcPr>
            <w:tcW w:w="26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c>
          <w:tcPr>
            <w:tcW w:w="27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3815"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0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24,435,904.89 </w:t>
            </w:r>
          </w:p>
        </w:tc>
        <w:tc>
          <w:tcPr>
            <w:tcW w:w="279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2,397,943.01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19" w:name="OLE_LINK48"/>
      <w:bookmarkEnd w:id="16"/>
      <w:bookmarkEnd w:id="17"/>
      <w:r w:rsidRPr="000A5B5D">
        <w:rPr>
          <w:rFonts w:ascii="Arial" w:hAnsi="Arial" w:cs="Arial" w:hint="eastAsia"/>
          <w:b/>
          <w:sz w:val="24"/>
        </w:rPr>
        <w:t>衍生金融资产</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793"/>
        <w:gridCol w:w="2627"/>
        <w:gridCol w:w="2794"/>
      </w:tblGrid>
      <w:tr w:rsidR="00851B9D" w:rsidRPr="000A5B5D" w:rsidTr="00851B9D">
        <w:trPr>
          <w:trHeight w:val="397"/>
          <w:tblHeader/>
          <w:jc w:val="center"/>
        </w:trPr>
        <w:tc>
          <w:tcPr>
            <w:tcW w:w="379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27" w:type="dxa"/>
            <w:tcBorders>
              <w:top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年末余额</w:t>
            </w:r>
          </w:p>
        </w:tc>
        <w:tc>
          <w:tcPr>
            <w:tcW w:w="2794" w:type="dxa"/>
            <w:tcBorders>
              <w:top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793"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远期外汇衍生工具</w:t>
            </w:r>
          </w:p>
        </w:tc>
        <w:tc>
          <w:tcPr>
            <w:tcW w:w="262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79,976,261.01 </w:t>
            </w:r>
          </w:p>
        </w:tc>
        <w:tc>
          <w:tcPr>
            <w:tcW w:w="27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jc w:val="center"/>
        </w:trPr>
        <w:tc>
          <w:tcPr>
            <w:tcW w:w="3793" w:type="dxa"/>
            <w:tcBorders>
              <w:bottom w:val="single" w:sz="12" w:space="0" w:color="auto"/>
            </w:tcBorders>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期货</w:t>
            </w:r>
          </w:p>
        </w:tc>
        <w:tc>
          <w:tcPr>
            <w:tcW w:w="262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79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740,544.00 </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注：期末衍生金融资产为被指定且为有效套期工具的远期外汇衍生工具。</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公允价值套期：</w:t>
      </w:r>
      <w:r w:rsidRPr="000A5B5D">
        <w:rPr>
          <w:rFonts w:ascii="Arial" w:hAnsi="Arial" w:cs="Arial"/>
          <w:bCs/>
          <w:sz w:val="24"/>
        </w:rPr>
        <w:tab/>
        <w:t>2015</w:t>
      </w:r>
      <w:r w:rsidRPr="000A5B5D">
        <w:rPr>
          <w:rFonts w:ascii="Arial" w:hAnsi="Arial" w:cs="Arial" w:hint="eastAsia"/>
          <w:bCs/>
          <w:sz w:val="24"/>
        </w:rPr>
        <w:t>年本公司签订了一系列被指定为对持有的外币借款的公允价值变动风险进行套期的远期外汇合约。远期外汇合约与被套期外币借款的币种、金额以及到期期限等的关键条款相匹配。对外汇风险套期的评价结果显示为有效。</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应收票据</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）应收票据分类</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803"/>
        <w:gridCol w:w="2617"/>
        <w:gridCol w:w="2794"/>
      </w:tblGrid>
      <w:tr w:rsidR="00851B9D" w:rsidRPr="000A5B5D" w:rsidTr="00851B9D">
        <w:trPr>
          <w:trHeight w:val="397"/>
          <w:tblHeader/>
          <w:jc w:val="center"/>
        </w:trPr>
        <w:tc>
          <w:tcPr>
            <w:tcW w:w="3803" w:type="dxa"/>
            <w:tcBorders>
              <w:top w:val="single" w:sz="12" w:space="0" w:color="auto"/>
            </w:tcBorders>
            <w:vAlign w:val="center"/>
          </w:tcPr>
          <w:p w:rsidR="00851B9D" w:rsidRPr="000A5B5D" w:rsidRDefault="00851B9D" w:rsidP="00851B9D">
            <w:pPr>
              <w:widowControl/>
              <w:spacing w:line="400" w:lineRule="exact"/>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17" w:type="dxa"/>
            <w:tcBorders>
              <w:top w:val="single" w:sz="12" w:space="0" w:color="auto"/>
            </w:tcBorders>
            <w:vAlign w:val="center"/>
          </w:tcPr>
          <w:p w:rsidR="00851B9D" w:rsidRPr="000A5B5D" w:rsidRDefault="00851B9D" w:rsidP="00851B9D">
            <w:pPr>
              <w:widowControl/>
              <w:spacing w:line="400" w:lineRule="exact"/>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794" w:type="dxa"/>
            <w:tcBorders>
              <w:top w:val="single" w:sz="12" w:space="0" w:color="auto"/>
            </w:tcBorders>
            <w:vAlign w:val="center"/>
          </w:tcPr>
          <w:p w:rsidR="00851B9D" w:rsidRPr="000A5B5D" w:rsidRDefault="00851B9D" w:rsidP="00851B9D">
            <w:pPr>
              <w:widowControl/>
              <w:spacing w:line="400" w:lineRule="exact"/>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80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银行承兑汇票</w:t>
            </w:r>
          </w:p>
        </w:tc>
        <w:tc>
          <w:tcPr>
            <w:tcW w:w="261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780,348,611.39 </w:t>
            </w:r>
          </w:p>
        </w:tc>
        <w:tc>
          <w:tcPr>
            <w:tcW w:w="27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2,206,890,602.98  </w:t>
            </w:r>
          </w:p>
        </w:tc>
      </w:tr>
      <w:tr w:rsidR="00851B9D" w:rsidRPr="000A5B5D" w:rsidTr="00851B9D">
        <w:trPr>
          <w:trHeight w:val="397"/>
          <w:jc w:val="center"/>
        </w:trPr>
        <w:tc>
          <w:tcPr>
            <w:tcW w:w="380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商业承兑汇票</w:t>
            </w:r>
          </w:p>
        </w:tc>
        <w:tc>
          <w:tcPr>
            <w:tcW w:w="261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27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380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国内信用证</w:t>
            </w:r>
          </w:p>
        </w:tc>
        <w:tc>
          <w:tcPr>
            <w:tcW w:w="261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863,719,986.50 </w:t>
            </w:r>
          </w:p>
        </w:tc>
        <w:tc>
          <w:tcPr>
            <w:tcW w:w="27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1,531,049,883.30 </w:t>
            </w:r>
          </w:p>
        </w:tc>
      </w:tr>
      <w:tr w:rsidR="00851B9D" w:rsidRPr="000A5B5D" w:rsidTr="00851B9D">
        <w:trPr>
          <w:trHeight w:val="397"/>
          <w:jc w:val="center"/>
        </w:trPr>
        <w:tc>
          <w:tcPr>
            <w:tcW w:w="380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1,644,068,597.89 </w:t>
            </w:r>
          </w:p>
        </w:tc>
        <w:tc>
          <w:tcPr>
            <w:tcW w:w="279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fldChar w:fldCharType="begin"/>
            </w:r>
            <w:r w:rsidRPr="000A5B5D">
              <w:rPr>
                <w:rFonts w:ascii="Arial Narrow" w:hAnsi="Arial Narrow" w:cs="Arial"/>
                <w:kern w:val="0"/>
                <w:szCs w:val="21"/>
              </w:rPr>
              <w:instrText xml:space="preserve"> =SUM(ABOVE) </w:instrText>
            </w:r>
            <w:r w:rsidRPr="000A5B5D">
              <w:rPr>
                <w:rFonts w:ascii="Arial Narrow" w:hAnsi="Arial Narrow" w:cs="Arial"/>
                <w:kern w:val="0"/>
                <w:szCs w:val="21"/>
              </w:rPr>
              <w:fldChar w:fldCharType="separate"/>
            </w:r>
            <w:r w:rsidRPr="000A5B5D">
              <w:rPr>
                <w:rFonts w:ascii="Arial Narrow" w:hAnsi="Arial Narrow" w:cs="Arial"/>
                <w:kern w:val="0"/>
                <w:szCs w:val="21"/>
              </w:rPr>
              <w:t>3,737,940,486.28</w:t>
            </w:r>
            <w:r w:rsidRPr="000A5B5D">
              <w:rPr>
                <w:rFonts w:ascii="Arial Narrow" w:hAnsi="Arial Narrow" w:cs="Arial"/>
                <w:kern w:val="0"/>
                <w:szCs w:val="21"/>
              </w:rPr>
              <w:fldChar w:fldCharType="end"/>
            </w:r>
          </w:p>
        </w:tc>
      </w:tr>
      <w:bookmarkEnd w:id="19"/>
    </w:tbl>
    <w:p w:rsidR="00851B9D" w:rsidRPr="000A5B5D" w:rsidRDefault="00851B9D" w:rsidP="00851B9D">
      <w:pPr>
        <w:spacing w:line="400" w:lineRule="exact"/>
        <w:ind w:firstLineChars="200" w:firstLine="480"/>
        <w:rPr>
          <w:rFonts w:ascii="Arial" w:hAnsi="Arial" w:cs="Arial"/>
          <w:sz w:val="24"/>
        </w:rPr>
      </w:pP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）年末已质押的应收票据情况</w:t>
      </w:r>
    </w:p>
    <w:tbl>
      <w:tblPr>
        <w:tblW w:w="9180"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790"/>
        <w:gridCol w:w="5390"/>
      </w:tblGrid>
      <w:tr w:rsidR="00851B9D" w:rsidRPr="000A5B5D" w:rsidTr="00851B9D">
        <w:trPr>
          <w:trHeight w:val="397"/>
          <w:tblHeader/>
        </w:trPr>
        <w:tc>
          <w:tcPr>
            <w:tcW w:w="379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lastRenderedPageBreak/>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539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年末已质押金额</w:t>
            </w:r>
          </w:p>
        </w:tc>
      </w:tr>
      <w:tr w:rsidR="00851B9D" w:rsidRPr="000A5B5D" w:rsidTr="00851B9D">
        <w:trPr>
          <w:trHeight w:val="397"/>
        </w:trPr>
        <w:tc>
          <w:tcPr>
            <w:tcW w:w="379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银行承兑汇票</w:t>
            </w:r>
          </w:p>
        </w:tc>
        <w:tc>
          <w:tcPr>
            <w:tcW w:w="539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485,436,454.14  </w:t>
            </w:r>
          </w:p>
        </w:tc>
      </w:tr>
      <w:tr w:rsidR="00851B9D" w:rsidRPr="000A5B5D" w:rsidTr="00851B9D">
        <w:trPr>
          <w:trHeight w:val="397"/>
        </w:trPr>
        <w:tc>
          <w:tcPr>
            <w:tcW w:w="379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商业承兑汇票</w:t>
            </w:r>
          </w:p>
        </w:tc>
        <w:tc>
          <w:tcPr>
            <w:tcW w:w="539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379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国内信用证</w:t>
            </w:r>
          </w:p>
        </w:tc>
        <w:tc>
          <w:tcPr>
            <w:tcW w:w="539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50,000,000.00  </w:t>
            </w:r>
          </w:p>
        </w:tc>
      </w:tr>
      <w:tr w:rsidR="00851B9D" w:rsidRPr="000A5B5D" w:rsidTr="00851B9D">
        <w:trPr>
          <w:trHeight w:val="397"/>
        </w:trPr>
        <w:tc>
          <w:tcPr>
            <w:tcW w:w="379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539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535,436,454.14   </w:t>
            </w:r>
          </w:p>
        </w:tc>
      </w:tr>
    </w:tbl>
    <w:p w:rsidR="00851B9D" w:rsidRPr="000A5B5D" w:rsidRDefault="00851B9D" w:rsidP="00851B9D">
      <w:pPr>
        <w:spacing w:line="400" w:lineRule="exact"/>
        <w:rPr>
          <w:rFonts w:ascii="Arial" w:hAnsi="Arial" w:cs="Arial"/>
          <w:sz w:val="24"/>
        </w:rPr>
      </w:pPr>
      <w:r w:rsidRPr="000A5B5D">
        <w:rPr>
          <w:rFonts w:ascii="Arial" w:hAnsi="Arial" w:cs="Arial"/>
          <w:sz w:val="24"/>
        </w:rPr>
        <w:t xml:space="preserve">    </w:t>
      </w: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）年末已背书或贴现且在资产负债表日尚未到期的应收票据</w:t>
      </w:r>
    </w:p>
    <w:tbl>
      <w:tblPr>
        <w:tblW w:w="9180"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790"/>
        <w:gridCol w:w="2645"/>
        <w:gridCol w:w="2745"/>
      </w:tblGrid>
      <w:tr w:rsidR="00851B9D" w:rsidRPr="000A5B5D" w:rsidTr="00851B9D">
        <w:trPr>
          <w:trHeight w:val="397"/>
          <w:tblHeader/>
        </w:trPr>
        <w:tc>
          <w:tcPr>
            <w:tcW w:w="379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4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年末终止确认金额</w:t>
            </w:r>
          </w:p>
        </w:tc>
        <w:tc>
          <w:tcPr>
            <w:tcW w:w="274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年末未终止确认金额</w:t>
            </w:r>
          </w:p>
        </w:tc>
      </w:tr>
      <w:tr w:rsidR="00851B9D" w:rsidRPr="000A5B5D" w:rsidTr="00851B9D">
        <w:trPr>
          <w:trHeight w:val="397"/>
        </w:trPr>
        <w:tc>
          <w:tcPr>
            <w:tcW w:w="379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银行承兑汇票</w:t>
            </w:r>
          </w:p>
        </w:tc>
        <w:tc>
          <w:tcPr>
            <w:tcW w:w="264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4,370,232,145.35</w:t>
            </w:r>
          </w:p>
        </w:tc>
        <w:tc>
          <w:tcPr>
            <w:tcW w:w="274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trPr>
        <w:tc>
          <w:tcPr>
            <w:tcW w:w="379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国内信用证</w:t>
            </w:r>
          </w:p>
        </w:tc>
        <w:tc>
          <w:tcPr>
            <w:tcW w:w="2645"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0.00</w:t>
            </w:r>
          </w:p>
        </w:tc>
        <w:tc>
          <w:tcPr>
            <w:tcW w:w="2745"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50,000,000.00</w:t>
            </w:r>
          </w:p>
        </w:tc>
      </w:tr>
      <w:tr w:rsidR="00851B9D" w:rsidRPr="000A5B5D" w:rsidTr="00851B9D">
        <w:trPr>
          <w:trHeight w:val="397"/>
        </w:trPr>
        <w:tc>
          <w:tcPr>
            <w:tcW w:w="379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45"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4,370,232,145.35</w:t>
            </w:r>
          </w:p>
        </w:tc>
        <w:tc>
          <w:tcPr>
            <w:tcW w:w="2745"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50,000,000.00</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）年末因出票人未履约而将其转应收账款的票据</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年末本公司无因出票人未履约而将其转入应收账款的票据。</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20" w:name="OLE_LINK63"/>
      <w:r w:rsidRPr="000A5B5D">
        <w:rPr>
          <w:rFonts w:ascii="Arial" w:hAnsi="Arial" w:cs="Arial" w:hint="eastAsia"/>
          <w:b/>
          <w:sz w:val="24"/>
        </w:rPr>
        <w:t>应收账款</w:t>
      </w:r>
    </w:p>
    <w:p w:rsidR="00851B9D" w:rsidRPr="000A5B5D" w:rsidRDefault="00851B9D" w:rsidP="00851B9D">
      <w:pPr>
        <w:spacing w:line="400" w:lineRule="exact"/>
        <w:ind w:firstLineChars="200" w:firstLine="480"/>
        <w:rPr>
          <w:rFonts w:ascii="Arial" w:hAnsi="Arial" w:cs="Arial"/>
          <w:sz w:val="24"/>
        </w:rPr>
      </w:pPr>
      <w:bookmarkStart w:id="21" w:name="OLE_LINK60"/>
      <w:bookmarkStart w:id="22" w:name="OLE_LINK52"/>
      <w:bookmarkStart w:id="23" w:name="OLE_LINK22"/>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）应收账款分类披露</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08"/>
        <w:gridCol w:w="1471"/>
        <w:gridCol w:w="978"/>
        <w:gridCol w:w="1288"/>
        <w:gridCol w:w="1402"/>
        <w:gridCol w:w="1509"/>
      </w:tblGrid>
      <w:tr w:rsidR="00851B9D" w:rsidRPr="000A5B5D" w:rsidTr="00851B9D">
        <w:trPr>
          <w:trHeight w:val="397"/>
          <w:tblHeader/>
          <w:jc w:val="center"/>
        </w:trPr>
        <w:tc>
          <w:tcPr>
            <w:tcW w:w="240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648"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jc w:val="center"/>
        </w:trPr>
        <w:tc>
          <w:tcPr>
            <w:tcW w:w="2408" w:type="dxa"/>
            <w:vMerge/>
            <w:vAlign w:val="center"/>
          </w:tcPr>
          <w:p w:rsidR="00851B9D" w:rsidRPr="000A5B5D" w:rsidRDefault="00851B9D" w:rsidP="00851B9D">
            <w:pPr>
              <w:widowControl/>
              <w:rPr>
                <w:rFonts w:ascii="Arial Narrow" w:hAnsi="Arial Narrow" w:cs="Arial"/>
                <w:kern w:val="0"/>
                <w:szCs w:val="21"/>
              </w:rPr>
            </w:pPr>
          </w:p>
        </w:tc>
        <w:tc>
          <w:tcPr>
            <w:tcW w:w="2449"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690"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509" w:type="dxa"/>
            <w:vMerge w:val="restart"/>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blHeader/>
          <w:jc w:val="center"/>
        </w:trPr>
        <w:tc>
          <w:tcPr>
            <w:tcW w:w="2408" w:type="dxa"/>
            <w:vMerge/>
            <w:vAlign w:val="center"/>
          </w:tcPr>
          <w:p w:rsidR="00851B9D" w:rsidRPr="000A5B5D" w:rsidRDefault="00851B9D" w:rsidP="00851B9D">
            <w:pPr>
              <w:widowControl/>
              <w:rPr>
                <w:rFonts w:ascii="Arial Narrow" w:hAnsi="Arial Narrow" w:cs="Arial"/>
                <w:kern w:val="0"/>
                <w:szCs w:val="21"/>
              </w:rPr>
            </w:pPr>
          </w:p>
        </w:tc>
        <w:tc>
          <w:tcPr>
            <w:tcW w:w="147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7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28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40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p>
        </w:tc>
        <w:tc>
          <w:tcPr>
            <w:tcW w:w="1509" w:type="dxa"/>
            <w:vMerge/>
            <w:vAlign w:val="bottom"/>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单项金额重大并单独计提坏账准备的应收款项</w:t>
            </w:r>
          </w:p>
        </w:tc>
        <w:tc>
          <w:tcPr>
            <w:tcW w:w="14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97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02"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50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按信用风险特征组合计提坏账准备的应收款项</w:t>
            </w:r>
          </w:p>
        </w:tc>
        <w:tc>
          <w:tcPr>
            <w:tcW w:w="14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889,869,287.38  </w:t>
            </w:r>
          </w:p>
        </w:tc>
        <w:tc>
          <w:tcPr>
            <w:tcW w:w="97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c>
          <w:tcPr>
            <w:tcW w:w="128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634,070.65 </w:t>
            </w:r>
          </w:p>
        </w:tc>
        <w:tc>
          <w:tcPr>
            <w:tcW w:w="140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0.07 </w:t>
            </w:r>
          </w:p>
        </w:tc>
        <w:tc>
          <w:tcPr>
            <w:tcW w:w="150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889,235,216.73 </w:t>
            </w: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单项金额不重大但单独计提坏账准备的应收款项</w:t>
            </w:r>
          </w:p>
        </w:tc>
        <w:tc>
          <w:tcPr>
            <w:tcW w:w="14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97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02"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50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97"/>
          <w:jc w:val="center"/>
        </w:trPr>
        <w:tc>
          <w:tcPr>
            <w:tcW w:w="240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7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889,869,287.38  </w:t>
            </w:r>
          </w:p>
        </w:tc>
        <w:tc>
          <w:tcPr>
            <w:tcW w:w="97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c>
          <w:tcPr>
            <w:tcW w:w="128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634,070.65 </w:t>
            </w:r>
          </w:p>
        </w:tc>
        <w:tc>
          <w:tcPr>
            <w:tcW w:w="1402"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0.07 </w:t>
            </w:r>
          </w:p>
        </w:tc>
        <w:tc>
          <w:tcPr>
            <w:tcW w:w="150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889,235,216.73 </w:t>
            </w:r>
          </w:p>
        </w:tc>
      </w:tr>
    </w:tbl>
    <w:p w:rsidR="00851B9D" w:rsidRPr="000A5B5D" w:rsidRDefault="00851B9D" w:rsidP="00851B9D">
      <w:pPr>
        <w:spacing w:line="400" w:lineRule="exact"/>
        <w:ind w:firstLineChars="200" w:firstLine="480"/>
        <w:rPr>
          <w:rFonts w:ascii="Arial" w:hAnsi="Arial" w:cs="Arial"/>
          <w:sz w:val="24"/>
        </w:rPr>
      </w:pPr>
      <w:bookmarkStart w:id="24" w:name="OLE_LINK147"/>
      <w:bookmarkStart w:id="25" w:name="OLE_LINK134"/>
      <w:r w:rsidRPr="000A5B5D">
        <w:rPr>
          <w:rFonts w:ascii="Arial" w:hAnsi="Arial" w:cs="Arial" w:hint="eastAsia"/>
          <w:sz w:val="24"/>
        </w:rPr>
        <w:t>（续）</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08"/>
        <w:gridCol w:w="1471"/>
        <w:gridCol w:w="980"/>
        <w:gridCol w:w="1299"/>
        <w:gridCol w:w="1384"/>
        <w:gridCol w:w="1514"/>
      </w:tblGrid>
      <w:tr w:rsidR="00851B9D" w:rsidRPr="000A5B5D" w:rsidTr="00851B9D">
        <w:trPr>
          <w:trHeight w:val="397"/>
          <w:tblHeader/>
          <w:jc w:val="center"/>
        </w:trPr>
        <w:tc>
          <w:tcPr>
            <w:tcW w:w="240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648"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blHeader/>
          <w:jc w:val="center"/>
        </w:trPr>
        <w:tc>
          <w:tcPr>
            <w:tcW w:w="2408" w:type="dxa"/>
            <w:vMerge/>
            <w:vAlign w:val="center"/>
          </w:tcPr>
          <w:p w:rsidR="00851B9D" w:rsidRPr="000A5B5D" w:rsidRDefault="00851B9D" w:rsidP="00851B9D">
            <w:pPr>
              <w:widowControl/>
              <w:jc w:val="center"/>
              <w:rPr>
                <w:rFonts w:ascii="Arial Narrow" w:hAnsi="Arial Narrow" w:cs="Arial"/>
                <w:kern w:val="0"/>
                <w:szCs w:val="21"/>
              </w:rPr>
            </w:pPr>
          </w:p>
        </w:tc>
        <w:tc>
          <w:tcPr>
            <w:tcW w:w="2451"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683"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514" w:type="dxa"/>
            <w:vMerge w:val="restart"/>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blHeader/>
          <w:jc w:val="center"/>
        </w:trPr>
        <w:tc>
          <w:tcPr>
            <w:tcW w:w="2408" w:type="dxa"/>
            <w:vMerge/>
            <w:vAlign w:val="center"/>
          </w:tcPr>
          <w:p w:rsidR="00851B9D" w:rsidRPr="000A5B5D" w:rsidRDefault="00851B9D" w:rsidP="00851B9D">
            <w:pPr>
              <w:widowControl/>
              <w:jc w:val="center"/>
              <w:rPr>
                <w:rFonts w:ascii="Arial Narrow" w:hAnsi="Arial Narrow" w:cs="Arial"/>
                <w:kern w:val="0"/>
                <w:szCs w:val="21"/>
              </w:rPr>
            </w:pPr>
          </w:p>
        </w:tc>
        <w:tc>
          <w:tcPr>
            <w:tcW w:w="147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8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299"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38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p>
        </w:tc>
        <w:tc>
          <w:tcPr>
            <w:tcW w:w="1514" w:type="dxa"/>
            <w:vMerge/>
            <w:vAlign w:val="bottom"/>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单项金额重大并单独计提坏账准备的应收款项</w:t>
            </w:r>
          </w:p>
        </w:tc>
        <w:tc>
          <w:tcPr>
            <w:tcW w:w="14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2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38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51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按信用风险特征组合计提坏账准备的应收款项</w:t>
            </w:r>
          </w:p>
        </w:tc>
        <w:tc>
          <w:tcPr>
            <w:tcW w:w="14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986,540,909.06</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100.00</w:t>
            </w:r>
          </w:p>
        </w:tc>
        <w:tc>
          <w:tcPr>
            <w:tcW w:w="12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659,580.57</w:t>
            </w:r>
          </w:p>
        </w:tc>
        <w:tc>
          <w:tcPr>
            <w:tcW w:w="138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0.07</w:t>
            </w:r>
          </w:p>
        </w:tc>
        <w:tc>
          <w:tcPr>
            <w:tcW w:w="151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985,881,328.49</w:t>
            </w:r>
          </w:p>
        </w:tc>
      </w:tr>
      <w:tr w:rsidR="00851B9D" w:rsidRPr="000A5B5D" w:rsidTr="00851B9D">
        <w:trPr>
          <w:trHeight w:val="397"/>
          <w:jc w:val="center"/>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单项金额不重大但单独计提坏账准备的应收款项</w:t>
            </w:r>
          </w:p>
        </w:tc>
        <w:tc>
          <w:tcPr>
            <w:tcW w:w="14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29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38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51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40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7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986,540,909.06 </w:t>
            </w:r>
          </w:p>
        </w:tc>
        <w:tc>
          <w:tcPr>
            <w:tcW w:w="98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100.00</w:t>
            </w:r>
          </w:p>
        </w:tc>
        <w:tc>
          <w:tcPr>
            <w:tcW w:w="129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659,580.57 </w:t>
            </w:r>
          </w:p>
        </w:tc>
        <w:tc>
          <w:tcPr>
            <w:tcW w:w="138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0.07 </w:t>
            </w:r>
          </w:p>
        </w:tc>
        <w:tc>
          <w:tcPr>
            <w:tcW w:w="151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985,881,328.49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组合中，按账龄分析法计提坏账准备的应收账款</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08"/>
        <w:gridCol w:w="2450"/>
        <w:gridCol w:w="2673"/>
        <w:gridCol w:w="1569"/>
      </w:tblGrid>
      <w:tr w:rsidR="00851B9D" w:rsidRPr="000A5B5D" w:rsidTr="00851B9D">
        <w:trPr>
          <w:trHeight w:val="397"/>
          <w:tblHeader/>
        </w:trPr>
        <w:tc>
          <w:tcPr>
            <w:tcW w:w="240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w:t>
            </w:r>
            <w:r w:rsidRPr="000A5B5D">
              <w:rPr>
                <w:rFonts w:ascii="Arial Narrow" w:hAnsi="Arial Narrow" w:cs="Arial"/>
                <w:kern w:val="0"/>
                <w:szCs w:val="21"/>
              </w:rPr>
              <w:t xml:space="preserve">  </w:t>
            </w:r>
            <w:r w:rsidRPr="000A5B5D">
              <w:rPr>
                <w:rFonts w:ascii="Arial Narrow" w:hAnsi="Arial Narrow" w:cs="Arial" w:hint="eastAsia"/>
                <w:kern w:val="0"/>
                <w:szCs w:val="21"/>
              </w:rPr>
              <w:t>龄</w:t>
            </w:r>
          </w:p>
        </w:tc>
        <w:tc>
          <w:tcPr>
            <w:tcW w:w="6692"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trPr>
        <w:tc>
          <w:tcPr>
            <w:tcW w:w="2408" w:type="dxa"/>
            <w:vMerge/>
            <w:vAlign w:val="center"/>
          </w:tcPr>
          <w:p w:rsidR="00851B9D" w:rsidRPr="000A5B5D" w:rsidRDefault="00851B9D" w:rsidP="00851B9D">
            <w:pPr>
              <w:widowControl/>
              <w:jc w:val="center"/>
              <w:rPr>
                <w:rFonts w:ascii="Arial Narrow" w:hAnsi="Arial Narrow" w:cs="Arial"/>
                <w:kern w:val="0"/>
                <w:szCs w:val="21"/>
              </w:rPr>
            </w:pPr>
          </w:p>
        </w:tc>
        <w:tc>
          <w:tcPr>
            <w:tcW w:w="245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应收账款</w:t>
            </w:r>
          </w:p>
        </w:tc>
        <w:tc>
          <w:tcPr>
            <w:tcW w:w="267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569" w:type="dxa"/>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r w:rsidRPr="000A5B5D">
              <w:rPr>
                <w:rFonts w:ascii="Arial Narrow" w:hAnsi="Arial Narrow" w:cs="Arial" w:hint="eastAsia"/>
                <w:kern w:val="0"/>
                <w:szCs w:val="21"/>
              </w:rPr>
              <w:t>）</w:t>
            </w:r>
          </w:p>
        </w:tc>
      </w:tr>
      <w:tr w:rsidR="00851B9D" w:rsidRPr="000A5B5D" w:rsidTr="00851B9D">
        <w:trPr>
          <w:trHeight w:val="397"/>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6</w:t>
            </w:r>
            <w:r w:rsidRPr="000A5B5D">
              <w:rPr>
                <w:rFonts w:ascii="Arial Narrow" w:hAnsi="Arial Narrow" w:cs="Arial" w:hint="eastAsia"/>
                <w:kern w:val="0"/>
                <w:szCs w:val="21"/>
              </w:rPr>
              <w:t>个月以内</w:t>
            </w:r>
          </w:p>
        </w:tc>
        <w:tc>
          <w:tcPr>
            <w:tcW w:w="245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888,503,651.86 </w:t>
            </w:r>
          </w:p>
        </w:tc>
        <w:tc>
          <w:tcPr>
            <w:tcW w:w="26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6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7-12</w:t>
            </w:r>
            <w:r w:rsidRPr="000A5B5D">
              <w:rPr>
                <w:rFonts w:ascii="Arial Narrow" w:hAnsi="Arial Narrow" w:cs="Arial" w:hint="eastAsia"/>
                <w:kern w:val="0"/>
                <w:szCs w:val="21"/>
              </w:rPr>
              <w:t>个月</w:t>
            </w:r>
          </w:p>
        </w:tc>
        <w:tc>
          <w:tcPr>
            <w:tcW w:w="245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754,190.41 </w:t>
            </w:r>
          </w:p>
        </w:tc>
        <w:tc>
          <w:tcPr>
            <w:tcW w:w="26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22,625.71 </w:t>
            </w:r>
          </w:p>
        </w:tc>
        <w:tc>
          <w:tcPr>
            <w:tcW w:w="156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3.00 </w:t>
            </w:r>
          </w:p>
        </w:tc>
      </w:tr>
      <w:tr w:rsidR="00851B9D" w:rsidRPr="000A5B5D" w:rsidTr="00851B9D">
        <w:trPr>
          <w:trHeight w:val="397"/>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45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0.04 </w:t>
            </w:r>
          </w:p>
        </w:tc>
        <w:tc>
          <w:tcPr>
            <w:tcW w:w="26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6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 </w:t>
            </w:r>
          </w:p>
        </w:tc>
      </w:tr>
      <w:tr w:rsidR="00851B9D" w:rsidRPr="000A5B5D" w:rsidTr="00851B9D">
        <w:trPr>
          <w:trHeight w:val="397"/>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45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0.26 </w:t>
            </w:r>
          </w:p>
        </w:tc>
        <w:tc>
          <w:tcPr>
            <w:tcW w:w="26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0.13 </w:t>
            </w:r>
          </w:p>
        </w:tc>
        <w:tc>
          <w:tcPr>
            <w:tcW w:w="156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50.00 </w:t>
            </w:r>
          </w:p>
        </w:tc>
      </w:tr>
      <w:tr w:rsidR="00851B9D" w:rsidRPr="000A5B5D" w:rsidTr="00851B9D">
        <w:trPr>
          <w:trHeight w:val="397"/>
        </w:trPr>
        <w:tc>
          <w:tcPr>
            <w:tcW w:w="240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45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611,444.81 </w:t>
            </w:r>
          </w:p>
        </w:tc>
        <w:tc>
          <w:tcPr>
            <w:tcW w:w="26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611,444.81 </w:t>
            </w:r>
          </w:p>
        </w:tc>
        <w:tc>
          <w:tcPr>
            <w:tcW w:w="156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r>
      <w:tr w:rsidR="00851B9D" w:rsidRPr="000A5B5D" w:rsidTr="00851B9D">
        <w:trPr>
          <w:trHeight w:val="397"/>
        </w:trPr>
        <w:tc>
          <w:tcPr>
            <w:tcW w:w="240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45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889,869,287.38 </w:t>
            </w:r>
          </w:p>
        </w:tc>
        <w:tc>
          <w:tcPr>
            <w:tcW w:w="267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634,070.65 </w:t>
            </w:r>
          </w:p>
        </w:tc>
        <w:tc>
          <w:tcPr>
            <w:tcW w:w="156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0.07 </w:t>
            </w:r>
          </w:p>
        </w:tc>
      </w:tr>
    </w:tbl>
    <w:bookmarkEnd w:id="24"/>
    <w:bookmarkEnd w:id="25"/>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）本年计提、收回或转回的坏账准备情况</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本年计提坏账准备金额</w:t>
      </w:r>
      <w:r w:rsidRPr="000A5B5D">
        <w:rPr>
          <w:rFonts w:ascii="Arial" w:hAnsi="Arial" w:cs="Arial"/>
          <w:sz w:val="24"/>
        </w:rPr>
        <w:t>-25,509.92</w:t>
      </w:r>
      <w:r w:rsidRPr="000A5B5D">
        <w:rPr>
          <w:rFonts w:ascii="Arial" w:hAnsi="Arial" w:cs="Arial" w:hint="eastAsia"/>
          <w:sz w:val="24"/>
        </w:rPr>
        <w:t>元。</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）按欠款方归集的年末余额前五名的应收账款情况</w:t>
      </w:r>
    </w:p>
    <w:p w:rsidR="00851B9D" w:rsidRPr="000A5B5D" w:rsidRDefault="00851B9D" w:rsidP="00851B9D">
      <w:pPr>
        <w:tabs>
          <w:tab w:val="left" w:pos="9000"/>
        </w:tabs>
        <w:spacing w:line="400" w:lineRule="exact"/>
        <w:ind w:rightChars="171" w:right="308" w:firstLineChars="200" w:firstLine="480"/>
        <w:rPr>
          <w:rFonts w:ascii="Arial" w:hAnsi="Arial" w:cs="Arial"/>
          <w:sz w:val="24"/>
        </w:rPr>
      </w:pPr>
      <w:r w:rsidRPr="000A5B5D">
        <w:rPr>
          <w:rFonts w:ascii="Arial" w:hAnsi="Arial" w:cs="Arial" w:hint="eastAsia"/>
          <w:sz w:val="24"/>
        </w:rPr>
        <w:t>本公司本年按欠款方归集的年末余额前五名应收账款汇总金额为</w:t>
      </w:r>
      <w:r w:rsidRPr="000A5B5D">
        <w:rPr>
          <w:rFonts w:ascii="Arial" w:hAnsi="Arial" w:cs="Arial"/>
          <w:sz w:val="24"/>
        </w:rPr>
        <w:t xml:space="preserve">477,410,990.03 </w:t>
      </w:r>
      <w:r w:rsidRPr="000A5B5D">
        <w:rPr>
          <w:rFonts w:ascii="Arial" w:hAnsi="Arial" w:cs="Arial" w:hint="eastAsia"/>
          <w:sz w:val="24"/>
        </w:rPr>
        <w:t>元，占应收账款年末余额合计数的比例为</w:t>
      </w:r>
      <w:r w:rsidRPr="000A5B5D">
        <w:rPr>
          <w:rFonts w:ascii="Arial" w:hAnsi="Arial" w:cs="Arial"/>
          <w:sz w:val="24"/>
        </w:rPr>
        <w:t>53.65%</w:t>
      </w:r>
      <w:r w:rsidRPr="000A5B5D">
        <w:rPr>
          <w:rFonts w:ascii="Arial" w:hAnsi="Arial" w:cs="Arial" w:hint="eastAsia"/>
          <w:sz w:val="24"/>
        </w:rPr>
        <w:t>，相应计提的坏账准备年末余额汇总金额为</w:t>
      </w:r>
      <w:r w:rsidRPr="000A5B5D">
        <w:rPr>
          <w:rFonts w:ascii="Arial" w:hAnsi="Arial" w:cs="Arial"/>
          <w:sz w:val="24"/>
        </w:rPr>
        <w:t>0.00</w:t>
      </w:r>
      <w:r w:rsidRPr="000A5B5D">
        <w:rPr>
          <w:rFonts w:ascii="Arial" w:hAnsi="Arial" w:cs="Arial" w:hint="eastAsia"/>
          <w:sz w:val="24"/>
        </w:rPr>
        <w:t>元。</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26" w:name="OLE_LINK14"/>
      <w:r w:rsidRPr="000A5B5D">
        <w:rPr>
          <w:rFonts w:ascii="Arial" w:hAnsi="Arial" w:cs="Arial" w:hint="eastAsia"/>
          <w:b/>
          <w:sz w:val="24"/>
        </w:rPr>
        <w:t>预付款项</w:t>
      </w:r>
    </w:p>
    <w:p w:rsidR="00851B9D" w:rsidRPr="000A5B5D" w:rsidRDefault="00851B9D" w:rsidP="00851B9D">
      <w:pPr>
        <w:tabs>
          <w:tab w:val="left" w:pos="525"/>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）预付款项按账龄列示</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363"/>
        <w:gridCol w:w="2293"/>
        <w:gridCol w:w="1790"/>
        <w:gridCol w:w="2430"/>
        <w:gridCol w:w="1338"/>
      </w:tblGrid>
      <w:tr w:rsidR="00851B9D" w:rsidRPr="000A5B5D" w:rsidTr="00851B9D">
        <w:trPr>
          <w:trHeight w:val="397"/>
          <w:jc w:val="center"/>
        </w:trPr>
        <w:tc>
          <w:tcPr>
            <w:tcW w:w="1363"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w:t>
            </w:r>
            <w:r w:rsidRPr="000A5B5D">
              <w:rPr>
                <w:rFonts w:ascii="Arial Narrow" w:hAnsi="Arial Narrow" w:cs="Arial"/>
                <w:kern w:val="0"/>
                <w:szCs w:val="21"/>
              </w:rPr>
              <w:t xml:space="preserve">  </w:t>
            </w:r>
            <w:r w:rsidRPr="000A5B5D">
              <w:rPr>
                <w:rFonts w:ascii="Arial Narrow" w:hAnsi="Arial Narrow" w:cs="Arial" w:hint="eastAsia"/>
                <w:kern w:val="0"/>
                <w:szCs w:val="21"/>
              </w:rPr>
              <w:t>龄</w:t>
            </w:r>
          </w:p>
        </w:tc>
        <w:tc>
          <w:tcPr>
            <w:tcW w:w="4083"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768"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1363" w:type="dxa"/>
            <w:vMerge/>
            <w:vAlign w:val="center"/>
          </w:tcPr>
          <w:p w:rsidR="00851B9D" w:rsidRPr="000A5B5D" w:rsidRDefault="00851B9D" w:rsidP="00851B9D">
            <w:pPr>
              <w:widowControl/>
              <w:jc w:val="center"/>
              <w:rPr>
                <w:rFonts w:ascii="Arial Narrow" w:hAnsi="Arial Narrow" w:cs="Arial"/>
                <w:kern w:val="0"/>
                <w:szCs w:val="21"/>
              </w:rPr>
            </w:pPr>
          </w:p>
        </w:tc>
        <w:tc>
          <w:tcPr>
            <w:tcW w:w="229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79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243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33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r>
      <w:tr w:rsidR="00851B9D" w:rsidRPr="000A5B5D" w:rsidTr="00851B9D">
        <w:trPr>
          <w:trHeight w:val="397"/>
          <w:jc w:val="center"/>
        </w:trPr>
        <w:tc>
          <w:tcPr>
            <w:tcW w:w="136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年以内</w:t>
            </w:r>
          </w:p>
        </w:tc>
        <w:tc>
          <w:tcPr>
            <w:tcW w:w="229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1,913,671,080.25 </w:t>
            </w:r>
          </w:p>
        </w:tc>
        <w:tc>
          <w:tcPr>
            <w:tcW w:w="179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99.04 </w:t>
            </w:r>
          </w:p>
        </w:tc>
        <w:tc>
          <w:tcPr>
            <w:tcW w:w="243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2,027,430,719.78 </w:t>
            </w:r>
          </w:p>
        </w:tc>
        <w:tc>
          <w:tcPr>
            <w:tcW w:w="13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99.78 </w:t>
            </w:r>
          </w:p>
        </w:tc>
      </w:tr>
      <w:tr w:rsidR="00851B9D" w:rsidRPr="000A5B5D" w:rsidTr="00851B9D">
        <w:trPr>
          <w:trHeight w:val="397"/>
          <w:jc w:val="center"/>
        </w:trPr>
        <w:tc>
          <w:tcPr>
            <w:tcW w:w="136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29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15,060,438.90 </w:t>
            </w:r>
          </w:p>
        </w:tc>
        <w:tc>
          <w:tcPr>
            <w:tcW w:w="179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0.78 </w:t>
            </w:r>
          </w:p>
        </w:tc>
        <w:tc>
          <w:tcPr>
            <w:tcW w:w="243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3,966,921.93 </w:t>
            </w:r>
          </w:p>
        </w:tc>
        <w:tc>
          <w:tcPr>
            <w:tcW w:w="13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0.20 </w:t>
            </w:r>
          </w:p>
        </w:tc>
      </w:tr>
      <w:tr w:rsidR="00851B9D" w:rsidRPr="000A5B5D" w:rsidTr="00851B9D">
        <w:trPr>
          <w:trHeight w:val="397"/>
          <w:jc w:val="center"/>
        </w:trPr>
        <w:tc>
          <w:tcPr>
            <w:tcW w:w="136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29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3,289,838.31 </w:t>
            </w:r>
          </w:p>
        </w:tc>
        <w:tc>
          <w:tcPr>
            <w:tcW w:w="179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0.17 </w:t>
            </w:r>
          </w:p>
        </w:tc>
        <w:tc>
          <w:tcPr>
            <w:tcW w:w="243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298,825.50 </w:t>
            </w:r>
          </w:p>
        </w:tc>
        <w:tc>
          <w:tcPr>
            <w:tcW w:w="13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0.01 </w:t>
            </w:r>
          </w:p>
        </w:tc>
      </w:tr>
      <w:tr w:rsidR="00851B9D" w:rsidRPr="000A5B5D" w:rsidTr="00851B9D">
        <w:trPr>
          <w:trHeight w:val="397"/>
          <w:jc w:val="center"/>
        </w:trPr>
        <w:tc>
          <w:tcPr>
            <w:tcW w:w="136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29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212,749.58 </w:t>
            </w:r>
          </w:p>
        </w:tc>
        <w:tc>
          <w:tcPr>
            <w:tcW w:w="179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0.01 </w:t>
            </w:r>
          </w:p>
        </w:tc>
        <w:tc>
          <w:tcPr>
            <w:tcW w:w="243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129,212.58 </w:t>
            </w:r>
          </w:p>
        </w:tc>
        <w:tc>
          <w:tcPr>
            <w:tcW w:w="13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0.01 </w:t>
            </w:r>
          </w:p>
        </w:tc>
      </w:tr>
      <w:tr w:rsidR="00851B9D" w:rsidRPr="000A5B5D" w:rsidTr="00851B9D">
        <w:trPr>
          <w:trHeight w:val="397"/>
          <w:jc w:val="center"/>
        </w:trPr>
        <w:tc>
          <w:tcPr>
            <w:tcW w:w="136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29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1,932,234,107.04 </w:t>
            </w:r>
          </w:p>
        </w:tc>
        <w:tc>
          <w:tcPr>
            <w:tcW w:w="179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c>
          <w:tcPr>
            <w:tcW w:w="243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2,031,825,679.79 </w:t>
            </w:r>
          </w:p>
        </w:tc>
        <w:tc>
          <w:tcPr>
            <w:tcW w:w="133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100.00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）按预付对象归集的年末余额前五名的预付款情况</w:t>
      </w:r>
    </w:p>
    <w:p w:rsidR="00851B9D" w:rsidRPr="000A5B5D" w:rsidRDefault="00851B9D" w:rsidP="00851B9D">
      <w:pPr>
        <w:tabs>
          <w:tab w:val="left" w:pos="9000"/>
        </w:tabs>
        <w:spacing w:line="400" w:lineRule="exact"/>
        <w:ind w:rightChars="171" w:right="308" w:firstLineChars="200" w:firstLine="480"/>
        <w:rPr>
          <w:rFonts w:ascii="Arial" w:hAnsi="Arial" w:cs="Arial"/>
          <w:sz w:val="24"/>
        </w:rPr>
      </w:pPr>
      <w:r w:rsidRPr="000A5B5D">
        <w:rPr>
          <w:rFonts w:ascii="Arial" w:hAnsi="Arial" w:cs="Arial" w:hint="eastAsia"/>
          <w:sz w:val="24"/>
        </w:rPr>
        <w:t>本公司按预付对象归集的年末余额前五名预付账款汇总金额为</w:t>
      </w:r>
      <w:r w:rsidRPr="000A5B5D">
        <w:rPr>
          <w:rFonts w:ascii="Arial" w:hAnsi="Arial" w:cs="Arial"/>
          <w:sz w:val="24"/>
        </w:rPr>
        <w:t>1,356,387,664.34</w:t>
      </w:r>
      <w:r w:rsidRPr="000A5B5D">
        <w:rPr>
          <w:rFonts w:ascii="Arial" w:hAnsi="Arial" w:cs="Arial" w:hint="eastAsia"/>
          <w:sz w:val="24"/>
        </w:rPr>
        <w:t>元，占预付账款年末余额合计数的比例为</w:t>
      </w:r>
      <w:r w:rsidRPr="000A5B5D">
        <w:rPr>
          <w:rFonts w:ascii="Arial" w:hAnsi="Arial" w:cs="Arial"/>
          <w:sz w:val="24"/>
        </w:rPr>
        <w:t>70.20%</w:t>
      </w:r>
      <w:r w:rsidRPr="000A5B5D">
        <w:rPr>
          <w:rFonts w:ascii="Arial" w:hAnsi="Arial" w:cs="Arial" w:hint="eastAsia"/>
          <w:sz w:val="24"/>
        </w:rPr>
        <w:t>。</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其他应收款</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lastRenderedPageBreak/>
        <w:t>（</w:t>
      </w:r>
      <w:r w:rsidRPr="000A5B5D">
        <w:rPr>
          <w:rFonts w:ascii="Arial" w:hAnsi="Arial" w:cs="Arial"/>
          <w:sz w:val="24"/>
        </w:rPr>
        <w:t>1</w:t>
      </w:r>
      <w:r w:rsidRPr="000A5B5D">
        <w:rPr>
          <w:rFonts w:ascii="Arial" w:hAnsi="Arial" w:cs="Arial" w:hint="eastAsia"/>
          <w:sz w:val="24"/>
        </w:rPr>
        <w:t>）其他应收款分类披露</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77"/>
        <w:gridCol w:w="1400"/>
        <w:gridCol w:w="971"/>
        <w:gridCol w:w="1559"/>
        <w:gridCol w:w="1263"/>
        <w:gridCol w:w="1386"/>
      </w:tblGrid>
      <w:tr w:rsidR="00851B9D" w:rsidRPr="000A5B5D" w:rsidTr="00851B9D">
        <w:trPr>
          <w:trHeight w:val="397"/>
          <w:tblHeader/>
          <w:jc w:val="center"/>
        </w:trPr>
        <w:tc>
          <w:tcPr>
            <w:tcW w:w="2477"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579"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jc w:val="center"/>
        </w:trPr>
        <w:tc>
          <w:tcPr>
            <w:tcW w:w="2477" w:type="dxa"/>
            <w:vMerge/>
            <w:vAlign w:val="center"/>
          </w:tcPr>
          <w:p w:rsidR="00851B9D" w:rsidRPr="000A5B5D" w:rsidRDefault="00851B9D" w:rsidP="00851B9D">
            <w:pPr>
              <w:widowControl/>
              <w:jc w:val="center"/>
              <w:rPr>
                <w:rFonts w:ascii="Arial Narrow" w:hAnsi="Arial Narrow" w:cs="Arial"/>
                <w:kern w:val="0"/>
                <w:szCs w:val="21"/>
              </w:rPr>
            </w:pPr>
          </w:p>
        </w:tc>
        <w:tc>
          <w:tcPr>
            <w:tcW w:w="2371"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822"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386" w:type="dxa"/>
            <w:vMerge w:val="restart"/>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blHeader/>
          <w:jc w:val="center"/>
        </w:trPr>
        <w:tc>
          <w:tcPr>
            <w:tcW w:w="2477" w:type="dxa"/>
            <w:vMerge/>
            <w:vAlign w:val="center"/>
          </w:tcPr>
          <w:p w:rsidR="00851B9D" w:rsidRPr="000A5B5D" w:rsidRDefault="00851B9D" w:rsidP="00851B9D">
            <w:pPr>
              <w:widowControl/>
              <w:jc w:val="center"/>
              <w:rPr>
                <w:rFonts w:ascii="Arial Narrow" w:hAnsi="Arial Narrow" w:cs="Arial"/>
                <w:kern w:val="0"/>
                <w:szCs w:val="21"/>
              </w:rPr>
            </w:pPr>
          </w:p>
        </w:tc>
        <w:tc>
          <w:tcPr>
            <w:tcW w:w="140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7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559"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26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p>
        </w:tc>
        <w:tc>
          <w:tcPr>
            <w:tcW w:w="1386" w:type="dxa"/>
            <w:vMerge/>
            <w:vAlign w:val="bottom"/>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单项金额重大并单独计提坏账准备的其他应收款</w:t>
            </w:r>
          </w:p>
        </w:tc>
        <w:tc>
          <w:tcPr>
            <w:tcW w:w="140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97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26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386"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按信用风险特征组合计提坏账准备的其他应收款</w:t>
            </w:r>
          </w:p>
        </w:tc>
        <w:tc>
          <w:tcPr>
            <w:tcW w:w="14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38,162,048.08 </w:t>
            </w:r>
          </w:p>
        </w:tc>
        <w:tc>
          <w:tcPr>
            <w:tcW w:w="9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c>
          <w:tcPr>
            <w:tcW w:w="15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1,267,689.74 </w:t>
            </w:r>
          </w:p>
        </w:tc>
        <w:tc>
          <w:tcPr>
            <w:tcW w:w="126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3.32 </w:t>
            </w:r>
          </w:p>
        </w:tc>
        <w:tc>
          <w:tcPr>
            <w:tcW w:w="13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36,894,358.34 </w:t>
            </w: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单项金额不重大但单独计提坏账准备的其他应收款</w:t>
            </w:r>
          </w:p>
        </w:tc>
        <w:tc>
          <w:tcPr>
            <w:tcW w:w="1400"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97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26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386"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97"/>
          <w:jc w:val="center"/>
        </w:trPr>
        <w:tc>
          <w:tcPr>
            <w:tcW w:w="247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0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38,162,048.08 </w:t>
            </w:r>
          </w:p>
        </w:tc>
        <w:tc>
          <w:tcPr>
            <w:tcW w:w="97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 </w:t>
            </w:r>
          </w:p>
        </w:tc>
        <w:tc>
          <w:tcPr>
            <w:tcW w:w="155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1,267,689.74 </w:t>
            </w:r>
          </w:p>
        </w:tc>
        <w:tc>
          <w:tcPr>
            <w:tcW w:w="126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3.32 </w:t>
            </w:r>
          </w:p>
        </w:tc>
        <w:tc>
          <w:tcPr>
            <w:tcW w:w="1386"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36,894,358.34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（续）</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77"/>
        <w:gridCol w:w="1386"/>
        <w:gridCol w:w="980"/>
        <w:gridCol w:w="1564"/>
        <w:gridCol w:w="1263"/>
        <w:gridCol w:w="1386"/>
      </w:tblGrid>
      <w:tr w:rsidR="00851B9D" w:rsidRPr="000A5B5D" w:rsidTr="00851B9D">
        <w:trPr>
          <w:trHeight w:val="397"/>
          <w:tblHeader/>
          <w:jc w:val="center"/>
        </w:trPr>
        <w:tc>
          <w:tcPr>
            <w:tcW w:w="2477"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579"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blHeader/>
          <w:jc w:val="center"/>
        </w:trPr>
        <w:tc>
          <w:tcPr>
            <w:tcW w:w="2477" w:type="dxa"/>
            <w:vMerge/>
            <w:vAlign w:val="center"/>
          </w:tcPr>
          <w:p w:rsidR="00851B9D" w:rsidRPr="000A5B5D" w:rsidRDefault="00851B9D" w:rsidP="00851B9D">
            <w:pPr>
              <w:widowControl/>
              <w:jc w:val="center"/>
              <w:rPr>
                <w:rFonts w:ascii="Arial Narrow" w:hAnsi="Arial Narrow" w:cs="Arial"/>
                <w:kern w:val="0"/>
                <w:szCs w:val="21"/>
              </w:rPr>
            </w:pPr>
          </w:p>
        </w:tc>
        <w:tc>
          <w:tcPr>
            <w:tcW w:w="2366"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827"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386" w:type="dxa"/>
            <w:vMerge w:val="restart"/>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blHeader/>
          <w:jc w:val="center"/>
        </w:trPr>
        <w:tc>
          <w:tcPr>
            <w:tcW w:w="2477" w:type="dxa"/>
            <w:vMerge/>
            <w:vAlign w:val="center"/>
          </w:tcPr>
          <w:p w:rsidR="00851B9D" w:rsidRPr="000A5B5D" w:rsidRDefault="00851B9D" w:rsidP="00851B9D">
            <w:pPr>
              <w:widowControl/>
              <w:jc w:val="center"/>
              <w:rPr>
                <w:rFonts w:ascii="Arial Narrow" w:hAnsi="Arial Narrow" w:cs="Arial"/>
                <w:kern w:val="0"/>
                <w:szCs w:val="21"/>
              </w:rPr>
            </w:pPr>
          </w:p>
        </w:tc>
        <w:tc>
          <w:tcPr>
            <w:tcW w:w="1386"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8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56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26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p>
        </w:tc>
        <w:tc>
          <w:tcPr>
            <w:tcW w:w="1386" w:type="dxa"/>
            <w:vMerge/>
            <w:vAlign w:val="bottom"/>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单项金额重大并单独计提坏账准备的其他应收款</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56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263" w:type="dxa"/>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kern w:val="0"/>
                <w:szCs w:val="21"/>
              </w:rPr>
              <w:t>0.00</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按信用风险特征组合计提坏账准备的其他应收款</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14,102,104.07</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56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3,458,912.28</w:t>
            </w:r>
          </w:p>
        </w:tc>
        <w:tc>
          <w:tcPr>
            <w:tcW w:w="1263" w:type="dxa"/>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szCs w:val="21"/>
              </w:rPr>
              <w:t>24.53</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10,643,191.79</w:t>
            </w:r>
          </w:p>
        </w:tc>
      </w:tr>
      <w:tr w:rsidR="00851B9D" w:rsidRPr="000A5B5D" w:rsidTr="00851B9D">
        <w:trPr>
          <w:trHeight w:val="397"/>
          <w:jc w:val="center"/>
        </w:trPr>
        <w:tc>
          <w:tcPr>
            <w:tcW w:w="24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单项金额不重大但单独计提坏账准备的其他应收款</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56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263" w:type="dxa"/>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kern w:val="0"/>
                <w:szCs w:val="21"/>
              </w:rPr>
              <w:t>0.00</w:t>
            </w:r>
          </w:p>
        </w:tc>
        <w:tc>
          <w:tcPr>
            <w:tcW w:w="138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47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386"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14,102,104.07</w:t>
            </w:r>
          </w:p>
        </w:tc>
        <w:tc>
          <w:tcPr>
            <w:tcW w:w="98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56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3,458,912.28</w:t>
            </w:r>
          </w:p>
        </w:tc>
        <w:tc>
          <w:tcPr>
            <w:tcW w:w="1263" w:type="dxa"/>
            <w:tcBorders>
              <w:bottom w:val="single" w:sz="12" w:space="0" w:color="auto"/>
            </w:tcBorders>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szCs w:val="21"/>
              </w:rPr>
              <w:t>24.53</w:t>
            </w:r>
          </w:p>
        </w:tc>
        <w:tc>
          <w:tcPr>
            <w:tcW w:w="1386"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10,643,191.79</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组合中，按账龄分析法计提坏账准备的其他应收款</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478"/>
        <w:gridCol w:w="2366"/>
        <w:gridCol w:w="2085"/>
        <w:gridCol w:w="2171"/>
      </w:tblGrid>
      <w:tr w:rsidR="00851B9D" w:rsidRPr="000A5B5D" w:rsidTr="00851B9D">
        <w:trPr>
          <w:trHeight w:val="397"/>
          <w:tblHeader/>
        </w:trPr>
        <w:tc>
          <w:tcPr>
            <w:tcW w:w="247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w:t>
            </w:r>
            <w:r w:rsidRPr="000A5B5D">
              <w:rPr>
                <w:rFonts w:ascii="Arial Narrow" w:hAnsi="Arial Narrow" w:cs="Arial"/>
                <w:kern w:val="0"/>
                <w:szCs w:val="21"/>
              </w:rPr>
              <w:t xml:space="preserve">  </w:t>
            </w:r>
            <w:r w:rsidRPr="000A5B5D">
              <w:rPr>
                <w:rFonts w:ascii="Arial Narrow" w:hAnsi="Arial Narrow" w:cs="Arial" w:hint="eastAsia"/>
                <w:kern w:val="0"/>
                <w:szCs w:val="21"/>
              </w:rPr>
              <w:t>龄</w:t>
            </w:r>
          </w:p>
        </w:tc>
        <w:tc>
          <w:tcPr>
            <w:tcW w:w="6622"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trPr>
        <w:tc>
          <w:tcPr>
            <w:tcW w:w="2478" w:type="dxa"/>
            <w:vMerge/>
            <w:vAlign w:val="center"/>
          </w:tcPr>
          <w:p w:rsidR="00851B9D" w:rsidRPr="000A5B5D" w:rsidRDefault="00851B9D" w:rsidP="00851B9D">
            <w:pPr>
              <w:widowControl/>
              <w:jc w:val="center"/>
              <w:rPr>
                <w:rFonts w:ascii="Arial Narrow" w:hAnsi="Arial Narrow" w:cs="Arial"/>
                <w:kern w:val="0"/>
                <w:szCs w:val="21"/>
              </w:rPr>
            </w:pPr>
          </w:p>
        </w:tc>
        <w:tc>
          <w:tcPr>
            <w:tcW w:w="2366"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其他应收款</w:t>
            </w:r>
          </w:p>
        </w:tc>
        <w:tc>
          <w:tcPr>
            <w:tcW w:w="208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2171" w:type="dxa"/>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r w:rsidRPr="000A5B5D">
              <w:rPr>
                <w:rFonts w:ascii="Arial Narrow" w:hAnsi="Arial Narrow" w:cs="Arial" w:hint="eastAsia"/>
                <w:kern w:val="0"/>
                <w:szCs w:val="21"/>
              </w:rPr>
              <w:t>）</w:t>
            </w:r>
          </w:p>
        </w:tc>
      </w:tr>
      <w:tr w:rsidR="00851B9D" w:rsidRPr="000A5B5D" w:rsidTr="00851B9D">
        <w:trPr>
          <w:trHeight w:val="397"/>
        </w:trPr>
        <w:tc>
          <w:tcPr>
            <w:tcW w:w="247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6</w:t>
            </w:r>
            <w:r w:rsidRPr="000A5B5D">
              <w:rPr>
                <w:rFonts w:ascii="Arial Narrow" w:hAnsi="Arial Narrow" w:cs="Arial" w:hint="eastAsia"/>
                <w:kern w:val="0"/>
                <w:szCs w:val="21"/>
              </w:rPr>
              <w:t>个月以内</w:t>
            </w:r>
          </w:p>
        </w:tc>
        <w:tc>
          <w:tcPr>
            <w:tcW w:w="236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24,784,082.31 </w:t>
            </w:r>
          </w:p>
        </w:tc>
        <w:tc>
          <w:tcPr>
            <w:tcW w:w="208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0.00   </w:t>
            </w:r>
          </w:p>
        </w:tc>
      </w:tr>
      <w:tr w:rsidR="00851B9D" w:rsidRPr="000A5B5D" w:rsidTr="00851B9D">
        <w:trPr>
          <w:trHeight w:val="397"/>
        </w:trPr>
        <w:tc>
          <w:tcPr>
            <w:tcW w:w="247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7-12</w:t>
            </w:r>
            <w:r w:rsidRPr="000A5B5D">
              <w:rPr>
                <w:rFonts w:ascii="Arial Narrow" w:hAnsi="Arial Narrow" w:cs="Arial" w:hint="eastAsia"/>
                <w:kern w:val="0"/>
                <w:szCs w:val="21"/>
              </w:rPr>
              <w:t>个月</w:t>
            </w:r>
          </w:p>
        </w:tc>
        <w:tc>
          <w:tcPr>
            <w:tcW w:w="236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11,919,426.89 </w:t>
            </w:r>
          </w:p>
        </w:tc>
        <w:tc>
          <w:tcPr>
            <w:tcW w:w="208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357,582.82 </w:t>
            </w:r>
          </w:p>
        </w:tc>
        <w:tc>
          <w:tcPr>
            <w:tcW w:w="21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3.00 </w:t>
            </w:r>
          </w:p>
        </w:tc>
      </w:tr>
      <w:tr w:rsidR="00851B9D" w:rsidRPr="000A5B5D" w:rsidTr="00851B9D">
        <w:trPr>
          <w:trHeight w:val="397"/>
        </w:trPr>
        <w:tc>
          <w:tcPr>
            <w:tcW w:w="247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36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582,686.54 </w:t>
            </w:r>
          </w:p>
        </w:tc>
        <w:tc>
          <w:tcPr>
            <w:tcW w:w="208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58,268.63 </w:t>
            </w:r>
          </w:p>
        </w:tc>
        <w:tc>
          <w:tcPr>
            <w:tcW w:w="21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10.00 </w:t>
            </w:r>
          </w:p>
        </w:tc>
      </w:tr>
      <w:tr w:rsidR="00851B9D" w:rsidRPr="000A5B5D" w:rsidTr="00851B9D">
        <w:trPr>
          <w:trHeight w:val="397"/>
        </w:trPr>
        <w:tc>
          <w:tcPr>
            <w:tcW w:w="247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36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48,028.10 </w:t>
            </w:r>
          </w:p>
        </w:tc>
        <w:tc>
          <w:tcPr>
            <w:tcW w:w="208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24,014.05 </w:t>
            </w:r>
          </w:p>
        </w:tc>
        <w:tc>
          <w:tcPr>
            <w:tcW w:w="21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50.00 </w:t>
            </w:r>
          </w:p>
        </w:tc>
      </w:tr>
      <w:tr w:rsidR="00851B9D" w:rsidRPr="000A5B5D" w:rsidTr="00851B9D">
        <w:trPr>
          <w:trHeight w:val="397"/>
        </w:trPr>
        <w:tc>
          <w:tcPr>
            <w:tcW w:w="247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36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827,824.24 </w:t>
            </w:r>
          </w:p>
        </w:tc>
        <w:tc>
          <w:tcPr>
            <w:tcW w:w="208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827,824.24 </w:t>
            </w:r>
          </w:p>
        </w:tc>
        <w:tc>
          <w:tcPr>
            <w:tcW w:w="217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100.00 </w:t>
            </w:r>
          </w:p>
        </w:tc>
      </w:tr>
      <w:tr w:rsidR="00851B9D" w:rsidRPr="000A5B5D" w:rsidTr="00851B9D">
        <w:trPr>
          <w:trHeight w:val="397"/>
        </w:trPr>
        <w:tc>
          <w:tcPr>
            <w:tcW w:w="247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366"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38,162,048.08 </w:t>
            </w:r>
          </w:p>
        </w:tc>
        <w:tc>
          <w:tcPr>
            <w:tcW w:w="2085"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1,267,689.74 </w:t>
            </w:r>
          </w:p>
        </w:tc>
        <w:tc>
          <w:tcPr>
            <w:tcW w:w="217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3.32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）本年计提、收回或转回的坏账准备情况</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本年计提坏账准备金额</w:t>
      </w:r>
      <w:r w:rsidRPr="000A5B5D">
        <w:rPr>
          <w:rFonts w:ascii="Arial" w:hAnsi="Arial" w:cs="Arial"/>
          <w:sz w:val="24"/>
        </w:rPr>
        <w:t>-2,225,514.63</w:t>
      </w:r>
      <w:r w:rsidRPr="000A5B5D">
        <w:rPr>
          <w:rFonts w:ascii="Arial" w:hAnsi="Arial" w:cs="Arial" w:hint="eastAsia"/>
          <w:sz w:val="24"/>
        </w:rPr>
        <w:t>元；</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）其他应收款按款项性质分类情况</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379"/>
        <w:gridCol w:w="2104"/>
        <w:gridCol w:w="2617"/>
      </w:tblGrid>
      <w:tr w:rsidR="00851B9D" w:rsidRPr="000A5B5D" w:rsidTr="00851B9D">
        <w:trPr>
          <w:trHeight w:val="397"/>
          <w:tblHeader/>
        </w:trPr>
        <w:tc>
          <w:tcPr>
            <w:tcW w:w="437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lastRenderedPageBreak/>
              <w:t>款项性质</w:t>
            </w:r>
          </w:p>
        </w:tc>
        <w:tc>
          <w:tcPr>
            <w:tcW w:w="21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6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往来款</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12,708,456.60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5,027,087.87 </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员工借款、备用金</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1,626,978.17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2,042,421.10 </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保证金</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600,000.00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114,749.00 </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押金</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800,282.82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750,417.26 </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出口退税</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3,019,967.99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4,239,760.46 </w:t>
            </w:r>
          </w:p>
        </w:tc>
      </w:tr>
      <w:tr w:rsidR="00851B9D" w:rsidRPr="000A5B5D" w:rsidTr="00851B9D">
        <w:trPr>
          <w:trHeight w:val="397"/>
        </w:trPr>
        <w:tc>
          <w:tcPr>
            <w:tcW w:w="437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增值税返还</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19,389,999.99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1,825,833.33 </w:t>
            </w:r>
          </w:p>
        </w:tc>
      </w:tr>
      <w:tr w:rsidR="00851B9D" w:rsidRPr="000A5B5D" w:rsidTr="00851B9D">
        <w:trPr>
          <w:trHeight w:val="397"/>
        </w:trPr>
        <w:tc>
          <w:tcPr>
            <w:tcW w:w="437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16,362.51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101,835.05 </w:t>
            </w:r>
          </w:p>
        </w:tc>
      </w:tr>
      <w:tr w:rsidR="00851B9D" w:rsidRPr="000A5B5D" w:rsidTr="00851B9D">
        <w:trPr>
          <w:trHeight w:val="397"/>
        </w:trPr>
        <w:tc>
          <w:tcPr>
            <w:tcW w:w="437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10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38,162,048.08 </w:t>
            </w:r>
          </w:p>
        </w:tc>
        <w:tc>
          <w:tcPr>
            <w:tcW w:w="26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14,102,104.07 </w:t>
            </w:r>
          </w:p>
        </w:tc>
      </w:tr>
    </w:tbl>
    <w:p w:rsidR="00851B9D" w:rsidRPr="000A5B5D" w:rsidRDefault="00851B9D" w:rsidP="00851B9D">
      <w:pPr>
        <w:tabs>
          <w:tab w:val="left" w:pos="9000"/>
        </w:tabs>
        <w:spacing w:line="400" w:lineRule="exact"/>
        <w:ind w:rightChars="171" w:right="308"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按</w:t>
      </w:r>
      <w:r w:rsidRPr="000A5B5D">
        <w:rPr>
          <w:rFonts w:ascii="Arial" w:hAnsi="Arial" w:cs="Arial" w:hint="eastAsia"/>
          <w:sz w:val="24"/>
        </w:rPr>
        <w:t>欠款方归集的期末余额前五名的其他应收款情况</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506"/>
        <w:gridCol w:w="1204"/>
        <w:gridCol w:w="1498"/>
        <w:gridCol w:w="1175"/>
        <w:gridCol w:w="1434"/>
        <w:gridCol w:w="1283"/>
      </w:tblGrid>
      <w:tr w:rsidR="00851B9D" w:rsidRPr="000A5B5D" w:rsidTr="00851B9D">
        <w:trPr>
          <w:trHeight w:val="397"/>
          <w:tblHeader/>
        </w:trPr>
        <w:tc>
          <w:tcPr>
            <w:tcW w:w="250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单位名称</w:t>
            </w:r>
          </w:p>
        </w:tc>
        <w:tc>
          <w:tcPr>
            <w:tcW w:w="12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款项性质</w:t>
            </w:r>
          </w:p>
        </w:tc>
        <w:tc>
          <w:tcPr>
            <w:tcW w:w="149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17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账龄</w:t>
            </w:r>
          </w:p>
        </w:tc>
        <w:tc>
          <w:tcPr>
            <w:tcW w:w="143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占其他应收款年末余额合计数的比例</w:t>
            </w:r>
            <w:r w:rsidRPr="000A5B5D">
              <w:rPr>
                <w:rFonts w:ascii="Arial Narrow" w:hAnsi="Arial Narrow" w:cs="Arial"/>
                <w:kern w:val="0"/>
                <w:szCs w:val="21"/>
              </w:rPr>
              <w:t>(%)</w:t>
            </w:r>
          </w:p>
        </w:tc>
        <w:tc>
          <w:tcPr>
            <w:tcW w:w="128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rPr>
        <w:tc>
          <w:tcPr>
            <w:tcW w:w="2506"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杭州市萧山区财政局</w:t>
            </w:r>
          </w:p>
        </w:tc>
        <w:tc>
          <w:tcPr>
            <w:tcW w:w="12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增值税返还</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19,389,999.99</w:t>
            </w:r>
          </w:p>
        </w:tc>
        <w:tc>
          <w:tcPr>
            <w:tcW w:w="117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w:t>
            </w:r>
            <w:r w:rsidRPr="000A5B5D">
              <w:rPr>
                <w:rFonts w:ascii="Arial Narrow" w:hAnsi="Arial Narrow" w:cs="Arial" w:hint="eastAsia"/>
                <w:szCs w:val="21"/>
              </w:rPr>
              <w:t>年以内</w:t>
            </w:r>
          </w:p>
        </w:tc>
        <w:tc>
          <w:tcPr>
            <w:tcW w:w="14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50.81 </w:t>
            </w:r>
          </w:p>
        </w:tc>
        <w:tc>
          <w:tcPr>
            <w:tcW w:w="128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321,037.50 </w:t>
            </w:r>
          </w:p>
        </w:tc>
      </w:tr>
      <w:tr w:rsidR="00851B9D" w:rsidRPr="000A5B5D" w:rsidTr="00851B9D">
        <w:trPr>
          <w:trHeight w:val="397"/>
        </w:trPr>
        <w:tc>
          <w:tcPr>
            <w:tcW w:w="2506"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大都不动产</w:t>
            </w:r>
          </w:p>
        </w:tc>
        <w:tc>
          <w:tcPr>
            <w:tcW w:w="12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往来款</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6,394,256.74 </w:t>
            </w:r>
          </w:p>
        </w:tc>
        <w:tc>
          <w:tcPr>
            <w:tcW w:w="117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6</w:t>
            </w:r>
            <w:r w:rsidRPr="000A5B5D">
              <w:rPr>
                <w:rFonts w:ascii="Arial Narrow" w:hAnsi="Arial Narrow" w:cs="Arial" w:hint="eastAsia"/>
                <w:szCs w:val="21"/>
              </w:rPr>
              <w:t>个月以内</w:t>
            </w:r>
          </w:p>
        </w:tc>
        <w:tc>
          <w:tcPr>
            <w:tcW w:w="14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16.76 </w:t>
            </w:r>
          </w:p>
        </w:tc>
        <w:tc>
          <w:tcPr>
            <w:tcW w:w="128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506" w:type="dxa"/>
            <w:vAlign w:val="center"/>
          </w:tcPr>
          <w:p w:rsidR="00851B9D" w:rsidRPr="000A5B5D" w:rsidRDefault="00851B9D" w:rsidP="00851B9D">
            <w:pPr>
              <w:rPr>
                <w:rFonts w:ascii="Arial Narrow" w:hAnsi="Arial Narrow" w:cs="Arial"/>
                <w:szCs w:val="21"/>
              </w:rPr>
            </w:pPr>
            <w:r w:rsidRPr="000A5B5D">
              <w:rPr>
                <w:rFonts w:ascii="Arial Narrow" w:hAnsi="Arial Narrow" w:cs="Arial"/>
                <w:szCs w:val="21"/>
              </w:rPr>
              <w:t>MACQUARIE BANK LTD</w:t>
            </w:r>
          </w:p>
        </w:tc>
        <w:tc>
          <w:tcPr>
            <w:tcW w:w="12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往来款</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4,058,500.00 </w:t>
            </w:r>
          </w:p>
        </w:tc>
        <w:tc>
          <w:tcPr>
            <w:tcW w:w="117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6</w:t>
            </w:r>
            <w:r w:rsidRPr="000A5B5D">
              <w:rPr>
                <w:rFonts w:ascii="Arial Narrow" w:hAnsi="Arial Narrow" w:cs="Arial" w:hint="eastAsia"/>
                <w:szCs w:val="21"/>
              </w:rPr>
              <w:t>个月以内</w:t>
            </w:r>
          </w:p>
        </w:tc>
        <w:tc>
          <w:tcPr>
            <w:tcW w:w="14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10.63 </w:t>
            </w:r>
          </w:p>
        </w:tc>
        <w:tc>
          <w:tcPr>
            <w:tcW w:w="128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506" w:type="dxa"/>
            <w:vAlign w:val="center"/>
          </w:tcPr>
          <w:p w:rsidR="00851B9D" w:rsidRPr="000A5B5D" w:rsidRDefault="00851B9D" w:rsidP="00851B9D">
            <w:pPr>
              <w:rPr>
                <w:rFonts w:ascii="Arial Narrow" w:hAnsi="Arial Narrow" w:cs="Arial"/>
                <w:szCs w:val="21"/>
              </w:rPr>
            </w:pPr>
            <w:r w:rsidRPr="000A5B5D">
              <w:rPr>
                <w:rFonts w:ascii="Arial Narrow" w:hAnsi="Arial Narrow" w:cs="Arial"/>
                <w:szCs w:val="21"/>
              </w:rPr>
              <w:t>JPH Sendirian Berhad</w:t>
            </w:r>
          </w:p>
        </w:tc>
        <w:tc>
          <w:tcPr>
            <w:tcW w:w="12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押金</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3,580,414.72 </w:t>
            </w:r>
          </w:p>
        </w:tc>
        <w:tc>
          <w:tcPr>
            <w:tcW w:w="117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3</w:t>
            </w:r>
            <w:r w:rsidRPr="000A5B5D">
              <w:rPr>
                <w:rFonts w:ascii="Arial Narrow" w:hAnsi="Arial Narrow" w:cs="Arial" w:hint="eastAsia"/>
                <w:szCs w:val="21"/>
              </w:rPr>
              <w:t>年以上</w:t>
            </w:r>
          </w:p>
        </w:tc>
        <w:tc>
          <w:tcPr>
            <w:tcW w:w="14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9.38 </w:t>
            </w:r>
          </w:p>
        </w:tc>
        <w:tc>
          <w:tcPr>
            <w:tcW w:w="128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3,580,414.72 </w:t>
            </w:r>
          </w:p>
        </w:tc>
      </w:tr>
      <w:tr w:rsidR="00851B9D" w:rsidRPr="000A5B5D" w:rsidTr="00851B9D">
        <w:trPr>
          <w:trHeight w:val="397"/>
        </w:trPr>
        <w:tc>
          <w:tcPr>
            <w:tcW w:w="2506"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大都商会</w:t>
            </w:r>
          </w:p>
        </w:tc>
        <w:tc>
          <w:tcPr>
            <w:tcW w:w="12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往来款</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774,598.43 </w:t>
            </w:r>
          </w:p>
        </w:tc>
        <w:tc>
          <w:tcPr>
            <w:tcW w:w="117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6</w:t>
            </w:r>
            <w:r w:rsidRPr="000A5B5D">
              <w:rPr>
                <w:rFonts w:ascii="Arial Narrow" w:hAnsi="Arial Narrow" w:cs="Arial" w:hint="eastAsia"/>
                <w:szCs w:val="21"/>
              </w:rPr>
              <w:t>个月以内</w:t>
            </w:r>
          </w:p>
        </w:tc>
        <w:tc>
          <w:tcPr>
            <w:tcW w:w="14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2.03 </w:t>
            </w:r>
          </w:p>
        </w:tc>
        <w:tc>
          <w:tcPr>
            <w:tcW w:w="128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50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20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c>
          <w:tcPr>
            <w:tcW w:w="149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34,197,769.88</w:t>
            </w:r>
          </w:p>
        </w:tc>
        <w:tc>
          <w:tcPr>
            <w:tcW w:w="117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c>
          <w:tcPr>
            <w:tcW w:w="143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89.61 </w:t>
            </w:r>
          </w:p>
        </w:tc>
        <w:tc>
          <w:tcPr>
            <w:tcW w:w="128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3,901,452.22 </w:t>
            </w:r>
          </w:p>
        </w:tc>
      </w:tr>
    </w:tbl>
    <w:bookmarkEnd w:id="20"/>
    <w:bookmarkEnd w:id="21"/>
    <w:bookmarkEnd w:id="22"/>
    <w:bookmarkEnd w:id="23"/>
    <w:bookmarkEnd w:id="26"/>
    <w:p w:rsidR="00851B9D" w:rsidRPr="000A5B5D" w:rsidRDefault="00851B9D" w:rsidP="00851B9D">
      <w:pPr>
        <w:tabs>
          <w:tab w:val="left" w:pos="6120"/>
        </w:tabs>
        <w:spacing w:line="400" w:lineRule="exact"/>
        <w:ind w:firstLineChars="200" w:firstLine="480"/>
        <w:rPr>
          <w:rFonts w:ascii="Arial" w:hAnsi="Arial" w:cs="Arial"/>
          <w:sz w:val="24"/>
          <w:szCs w:val="22"/>
        </w:rPr>
      </w:pPr>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w:t>
      </w:r>
      <w:r w:rsidRPr="000A5B5D">
        <w:rPr>
          <w:rFonts w:ascii="Arial" w:hAnsi="Arial" w:cs="Arial" w:hint="eastAsia"/>
          <w:sz w:val="24"/>
          <w:szCs w:val="22"/>
        </w:rPr>
        <w:t>涉及政府补助的应收款项</w:t>
      </w:r>
    </w:p>
    <w:tbl>
      <w:tblPr>
        <w:tblW w:w="9200" w:type="dxa"/>
        <w:tblInd w:w="-112" w:type="dxa"/>
        <w:tblBorders>
          <w:top w:val="single" w:sz="12" w:space="0" w:color="auto"/>
          <w:bottom w:val="single" w:sz="12" w:space="0" w:color="auto"/>
          <w:insideH w:val="dotted" w:sz="4" w:space="0" w:color="auto"/>
          <w:insideV w:val="dotted" w:sz="4" w:space="0" w:color="auto"/>
        </w:tblBorders>
        <w:tblLayout w:type="fixed"/>
        <w:tblCellMar>
          <w:left w:w="30" w:type="dxa"/>
          <w:right w:w="30" w:type="dxa"/>
        </w:tblCellMar>
        <w:tblLook w:val="04A0" w:firstRow="1" w:lastRow="0" w:firstColumn="1" w:lastColumn="0" w:noHBand="0" w:noVBand="1"/>
      </w:tblPr>
      <w:tblGrid>
        <w:gridCol w:w="2592"/>
        <w:gridCol w:w="1204"/>
        <w:gridCol w:w="1526"/>
        <w:gridCol w:w="1189"/>
        <w:gridCol w:w="2689"/>
      </w:tblGrid>
      <w:tr w:rsidR="00851B9D" w:rsidRPr="000A5B5D" w:rsidTr="00851B9D">
        <w:trPr>
          <w:trHeight w:val="397"/>
          <w:tblHeader/>
        </w:trPr>
        <w:tc>
          <w:tcPr>
            <w:tcW w:w="2592" w:type="dxa"/>
            <w:tcBorders>
              <w:top w:val="single" w:sz="12" w:space="0" w:color="auto"/>
            </w:tcBorders>
            <w:vAlign w:val="center"/>
          </w:tcPr>
          <w:p w:rsidR="00851B9D" w:rsidRPr="000A5B5D" w:rsidRDefault="00851B9D" w:rsidP="00851B9D">
            <w:pPr>
              <w:jc w:val="center"/>
              <w:textAlignment w:val="baseline"/>
              <w:rPr>
                <w:rFonts w:ascii="Arial Narrow" w:hAnsi="Arial Narrow" w:cs="Arial"/>
                <w:szCs w:val="21"/>
              </w:rPr>
            </w:pPr>
            <w:r w:rsidRPr="000A5B5D">
              <w:rPr>
                <w:rFonts w:ascii="Arial Narrow" w:hAnsi="Arial Narrow" w:cs="Arial" w:hint="eastAsia"/>
                <w:szCs w:val="21"/>
              </w:rPr>
              <w:t>单位名称</w:t>
            </w:r>
          </w:p>
        </w:tc>
        <w:tc>
          <w:tcPr>
            <w:tcW w:w="1204" w:type="dxa"/>
            <w:tcBorders>
              <w:top w:val="single" w:sz="12" w:space="0" w:color="auto"/>
            </w:tcBorders>
            <w:vAlign w:val="center"/>
          </w:tcPr>
          <w:p w:rsidR="00851B9D" w:rsidRPr="000A5B5D" w:rsidRDefault="00851B9D" w:rsidP="00851B9D">
            <w:pPr>
              <w:jc w:val="center"/>
              <w:textAlignment w:val="baseline"/>
              <w:rPr>
                <w:rFonts w:ascii="Arial Narrow" w:hAnsi="Arial Narrow" w:cs="Arial"/>
                <w:szCs w:val="21"/>
              </w:rPr>
            </w:pPr>
            <w:r w:rsidRPr="000A5B5D">
              <w:rPr>
                <w:rFonts w:ascii="Arial Narrow" w:hAnsi="Arial Narrow" w:cs="Arial" w:hint="eastAsia"/>
                <w:szCs w:val="21"/>
              </w:rPr>
              <w:t>政府补助项目名称</w:t>
            </w:r>
          </w:p>
        </w:tc>
        <w:tc>
          <w:tcPr>
            <w:tcW w:w="1526" w:type="dxa"/>
            <w:tcBorders>
              <w:top w:val="single" w:sz="12" w:space="0" w:color="auto"/>
            </w:tcBorders>
            <w:vAlign w:val="center"/>
          </w:tcPr>
          <w:p w:rsidR="00851B9D" w:rsidRPr="000A5B5D" w:rsidRDefault="00851B9D" w:rsidP="00851B9D">
            <w:pPr>
              <w:jc w:val="center"/>
              <w:textAlignment w:val="baseline"/>
              <w:rPr>
                <w:rFonts w:ascii="Arial Narrow" w:hAnsi="Arial Narrow" w:cs="Arial"/>
                <w:szCs w:val="21"/>
              </w:rPr>
            </w:pPr>
            <w:r w:rsidRPr="000A5B5D">
              <w:rPr>
                <w:rFonts w:ascii="Arial Narrow" w:hAnsi="Arial Narrow" w:cs="Arial" w:hint="eastAsia"/>
                <w:szCs w:val="21"/>
              </w:rPr>
              <w:t>年末余额</w:t>
            </w:r>
          </w:p>
        </w:tc>
        <w:tc>
          <w:tcPr>
            <w:tcW w:w="1189" w:type="dxa"/>
            <w:tcBorders>
              <w:top w:val="single" w:sz="12" w:space="0" w:color="auto"/>
            </w:tcBorders>
            <w:vAlign w:val="center"/>
          </w:tcPr>
          <w:p w:rsidR="00851B9D" w:rsidRPr="000A5B5D" w:rsidRDefault="00851B9D" w:rsidP="00851B9D">
            <w:pPr>
              <w:jc w:val="center"/>
              <w:textAlignment w:val="baseline"/>
              <w:rPr>
                <w:rFonts w:ascii="Arial Narrow" w:hAnsi="Arial Narrow" w:cs="Arial"/>
                <w:szCs w:val="21"/>
              </w:rPr>
            </w:pPr>
            <w:r w:rsidRPr="000A5B5D">
              <w:rPr>
                <w:rFonts w:ascii="Arial Narrow" w:hAnsi="Arial Narrow" w:cs="Arial" w:hint="eastAsia"/>
                <w:szCs w:val="21"/>
              </w:rPr>
              <w:t>年末账龄</w:t>
            </w:r>
          </w:p>
        </w:tc>
        <w:tc>
          <w:tcPr>
            <w:tcW w:w="2689" w:type="dxa"/>
            <w:tcBorders>
              <w:top w:val="single" w:sz="12" w:space="0" w:color="auto"/>
            </w:tcBorders>
            <w:vAlign w:val="center"/>
          </w:tcPr>
          <w:p w:rsidR="00851B9D" w:rsidRPr="000A5B5D" w:rsidRDefault="00851B9D" w:rsidP="00851B9D">
            <w:pPr>
              <w:jc w:val="center"/>
              <w:textAlignment w:val="baseline"/>
              <w:rPr>
                <w:rFonts w:ascii="Arial Narrow" w:hAnsi="Arial Narrow" w:cs="Arial"/>
                <w:szCs w:val="21"/>
              </w:rPr>
            </w:pPr>
            <w:r w:rsidRPr="000A5B5D">
              <w:rPr>
                <w:rFonts w:ascii="Arial Narrow" w:hAnsi="Arial Narrow" w:cs="Arial" w:hint="eastAsia"/>
                <w:szCs w:val="21"/>
              </w:rPr>
              <w:t>预计收取的时间、金额及依据</w:t>
            </w:r>
          </w:p>
        </w:tc>
      </w:tr>
      <w:tr w:rsidR="00851B9D" w:rsidRPr="000A5B5D" w:rsidTr="00851B9D">
        <w:trPr>
          <w:trHeight w:val="397"/>
        </w:trPr>
        <w:tc>
          <w:tcPr>
            <w:tcW w:w="2592" w:type="dxa"/>
            <w:tcBorders>
              <w:bottom w:val="single" w:sz="12" w:space="0" w:color="auto"/>
            </w:tcBorders>
            <w:vAlign w:val="center"/>
          </w:tcPr>
          <w:p w:rsidR="00851B9D" w:rsidRPr="000A5B5D" w:rsidRDefault="00851B9D" w:rsidP="00851B9D">
            <w:pPr>
              <w:textAlignment w:val="baseline"/>
              <w:rPr>
                <w:rFonts w:ascii="Arial Narrow" w:hAnsi="Arial Narrow" w:cs="Arial"/>
                <w:szCs w:val="21"/>
              </w:rPr>
            </w:pPr>
            <w:r w:rsidRPr="000A5B5D">
              <w:rPr>
                <w:rFonts w:ascii="Arial Narrow" w:hAnsi="Arial Narrow" w:cs="Arial" w:hint="eastAsia"/>
                <w:szCs w:val="21"/>
              </w:rPr>
              <w:t>杭州市萧山区财政局</w:t>
            </w:r>
          </w:p>
        </w:tc>
        <w:tc>
          <w:tcPr>
            <w:tcW w:w="1204" w:type="dxa"/>
            <w:tcBorders>
              <w:bottom w:val="single" w:sz="12" w:space="0" w:color="auto"/>
            </w:tcBorders>
            <w:vAlign w:val="center"/>
          </w:tcPr>
          <w:p w:rsidR="00851B9D" w:rsidRPr="000A5B5D" w:rsidRDefault="00851B9D" w:rsidP="00851B9D">
            <w:pPr>
              <w:jc w:val="right"/>
              <w:textAlignment w:val="baseline"/>
              <w:rPr>
                <w:rFonts w:ascii="Arial Narrow" w:hAnsi="Arial Narrow" w:cs="Arial"/>
                <w:szCs w:val="21"/>
              </w:rPr>
            </w:pPr>
            <w:r w:rsidRPr="000A5B5D">
              <w:rPr>
                <w:rFonts w:ascii="Arial Narrow" w:hAnsi="Arial Narrow" w:cs="Arial" w:hint="eastAsia"/>
                <w:szCs w:val="21"/>
              </w:rPr>
              <w:t>增值税返还</w:t>
            </w:r>
          </w:p>
        </w:tc>
        <w:tc>
          <w:tcPr>
            <w:tcW w:w="1526" w:type="dxa"/>
            <w:tcBorders>
              <w:bottom w:val="single" w:sz="12" w:space="0" w:color="auto"/>
            </w:tcBorders>
            <w:vAlign w:val="center"/>
          </w:tcPr>
          <w:p w:rsidR="00851B9D" w:rsidRPr="000A5B5D" w:rsidRDefault="00851B9D" w:rsidP="00851B9D">
            <w:pPr>
              <w:jc w:val="right"/>
              <w:textAlignment w:val="baseline"/>
              <w:rPr>
                <w:rFonts w:ascii="Arial Narrow" w:hAnsi="Arial Narrow" w:cs="Arial"/>
                <w:szCs w:val="21"/>
              </w:rPr>
            </w:pPr>
            <w:r w:rsidRPr="000A5B5D">
              <w:rPr>
                <w:rFonts w:ascii="Arial Narrow" w:hAnsi="Arial Narrow" w:cs="Arial"/>
                <w:szCs w:val="21"/>
              </w:rPr>
              <w:t xml:space="preserve">19,389,999.99 </w:t>
            </w:r>
          </w:p>
        </w:tc>
        <w:tc>
          <w:tcPr>
            <w:tcW w:w="1189" w:type="dxa"/>
            <w:tcBorders>
              <w:bottom w:val="single" w:sz="12" w:space="0" w:color="auto"/>
            </w:tcBorders>
            <w:vAlign w:val="center"/>
          </w:tcPr>
          <w:p w:rsidR="00851B9D" w:rsidRPr="000A5B5D" w:rsidRDefault="00851B9D" w:rsidP="00851B9D">
            <w:pPr>
              <w:jc w:val="right"/>
              <w:textAlignment w:val="baseline"/>
              <w:rPr>
                <w:rFonts w:ascii="Arial Narrow" w:hAnsi="Arial Narrow" w:cs="Arial"/>
                <w:szCs w:val="21"/>
              </w:rPr>
            </w:pPr>
            <w:r w:rsidRPr="000A5B5D">
              <w:rPr>
                <w:rFonts w:ascii="Arial Narrow" w:hAnsi="Arial Narrow" w:cs="Arial"/>
                <w:szCs w:val="21"/>
              </w:rPr>
              <w:t>1</w:t>
            </w:r>
            <w:r w:rsidRPr="000A5B5D">
              <w:rPr>
                <w:rFonts w:ascii="Arial Narrow" w:hAnsi="Arial Narrow" w:cs="Arial" w:hint="eastAsia"/>
                <w:szCs w:val="21"/>
              </w:rPr>
              <w:t>年以内</w:t>
            </w:r>
          </w:p>
        </w:tc>
        <w:tc>
          <w:tcPr>
            <w:tcW w:w="2689" w:type="dxa"/>
            <w:tcBorders>
              <w:bottom w:val="single" w:sz="12" w:space="0" w:color="auto"/>
            </w:tcBorders>
            <w:vAlign w:val="center"/>
          </w:tcPr>
          <w:p w:rsidR="00851B9D" w:rsidRPr="000A5B5D" w:rsidRDefault="00851B9D" w:rsidP="00851B9D">
            <w:pPr>
              <w:jc w:val="right"/>
              <w:textAlignment w:val="baseline"/>
              <w:rPr>
                <w:rFonts w:ascii="Arial Narrow" w:hAnsi="Arial Narrow" w:cs="Arial"/>
                <w:szCs w:val="21"/>
              </w:rPr>
            </w:pPr>
            <w:r w:rsidRPr="000A5B5D">
              <w:rPr>
                <w:rFonts w:ascii="Arial Narrow" w:hAnsi="Arial Narrow" w:cs="Arial" w:hint="eastAsia"/>
                <w:szCs w:val="21"/>
              </w:rPr>
              <w:t>残疾人福利企业增值税返还，预计取得时间</w:t>
            </w:r>
            <w:r w:rsidRPr="000A5B5D">
              <w:rPr>
                <w:rFonts w:ascii="Arial Narrow" w:hAnsi="Arial Narrow" w:cs="Arial"/>
                <w:szCs w:val="21"/>
              </w:rPr>
              <w:t>2016</w:t>
            </w:r>
            <w:r w:rsidRPr="000A5B5D">
              <w:rPr>
                <w:rFonts w:ascii="Arial Narrow" w:hAnsi="Arial Narrow" w:cs="Arial" w:hint="eastAsia"/>
                <w:szCs w:val="21"/>
              </w:rPr>
              <w:t>年</w:t>
            </w:r>
            <w:r w:rsidRPr="000A5B5D">
              <w:rPr>
                <w:rFonts w:ascii="Arial Narrow" w:hAnsi="Arial Narrow" w:cs="Arial"/>
                <w:szCs w:val="21"/>
              </w:rPr>
              <w:t>2</w:t>
            </w:r>
            <w:r w:rsidRPr="000A5B5D">
              <w:rPr>
                <w:rFonts w:ascii="Arial Narrow" w:hAnsi="Arial Narrow" w:cs="Arial" w:hint="eastAsia"/>
                <w:szCs w:val="21"/>
              </w:rPr>
              <w:t>月</w:t>
            </w:r>
          </w:p>
        </w:tc>
      </w:tr>
    </w:tbl>
    <w:p w:rsidR="00851B9D" w:rsidRPr="000A5B5D" w:rsidRDefault="00851B9D" w:rsidP="00851B9D">
      <w:pPr>
        <w:tabs>
          <w:tab w:val="left" w:pos="6120"/>
        </w:tabs>
        <w:spacing w:line="400" w:lineRule="exact"/>
        <w:ind w:firstLineChars="200" w:firstLine="360"/>
        <w:rPr>
          <w:rFonts w:ascii="Arial" w:hAnsi="Arial" w:cs="Arial"/>
          <w:szCs w:val="21"/>
        </w:rPr>
      </w:pPr>
      <w:r w:rsidRPr="000A5B5D">
        <w:rPr>
          <w:rFonts w:ascii="Arial" w:hAnsi="Arial" w:cs="Arial" w:hint="eastAsia"/>
          <w:szCs w:val="21"/>
        </w:rPr>
        <w:t>注：上述款项已于期后收回。</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存货</w:t>
      </w:r>
    </w:p>
    <w:p w:rsidR="00851B9D" w:rsidRPr="000A5B5D" w:rsidRDefault="00851B9D" w:rsidP="00851B9D">
      <w:pPr>
        <w:spacing w:line="400" w:lineRule="exact"/>
        <w:ind w:firstLineChars="200" w:firstLine="480"/>
        <w:rPr>
          <w:rFonts w:ascii="Arial" w:hAnsi="Arial" w:cs="Arial"/>
          <w:sz w:val="24"/>
        </w:rPr>
      </w:pPr>
      <w:bookmarkStart w:id="27" w:name="OLE_LINK27"/>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）存货分类</w:t>
      </w:r>
      <w:r w:rsidRPr="000A5B5D">
        <w:rPr>
          <w:rFonts w:ascii="Arial" w:hAnsi="Arial" w:cs="Arial"/>
          <w:sz w:val="24"/>
        </w:rPr>
        <w:tab/>
      </w:r>
    </w:p>
    <w:tbl>
      <w:tblPr>
        <w:tblW w:w="9216"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586"/>
        <w:gridCol w:w="2100"/>
        <w:gridCol w:w="2057"/>
        <w:gridCol w:w="2473"/>
      </w:tblGrid>
      <w:tr w:rsidR="00851B9D" w:rsidRPr="000A5B5D" w:rsidTr="00851B9D">
        <w:trPr>
          <w:trHeight w:val="397"/>
          <w:tblHeader/>
          <w:jc w:val="center"/>
        </w:trPr>
        <w:tc>
          <w:tcPr>
            <w:tcW w:w="2586"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6630"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jc w:val="center"/>
        </w:trPr>
        <w:tc>
          <w:tcPr>
            <w:tcW w:w="2586" w:type="dxa"/>
            <w:vMerge/>
            <w:vAlign w:val="center"/>
          </w:tcPr>
          <w:p w:rsidR="00851B9D" w:rsidRPr="000A5B5D" w:rsidRDefault="00851B9D" w:rsidP="00851B9D">
            <w:pPr>
              <w:widowControl/>
              <w:jc w:val="center"/>
              <w:rPr>
                <w:rFonts w:ascii="Arial Narrow" w:hAnsi="Arial Narrow" w:cs="Arial"/>
                <w:kern w:val="0"/>
                <w:szCs w:val="21"/>
              </w:rPr>
            </w:pPr>
          </w:p>
        </w:tc>
        <w:tc>
          <w:tcPr>
            <w:tcW w:w="210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05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跌价准备</w:t>
            </w:r>
          </w:p>
        </w:tc>
        <w:tc>
          <w:tcPr>
            <w:tcW w:w="247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jc w:val="center"/>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在途物资</w:t>
            </w:r>
          </w:p>
        </w:tc>
        <w:tc>
          <w:tcPr>
            <w:tcW w:w="21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155,584,792.21 </w:t>
            </w:r>
          </w:p>
        </w:tc>
        <w:tc>
          <w:tcPr>
            <w:tcW w:w="205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4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155,584,792.21 </w:t>
            </w:r>
          </w:p>
        </w:tc>
      </w:tr>
      <w:tr w:rsidR="00851B9D" w:rsidRPr="000A5B5D" w:rsidTr="00851B9D">
        <w:trPr>
          <w:trHeight w:val="397"/>
          <w:jc w:val="center"/>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原材料</w:t>
            </w:r>
          </w:p>
        </w:tc>
        <w:tc>
          <w:tcPr>
            <w:tcW w:w="21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906,240,906.46  </w:t>
            </w:r>
          </w:p>
        </w:tc>
        <w:tc>
          <w:tcPr>
            <w:tcW w:w="205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13,115,365.32 </w:t>
            </w:r>
          </w:p>
        </w:tc>
        <w:tc>
          <w:tcPr>
            <w:tcW w:w="24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893,125,541.14  </w:t>
            </w:r>
          </w:p>
        </w:tc>
      </w:tr>
      <w:tr w:rsidR="00851B9D" w:rsidRPr="000A5B5D" w:rsidTr="00851B9D">
        <w:trPr>
          <w:trHeight w:val="397"/>
          <w:jc w:val="center"/>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在产品</w:t>
            </w:r>
          </w:p>
        </w:tc>
        <w:tc>
          <w:tcPr>
            <w:tcW w:w="21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33,457,070.16  </w:t>
            </w:r>
          </w:p>
        </w:tc>
        <w:tc>
          <w:tcPr>
            <w:tcW w:w="205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22,602.91 </w:t>
            </w:r>
          </w:p>
        </w:tc>
        <w:tc>
          <w:tcPr>
            <w:tcW w:w="24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33,434,467.25  </w:t>
            </w:r>
          </w:p>
        </w:tc>
      </w:tr>
      <w:tr w:rsidR="00851B9D" w:rsidRPr="000A5B5D" w:rsidTr="00851B9D">
        <w:trPr>
          <w:trHeight w:val="397"/>
          <w:jc w:val="center"/>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库存商品</w:t>
            </w:r>
          </w:p>
        </w:tc>
        <w:tc>
          <w:tcPr>
            <w:tcW w:w="21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486,190,594.60  </w:t>
            </w:r>
          </w:p>
        </w:tc>
        <w:tc>
          <w:tcPr>
            <w:tcW w:w="205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19,055,543.43  </w:t>
            </w:r>
          </w:p>
        </w:tc>
        <w:tc>
          <w:tcPr>
            <w:tcW w:w="247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467,135,051.17  </w:t>
            </w:r>
          </w:p>
        </w:tc>
      </w:tr>
      <w:tr w:rsidR="00851B9D" w:rsidRPr="000A5B5D" w:rsidTr="00851B9D">
        <w:trPr>
          <w:trHeight w:val="397"/>
          <w:jc w:val="center"/>
        </w:trPr>
        <w:tc>
          <w:tcPr>
            <w:tcW w:w="258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r w:rsidRPr="000A5B5D">
              <w:rPr>
                <w:rFonts w:ascii="Arial Narrow" w:hAnsi="Arial Narrow" w:cs="Arial"/>
                <w:kern w:val="0"/>
                <w:szCs w:val="21"/>
              </w:rPr>
              <w:t xml:space="preserve"> </w:t>
            </w:r>
          </w:p>
        </w:tc>
        <w:tc>
          <w:tcPr>
            <w:tcW w:w="210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1,581,473,363.43  </w:t>
            </w:r>
          </w:p>
        </w:tc>
        <w:tc>
          <w:tcPr>
            <w:tcW w:w="205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32,193,511.66  </w:t>
            </w:r>
          </w:p>
        </w:tc>
        <w:tc>
          <w:tcPr>
            <w:tcW w:w="247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1,549,279,851.77  </w:t>
            </w:r>
          </w:p>
        </w:tc>
      </w:tr>
    </w:tbl>
    <w:bookmarkEnd w:id="27"/>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lastRenderedPageBreak/>
        <w:t>（续）</w:t>
      </w:r>
      <w:r w:rsidRPr="000A5B5D">
        <w:rPr>
          <w:rFonts w:ascii="Arial" w:hAnsi="Arial" w:cs="Arial"/>
          <w:sz w:val="24"/>
        </w:rPr>
        <w:t xml:space="preserve"> </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586"/>
        <w:gridCol w:w="2119"/>
        <w:gridCol w:w="2048"/>
        <w:gridCol w:w="2463"/>
      </w:tblGrid>
      <w:tr w:rsidR="00851B9D" w:rsidRPr="000A5B5D" w:rsidTr="00851B9D">
        <w:trPr>
          <w:trHeight w:val="397"/>
        </w:trPr>
        <w:tc>
          <w:tcPr>
            <w:tcW w:w="2586"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6630"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2586" w:type="dxa"/>
            <w:vMerge/>
            <w:vAlign w:val="center"/>
          </w:tcPr>
          <w:p w:rsidR="00851B9D" w:rsidRPr="000A5B5D" w:rsidRDefault="00851B9D" w:rsidP="00851B9D">
            <w:pPr>
              <w:widowControl/>
              <w:jc w:val="center"/>
              <w:rPr>
                <w:rFonts w:ascii="Arial Narrow" w:hAnsi="Arial Narrow" w:cs="Arial"/>
                <w:kern w:val="0"/>
                <w:szCs w:val="21"/>
              </w:rPr>
            </w:pPr>
          </w:p>
        </w:tc>
        <w:tc>
          <w:tcPr>
            <w:tcW w:w="2119"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04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跌价准备</w:t>
            </w:r>
          </w:p>
        </w:tc>
        <w:tc>
          <w:tcPr>
            <w:tcW w:w="246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在途物资</w:t>
            </w:r>
          </w:p>
        </w:tc>
        <w:tc>
          <w:tcPr>
            <w:tcW w:w="2119"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57,518,189.41</w:t>
            </w:r>
          </w:p>
        </w:tc>
        <w:tc>
          <w:tcPr>
            <w:tcW w:w="2048"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0.00</w:t>
            </w:r>
          </w:p>
        </w:tc>
        <w:tc>
          <w:tcPr>
            <w:tcW w:w="2463"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57,518,189.41</w:t>
            </w:r>
          </w:p>
        </w:tc>
      </w:tr>
      <w:tr w:rsidR="00851B9D" w:rsidRPr="000A5B5D" w:rsidTr="00851B9D">
        <w:trPr>
          <w:trHeight w:val="397"/>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原材料</w:t>
            </w:r>
          </w:p>
        </w:tc>
        <w:tc>
          <w:tcPr>
            <w:tcW w:w="2119"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1,060,177,577.75</w:t>
            </w:r>
          </w:p>
        </w:tc>
        <w:tc>
          <w:tcPr>
            <w:tcW w:w="2048"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5,133,557.26</w:t>
            </w:r>
          </w:p>
        </w:tc>
        <w:tc>
          <w:tcPr>
            <w:tcW w:w="2463"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1,055,044,020.49</w:t>
            </w:r>
          </w:p>
        </w:tc>
      </w:tr>
      <w:tr w:rsidR="00851B9D" w:rsidRPr="000A5B5D" w:rsidTr="00851B9D">
        <w:trPr>
          <w:trHeight w:val="397"/>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在产品</w:t>
            </w:r>
          </w:p>
        </w:tc>
        <w:tc>
          <w:tcPr>
            <w:tcW w:w="2119"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43,240,385.92</w:t>
            </w:r>
          </w:p>
        </w:tc>
        <w:tc>
          <w:tcPr>
            <w:tcW w:w="2048"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2,305,687.96</w:t>
            </w:r>
          </w:p>
        </w:tc>
        <w:tc>
          <w:tcPr>
            <w:tcW w:w="2463"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40,934,697.96</w:t>
            </w:r>
          </w:p>
        </w:tc>
      </w:tr>
      <w:tr w:rsidR="00851B9D" w:rsidRPr="000A5B5D" w:rsidTr="00851B9D">
        <w:trPr>
          <w:trHeight w:val="397"/>
        </w:trPr>
        <w:tc>
          <w:tcPr>
            <w:tcW w:w="25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库存商品</w:t>
            </w:r>
          </w:p>
        </w:tc>
        <w:tc>
          <w:tcPr>
            <w:tcW w:w="2119"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346,823,309.73</w:t>
            </w:r>
          </w:p>
        </w:tc>
        <w:tc>
          <w:tcPr>
            <w:tcW w:w="2048"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18,780,514.31</w:t>
            </w:r>
          </w:p>
        </w:tc>
        <w:tc>
          <w:tcPr>
            <w:tcW w:w="2463" w:type="dxa"/>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328,042,795.42</w:t>
            </w:r>
          </w:p>
        </w:tc>
      </w:tr>
      <w:tr w:rsidR="00851B9D" w:rsidRPr="000A5B5D" w:rsidTr="00851B9D">
        <w:trPr>
          <w:trHeight w:val="397"/>
        </w:trPr>
        <w:tc>
          <w:tcPr>
            <w:tcW w:w="258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计</w:t>
            </w:r>
            <w:r w:rsidRPr="000A5B5D">
              <w:rPr>
                <w:rFonts w:ascii="Arial Narrow" w:hAnsi="Arial Narrow" w:cs="Arial"/>
                <w:kern w:val="0"/>
                <w:szCs w:val="21"/>
              </w:rPr>
              <w:t xml:space="preserve"> </w:t>
            </w:r>
          </w:p>
        </w:tc>
        <w:tc>
          <w:tcPr>
            <w:tcW w:w="2119"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szCs w:val="21"/>
              </w:rPr>
            </w:pPr>
            <w:r w:rsidRPr="000A5B5D">
              <w:rPr>
                <w:rFonts w:ascii="Arial Narrow" w:hAnsi="Arial Narrow" w:cs="Arial"/>
                <w:szCs w:val="21"/>
              </w:rPr>
              <w:t xml:space="preserve">1,507,759,462.81 </w:t>
            </w:r>
          </w:p>
        </w:tc>
        <w:tc>
          <w:tcPr>
            <w:tcW w:w="2048"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szCs w:val="21"/>
              </w:rPr>
            </w:pPr>
            <w:r w:rsidRPr="000A5B5D">
              <w:rPr>
                <w:rFonts w:ascii="Arial Narrow" w:hAnsi="Arial Narrow" w:cs="Arial"/>
                <w:szCs w:val="21"/>
              </w:rPr>
              <w:t xml:space="preserve">26,219,759.53 </w:t>
            </w:r>
          </w:p>
        </w:tc>
        <w:tc>
          <w:tcPr>
            <w:tcW w:w="2463"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 xml:space="preserve">1,481,539,703.28 </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）存货跌价准备</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395"/>
        <w:gridCol w:w="1204"/>
        <w:gridCol w:w="1568"/>
        <w:gridCol w:w="1120"/>
        <w:gridCol w:w="1245"/>
        <w:gridCol w:w="1088"/>
        <w:gridCol w:w="1594"/>
      </w:tblGrid>
      <w:tr w:rsidR="00851B9D" w:rsidRPr="000A5B5D" w:rsidTr="00851B9D">
        <w:trPr>
          <w:trHeight w:val="397"/>
          <w:jc w:val="center"/>
        </w:trPr>
        <w:tc>
          <w:tcPr>
            <w:tcW w:w="1395"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20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2688"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本年增加金额</w:t>
            </w:r>
          </w:p>
        </w:tc>
        <w:tc>
          <w:tcPr>
            <w:tcW w:w="2333"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本年减少金额</w:t>
            </w:r>
          </w:p>
        </w:tc>
        <w:tc>
          <w:tcPr>
            <w:tcW w:w="159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1395" w:type="dxa"/>
            <w:vMerge/>
            <w:vAlign w:val="center"/>
          </w:tcPr>
          <w:p w:rsidR="00851B9D" w:rsidRPr="000A5B5D" w:rsidRDefault="00851B9D" w:rsidP="00851B9D">
            <w:pPr>
              <w:widowControl/>
              <w:jc w:val="center"/>
              <w:rPr>
                <w:rFonts w:ascii="Arial Narrow" w:hAnsi="Arial Narrow" w:cs="Arial"/>
                <w:kern w:val="0"/>
                <w:szCs w:val="21"/>
              </w:rPr>
            </w:pPr>
          </w:p>
        </w:tc>
        <w:tc>
          <w:tcPr>
            <w:tcW w:w="1204" w:type="dxa"/>
            <w:vMerge/>
            <w:vAlign w:val="center"/>
          </w:tcPr>
          <w:p w:rsidR="00851B9D" w:rsidRPr="000A5B5D" w:rsidRDefault="00851B9D" w:rsidP="00851B9D">
            <w:pPr>
              <w:widowControl/>
              <w:jc w:val="center"/>
              <w:rPr>
                <w:rFonts w:ascii="Arial Narrow" w:hAnsi="Arial Narrow" w:cs="Arial"/>
                <w:kern w:val="0"/>
                <w:szCs w:val="21"/>
              </w:rPr>
            </w:pPr>
          </w:p>
        </w:tc>
        <w:tc>
          <w:tcPr>
            <w:tcW w:w="1568" w:type="dxa"/>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计提</w:t>
            </w:r>
          </w:p>
        </w:tc>
        <w:tc>
          <w:tcPr>
            <w:tcW w:w="1120" w:type="dxa"/>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其他</w:t>
            </w:r>
          </w:p>
        </w:tc>
        <w:tc>
          <w:tcPr>
            <w:tcW w:w="12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转回或转销</w:t>
            </w:r>
          </w:p>
        </w:tc>
        <w:tc>
          <w:tcPr>
            <w:tcW w:w="108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w:t>
            </w:r>
          </w:p>
        </w:tc>
        <w:tc>
          <w:tcPr>
            <w:tcW w:w="1594" w:type="dxa"/>
            <w:vMerge/>
            <w:vAlign w:val="center"/>
          </w:tcPr>
          <w:p w:rsidR="00851B9D" w:rsidRPr="000A5B5D" w:rsidRDefault="00851B9D" w:rsidP="00851B9D">
            <w:pPr>
              <w:widowControl/>
              <w:jc w:val="left"/>
              <w:rPr>
                <w:rFonts w:ascii="Arial Narrow" w:hAnsi="Arial Narrow" w:cs="Arial"/>
                <w:kern w:val="0"/>
                <w:szCs w:val="21"/>
              </w:rPr>
            </w:pPr>
          </w:p>
        </w:tc>
      </w:tr>
      <w:tr w:rsidR="00851B9D" w:rsidRPr="000A5B5D" w:rsidTr="00851B9D">
        <w:trPr>
          <w:trHeight w:val="397"/>
          <w:jc w:val="center"/>
        </w:trPr>
        <w:tc>
          <w:tcPr>
            <w:tcW w:w="13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在途物资</w:t>
            </w:r>
          </w:p>
        </w:tc>
        <w:tc>
          <w:tcPr>
            <w:tcW w:w="12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6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12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4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08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jc w:val="center"/>
        </w:trPr>
        <w:tc>
          <w:tcPr>
            <w:tcW w:w="13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原材料</w:t>
            </w:r>
          </w:p>
        </w:tc>
        <w:tc>
          <w:tcPr>
            <w:tcW w:w="12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5,133,557.26 </w:t>
            </w:r>
          </w:p>
        </w:tc>
        <w:tc>
          <w:tcPr>
            <w:tcW w:w="156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13,115,365.32 </w:t>
            </w:r>
          </w:p>
        </w:tc>
        <w:tc>
          <w:tcPr>
            <w:tcW w:w="112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4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5,133,557.26 </w:t>
            </w:r>
          </w:p>
        </w:tc>
        <w:tc>
          <w:tcPr>
            <w:tcW w:w="108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13,115,365.32 </w:t>
            </w:r>
          </w:p>
        </w:tc>
      </w:tr>
      <w:tr w:rsidR="00851B9D" w:rsidRPr="000A5B5D" w:rsidTr="00851B9D">
        <w:trPr>
          <w:trHeight w:val="397"/>
          <w:jc w:val="center"/>
        </w:trPr>
        <w:tc>
          <w:tcPr>
            <w:tcW w:w="13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在产品</w:t>
            </w:r>
          </w:p>
        </w:tc>
        <w:tc>
          <w:tcPr>
            <w:tcW w:w="12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2,305,687.96 </w:t>
            </w:r>
          </w:p>
        </w:tc>
        <w:tc>
          <w:tcPr>
            <w:tcW w:w="156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22,602.91 </w:t>
            </w:r>
          </w:p>
        </w:tc>
        <w:tc>
          <w:tcPr>
            <w:tcW w:w="112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4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2,305,687.96 </w:t>
            </w:r>
          </w:p>
        </w:tc>
        <w:tc>
          <w:tcPr>
            <w:tcW w:w="108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22,602.91 </w:t>
            </w:r>
          </w:p>
        </w:tc>
      </w:tr>
      <w:tr w:rsidR="00851B9D" w:rsidRPr="000A5B5D" w:rsidTr="00851B9D">
        <w:trPr>
          <w:trHeight w:val="397"/>
          <w:jc w:val="center"/>
        </w:trPr>
        <w:tc>
          <w:tcPr>
            <w:tcW w:w="13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库存商品</w:t>
            </w:r>
          </w:p>
        </w:tc>
        <w:tc>
          <w:tcPr>
            <w:tcW w:w="12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18,780,514.31 </w:t>
            </w:r>
          </w:p>
        </w:tc>
        <w:tc>
          <w:tcPr>
            <w:tcW w:w="156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19,055,543.43  </w:t>
            </w:r>
          </w:p>
        </w:tc>
        <w:tc>
          <w:tcPr>
            <w:tcW w:w="112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4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18,780,514.31 </w:t>
            </w:r>
          </w:p>
        </w:tc>
        <w:tc>
          <w:tcPr>
            <w:tcW w:w="108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19,055,543.43  </w:t>
            </w:r>
          </w:p>
        </w:tc>
      </w:tr>
      <w:tr w:rsidR="00851B9D" w:rsidRPr="000A5B5D" w:rsidTr="00851B9D">
        <w:trPr>
          <w:trHeight w:val="397"/>
          <w:jc w:val="center"/>
        </w:trPr>
        <w:tc>
          <w:tcPr>
            <w:tcW w:w="1395"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20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26,219,759.53</w:t>
            </w:r>
          </w:p>
        </w:tc>
        <w:tc>
          <w:tcPr>
            <w:tcW w:w="156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32,193,511.66  </w:t>
            </w:r>
          </w:p>
        </w:tc>
        <w:tc>
          <w:tcPr>
            <w:tcW w:w="112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45"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26,219,759.53 </w:t>
            </w:r>
          </w:p>
        </w:tc>
        <w:tc>
          <w:tcPr>
            <w:tcW w:w="108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59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32,193,511.66  </w:t>
            </w:r>
          </w:p>
        </w:tc>
      </w:tr>
    </w:tbl>
    <w:p w:rsidR="00851B9D" w:rsidRPr="000A5B5D" w:rsidRDefault="00851B9D" w:rsidP="00851B9D">
      <w:pPr>
        <w:spacing w:line="400" w:lineRule="exact"/>
        <w:ind w:firstLineChars="200" w:firstLine="480"/>
        <w:rPr>
          <w:rFonts w:ascii="Arial" w:hAnsi="Arial" w:cs="Arial"/>
          <w:sz w:val="24"/>
        </w:rPr>
      </w:pPr>
      <w:bookmarkStart w:id="28" w:name="OLE_LINK85"/>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）存货跌价准备计提依据及本年转回或转销原因</w:t>
      </w:r>
    </w:p>
    <w:tbl>
      <w:tblPr>
        <w:tblW w:w="9087" w:type="dxa"/>
        <w:tblInd w:w="93"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1303"/>
        <w:gridCol w:w="3878"/>
        <w:gridCol w:w="1922"/>
        <w:gridCol w:w="1984"/>
      </w:tblGrid>
      <w:tr w:rsidR="00851B9D" w:rsidRPr="000A5B5D" w:rsidTr="00851B9D">
        <w:trPr>
          <w:trHeight w:val="397"/>
          <w:tblHeader/>
        </w:trPr>
        <w:tc>
          <w:tcPr>
            <w:tcW w:w="1303" w:type="dxa"/>
            <w:tcBorders>
              <w:top w:val="single" w:sz="12" w:space="0" w:color="auto"/>
            </w:tcBorders>
            <w:vAlign w:val="center"/>
          </w:tcPr>
          <w:p w:rsidR="00851B9D" w:rsidRPr="000A5B5D" w:rsidRDefault="00851B9D" w:rsidP="00851B9D">
            <w:pPr>
              <w:widowControl/>
              <w:ind w:leftChars="-30" w:left="-54" w:rightChars="-24" w:right="-43"/>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878" w:type="dxa"/>
            <w:tcBorders>
              <w:top w:val="single" w:sz="12" w:space="0" w:color="auto"/>
            </w:tcBorders>
            <w:vAlign w:val="center"/>
          </w:tcPr>
          <w:p w:rsidR="00851B9D" w:rsidRPr="000A5B5D" w:rsidRDefault="00851B9D" w:rsidP="00851B9D">
            <w:pPr>
              <w:widowControl/>
              <w:ind w:leftChars="-30" w:left="-54" w:rightChars="-23" w:right="-41"/>
              <w:jc w:val="center"/>
              <w:rPr>
                <w:rFonts w:ascii="Arial Narrow" w:hAnsi="Arial Narrow" w:cs="Arial"/>
                <w:kern w:val="0"/>
                <w:szCs w:val="21"/>
              </w:rPr>
            </w:pPr>
            <w:r w:rsidRPr="000A5B5D">
              <w:rPr>
                <w:rFonts w:ascii="Arial Narrow" w:hAnsi="Arial Narrow" w:cs="Arial" w:hint="eastAsia"/>
                <w:kern w:val="0"/>
                <w:szCs w:val="21"/>
              </w:rPr>
              <w:t>计提存货跌价准备的具体依据</w:t>
            </w:r>
          </w:p>
        </w:tc>
        <w:tc>
          <w:tcPr>
            <w:tcW w:w="1922" w:type="dxa"/>
            <w:tcBorders>
              <w:top w:val="single" w:sz="12" w:space="0" w:color="auto"/>
            </w:tcBorders>
            <w:vAlign w:val="center"/>
          </w:tcPr>
          <w:p w:rsidR="00851B9D" w:rsidRPr="000A5B5D" w:rsidRDefault="00851B9D" w:rsidP="00851B9D">
            <w:pPr>
              <w:widowControl/>
              <w:ind w:leftChars="-30" w:left="-54" w:rightChars="-23" w:right="-41"/>
              <w:jc w:val="center"/>
              <w:rPr>
                <w:rFonts w:ascii="Arial Narrow" w:hAnsi="Arial Narrow" w:cs="Arial"/>
                <w:kern w:val="0"/>
                <w:szCs w:val="21"/>
              </w:rPr>
            </w:pPr>
            <w:r w:rsidRPr="000A5B5D">
              <w:rPr>
                <w:rFonts w:ascii="Arial Narrow" w:hAnsi="Arial Narrow" w:cs="Arial" w:hint="eastAsia"/>
                <w:kern w:val="0"/>
                <w:szCs w:val="21"/>
              </w:rPr>
              <w:t>本年转回存货跌价准备的原因</w:t>
            </w:r>
          </w:p>
        </w:tc>
        <w:tc>
          <w:tcPr>
            <w:tcW w:w="1984" w:type="dxa"/>
            <w:tcBorders>
              <w:top w:val="single" w:sz="12" w:space="0" w:color="auto"/>
            </w:tcBorders>
            <w:vAlign w:val="center"/>
          </w:tcPr>
          <w:p w:rsidR="00851B9D" w:rsidRPr="000A5B5D" w:rsidRDefault="00851B9D" w:rsidP="00851B9D">
            <w:pPr>
              <w:widowControl/>
              <w:ind w:leftChars="-30" w:left="-54" w:rightChars="-23" w:right="-41"/>
              <w:jc w:val="center"/>
              <w:rPr>
                <w:rFonts w:ascii="Arial Narrow" w:hAnsi="Arial Narrow" w:cs="Arial"/>
                <w:kern w:val="0"/>
                <w:szCs w:val="21"/>
              </w:rPr>
            </w:pPr>
            <w:r w:rsidRPr="000A5B5D">
              <w:rPr>
                <w:rFonts w:ascii="Arial Narrow" w:hAnsi="Arial Narrow" w:cs="Arial" w:hint="eastAsia"/>
                <w:kern w:val="0"/>
                <w:szCs w:val="21"/>
              </w:rPr>
              <w:t>本年转销存货跌价准备的原因</w:t>
            </w:r>
          </w:p>
        </w:tc>
      </w:tr>
      <w:tr w:rsidR="00851B9D" w:rsidRPr="000A5B5D" w:rsidTr="00851B9D">
        <w:trPr>
          <w:trHeight w:val="397"/>
        </w:trPr>
        <w:tc>
          <w:tcPr>
            <w:tcW w:w="1303" w:type="dxa"/>
            <w:vAlign w:val="center"/>
          </w:tcPr>
          <w:p w:rsidR="00851B9D" w:rsidRPr="000A5B5D" w:rsidRDefault="00851B9D" w:rsidP="00851B9D">
            <w:pPr>
              <w:widowControl/>
              <w:ind w:leftChars="-30" w:left="-54" w:rightChars="-24" w:right="-43"/>
              <w:rPr>
                <w:rFonts w:ascii="Arial Narrow" w:hAnsi="Arial Narrow" w:cs="Arial"/>
                <w:kern w:val="0"/>
                <w:szCs w:val="21"/>
              </w:rPr>
            </w:pPr>
            <w:r w:rsidRPr="000A5B5D">
              <w:rPr>
                <w:rFonts w:ascii="Arial Narrow" w:hAnsi="Arial Narrow" w:cs="Arial" w:hint="eastAsia"/>
                <w:kern w:val="0"/>
                <w:szCs w:val="21"/>
              </w:rPr>
              <w:t>原材料</w:t>
            </w:r>
          </w:p>
        </w:tc>
        <w:tc>
          <w:tcPr>
            <w:tcW w:w="3878" w:type="dxa"/>
            <w:vMerge w:val="restart"/>
            <w:vAlign w:val="center"/>
          </w:tcPr>
          <w:p w:rsidR="00851B9D" w:rsidRPr="000A5B5D" w:rsidRDefault="00851B9D" w:rsidP="00851B9D">
            <w:pPr>
              <w:widowControl/>
              <w:ind w:leftChars="-30" w:left="-54" w:rightChars="-23" w:right="-41"/>
              <w:jc w:val="right"/>
              <w:rPr>
                <w:rFonts w:ascii="Arial Narrow" w:hAnsi="Arial Narrow" w:cs="Arial"/>
                <w:kern w:val="0"/>
                <w:szCs w:val="21"/>
              </w:rPr>
            </w:pPr>
            <w:r w:rsidRPr="000A5B5D">
              <w:rPr>
                <w:rFonts w:ascii="Arial Narrow" w:hAnsi="Arial Narrow" w:cs="Arial" w:hint="eastAsia"/>
                <w:szCs w:val="21"/>
              </w:rPr>
              <w:t>市场价格下降，导致产成品及相关的原材料价值的可变现净值低于存货成本</w:t>
            </w:r>
          </w:p>
        </w:tc>
        <w:tc>
          <w:tcPr>
            <w:tcW w:w="1922" w:type="dxa"/>
            <w:vMerge w:val="restart"/>
            <w:vAlign w:val="center"/>
          </w:tcPr>
          <w:p w:rsidR="00851B9D" w:rsidRPr="000A5B5D" w:rsidRDefault="00851B9D" w:rsidP="00851B9D">
            <w:pPr>
              <w:widowControl/>
              <w:ind w:leftChars="-30" w:left="-54" w:rightChars="-23" w:right="-41"/>
              <w:jc w:val="right"/>
              <w:rPr>
                <w:rFonts w:ascii="Arial Narrow" w:hAnsi="Arial Narrow" w:cs="Arial"/>
                <w:kern w:val="0"/>
                <w:szCs w:val="21"/>
              </w:rPr>
            </w:pPr>
            <w:r w:rsidRPr="000A5B5D">
              <w:rPr>
                <w:rFonts w:ascii="Arial Narrow" w:hAnsi="Arial Narrow" w:cs="Arial"/>
                <w:kern w:val="0"/>
                <w:szCs w:val="21"/>
              </w:rPr>
              <w:t>--</w:t>
            </w:r>
          </w:p>
        </w:tc>
        <w:tc>
          <w:tcPr>
            <w:tcW w:w="1984" w:type="dxa"/>
            <w:vMerge w:val="restart"/>
            <w:vAlign w:val="center"/>
          </w:tcPr>
          <w:p w:rsidR="00851B9D" w:rsidRPr="000A5B5D" w:rsidRDefault="00851B9D" w:rsidP="00851B9D">
            <w:pPr>
              <w:widowControl/>
              <w:ind w:leftChars="-30" w:left="-54" w:rightChars="-23" w:right="-41"/>
              <w:jc w:val="right"/>
              <w:rPr>
                <w:rFonts w:ascii="Arial Narrow" w:hAnsi="Arial Narrow" w:cs="Arial"/>
                <w:kern w:val="0"/>
                <w:szCs w:val="21"/>
              </w:rPr>
            </w:pPr>
            <w:r w:rsidRPr="000A5B5D">
              <w:rPr>
                <w:rFonts w:ascii="Arial Narrow" w:hAnsi="Arial Narrow" w:cs="Arial" w:hint="eastAsia"/>
                <w:kern w:val="0"/>
                <w:szCs w:val="21"/>
              </w:rPr>
              <w:t>对应存货已</w:t>
            </w:r>
          </w:p>
          <w:p w:rsidR="00851B9D" w:rsidRPr="000A5B5D" w:rsidRDefault="00851B9D" w:rsidP="00851B9D">
            <w:pPr>
              <w:widowControl/>
              <w:ind w:leftChars="-30" w:left="-54" w:rightChars="-23" w:right="-41"/>
              <w:jc w:val="right"/>
              <w:rPr>
                <w:rFonts w:ascii="Arial Narrow" w:hAnsi="Arial Narrow" w:cs="Arial"/>
                <w:kern w:val="0"/>
                <w:szCs w:val="21"/>
              </w:rPr>
            </w:pPr>
            <w:r w:rsidRPr="000A5B5D">
              <w:rPr>
                <w:rFonts w:ascii="Arial Narrow" w:hAnsi="Arial Narrow" w:cs="Arial" w:hint="eastAsia"/>
                <w:kern w:val="0"/>
                <w:szCs w:val="21"/>
              </w:rPr>
              <w:t>对外出售</w:t>
            </w:r>
          </w:p>
        </w:tc>
      </w:tr>
      <w:tr w:rsidR="00851B9D" w:rsidRPr="000A5B5D" w:rsidTr="00851B9D">
        <w:trPr>
          <w:trHeight w:val="397"/>
        </w:trPr>
        <w:tc>
          <w:tcPr>
            <w:tcW w:w="1303" w:type="dxa"/>
            <w:vAlign w:val="center"/>
          </w:tcPr>
          <w:p w:rsidR="00851B9D" w:rsidRPr="000A5B5D" w:rsidRDefault="00851B9D" w:rsidP="00851B9D">
            <w:pPr>
              <w:widowControl/>
              <w:ind w:leftChars="-30" w:left="-54"/>
              <w:rPr>
                <w:rFonts w:ascii="Arial Narrow" w:hAnsi="Arial Narrow" w:cs="Arial"/>
                <w:kern w:val="0"/>
                <w:szCs w:val="21"/>
              </w:rPr>
            </w:pPr>
            <w:r w:rsidRPr="000A5B5D">
              <w:rPr>
                <w:rFonts w:ascii="Arial Narrow" w:hAnsi="Arial Narrow" w:cs="Arial" w:hint="eastAsia"/>
                <w:kern w:val="0"/>
                <w:szCs w:val="21"/>
              </w:rPr>
              <w:t>在产品</w:t>
            </w:r>
          </w:p>
        </w:tc>
        <w:tc>
          <w:tcPr>
            <w:tcW w:w="3878" w:type="dxa"/>
            <w:vMerge/>
            <w:vAlign w:val="center"/>
          </w:tcPr>
          <w:p w:rsidR="00851B9D" w:rsidRPr="000A5B5D" w:rsidRDefault="00851B9D" w:rsidP="00851B9D">
            <w:pPr>
              <w:widowControl/>
              <w:jc w:val="right"/>
              <w:rPr>
                <w:rFonts w:ascii="Arial Narrow" w:hAnsi="Arial Narrow" w:cs="Arial"/>
                <w:kern w:val="0"/>
                <w:szCs w:val="21"/>
              </w:rPr>
            </w:pPr>
          </w:p>
        </w:tc>
        <w:tc>
          <w:tcPr>
            <w:tcW w:w="1922" w:type="dxa"/>
            <w:vMerge/>
            <w:vAlign w:val="center"/>
          </w:tcPr>
          <w:p w:rsidR="00851B9D" w:rsidRPr="000A5B5D" w:rsidRDefault="00851B9D" w:rsidP="00851B9D">
            <w:pPr>
              <w:widowControl/>
              <w:jc w:val="right"/>
              <w:rPr>
                <w:rFonts w:ascii="Arial Narrow" w:hAnsi="Arial Narrow" w:cs="Arial"/>
                <w:kern w:val="0"/>
                <w:szCs w:val="21"/>
              </w:rPr>
            </w:pPr>
          </w:p>
        </w:tc>
        <w:tc>
          <w:tcPr>
            <w:tcW w:w="1984" w:type="dxa"/>
            <w:vMerge/>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1303" w:type="dxa"/>
            <w:tcBorders>
              <w:bottom w:val="single" w:sz="12" w:space="0" w:color="auto"/>
            </w:tcBorders>
            <w:vAlign w:val="center"/>
          </w:tcPr>
          <w:p w:rsidR="00851B9D" w:rsidRPr="000A5B5D" w:rsidRDefault="00851B9D" w:rsidP="00851B9D">
            <w:pPr>
              <w:widowControl/>
              <w:ind w:leftChars="-30" w:left="-54"/>
              <w:rPr>
                <w:rFonts w:ascii="Arial Narrow" w:hAnsi="Arial Narrow" w:cs="Arial"/>
                <w:kern w:val="0"/>
                <w:szCs w:val="21"/>
              </w:rPr>
            </w:pPr>
            <w:r w:rsidRPr="000A5B5D">
              <w:rPr>
                <w:rFonts w:ascii="Arial Narrow" w:hAnsi="Arial Narrow" w:cs="Arial" w:hint="eastAsia"/>
                <w:kern w:val="0"/>
                <w:szCs w:val="21"/>
              </w:rPr>
              <w:t>库存商品</w:t>
            </w:r>
          </w:p>
        </w:tc>
        <w:tc>
          <w:tcPr>
            <w:tcW w:w="3878" w:type="dxa"/>
            <w:vMerge/>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p>
        </w:tc>
        <w:tc>
          <w:tcPr>
            <w:tcW w:w="1922" w:type="dxa"/>
            <w:vMerge/>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p>
        </w:tc>
        <w:tc>
          <w:tcPr>
            <w:tcW w:w="1984" w:type="dxa"/>
            <w:vMerge/>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p>
        </w:tc>
      </w:tr>
    </w:tbl>
    <w:bookmarkEnd w:id="28"/>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一年内到期的非流动资产</w:t>
      </w:r>
    </w:p>
    <w:tbl>
      <w:tblPr>
        <w:tblW w:w="913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219"/>
        <w:gridCol w:w="1945"/>
        <w:gridCol w:w="1970"/>
      </w:tblGrid>
      <w:tr w:rsidR="00851B9D" w:rsidRPr="000A5B5D" w:rsidTr="00851B9D">
        <w:trPr>
          <w:trHeight w:val="397"/>
          <w:tblHeader/>
          <w:jc w:val="center"/>
        </w:trPr>
        <w:tc>
          <w:tcPr>
            <w:tcW w:w="521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4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97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521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一年内到期的长期待摊费用</w:t>
            </w:r>
          </w:p>
        </w:tc>
        <w:tc>
          <w:tcPr>
            <w:tcW w:w="194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771,644.23</w:t>
            </w:r>
          </w:p>
        </w:tc>
        <w:tc>
          <w:tcPr>
            <w:tcW w:w="197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726,682.08</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29" w:name="OLE_LINK164"/>
      <w:bookmarkStart w:id="30" w:name="OLE_LINK46"/>
      <w:r w:rsidRPr="000A5B5D">
        <w:rPr>
          <w:rFonts w:ascii="Arial" w:hAnsi="Arial" w:cs="Arial" w:hint="eastAsia"/>
          <w:b/>
          <w:sz w:val="24"/>
        </w:rPr>
        <w:t>其他流动资产</w:t>
      </w:r>
      <w:bookmarkEnd w:id="29"/>
      <w:r w:rsidRPr="000A5B5D">
        <w:rPr>
          <w:rFonts w:ascii="Arial" w:hAnsi="Arial" w:cs="Arial"/>
          <w:b/>
          <w:sz w:val="24"/>
        </w:rPr>
        <w:tab/>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180"/>
        <w:gridCol w:w="1987"/>
        <w:gridCol w:w="1933"/>
      </w:tblGrid>
      <w:tr w:rsidR="00851B9D" w:rsidRPr="000A5B5D" w:rsidTr="00851B9D">
        <w:trPr>
          <w:trHeight w:val="397"/>
          <w:tblHeader/>
        </w:trPr>
        <w:tc>
          <w:tcPr>
            <w:tcW w:w="518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8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93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518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待摊费用</w:t>
            </w:r>
          </w:p>
        </w:tc>
        <w:tc>
          <w:tcPr>
            <w:tcW w:w="1987"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337,654.50 </w:t>
            </w:r>
          </w:p>
        </w:tc>
        <w:tc>
          <w:tcPr>
            <w:tcW w:w="193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344,044.02 </w:t>
            </w:r>
          </w:p>
        </w:tc>
      </w:tr>
      <w:tr w:rsidR="00851B9D" w:rsidRPr="000A5B5D" w:rsidTr="00851B9D">
        <w:trPr>
          <w:trHeight w:val="397"/>
        </w:trPr>
        <w:tc>
          <w:tcPr>
            <w:tcW w:w="518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留抵进项税</w:t>
            </w:r>
          </w:p>
        </w:tc>
        <w:tc>
          <w:tcPr>
            <w:tcW w:w="1987"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49,954,068.57 </w:t>
            </w:r>
          </w:p>
        </w:tc>
        <w:tc>
          <w:tcPr>
            <w:tcW w:w="193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62,541,311.29 </w:t>
            </w:r>
          </w:p>
        </w:tc>
      </w:tr>
      <w:tr w:rsidR="00851B9D" w:rsidRPr="000A5B5D" w:rsidTr="00851B9D">
        <w:trPr>
          <w:trHeight w:val="397"/>
        </w:trPr>
        <w:tc>
          <w:tcPr>
            <w:tcW w:w="5180" w:type="dxa"/>
            <w:vAlign w:val="center"/>
          </w:tcPr>
          <w:p w:rsidR="00851B9D" w:rsidRPr="000A5B5D" w:rsidRDefault="00851B9D" w:rsidP="00851B9D">
            <w:pPr>
              <w:ind w:left="253" w:hanging="253"/>
              <w:rPr>
                <w:rFonts w:ascii="Arial Narrow" w:hAnsi="Arial Narrow" w:cs="Arial"/>
                <w:szCs w:val="21"/>
              </w:rPr>
            </w:pPr>
            <w:r w:rsidRPr="000A5B5D">
              <w:rPr>
                <w:rFonts w:ascii="Arial Narrow" w:hAnsi="Arial Narrow" w:cs="Arial" w:hint="eastAsia"/>
                <w:szCs w:val="21"/>
              </w:rPr>
              <w:t>多交所得税</w:t>
            </w:r>
          </w:p>
        </w:tc>
        <w:tc>
          <w:tcPr>
            <w:tcW w:w="1987"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25,959,632.78 </w:t>
            </w:r>
          </w:p>
        </w:tc>
        <w:tc>
          <w:tcPr>
            <w:tcW w:w="193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18,438,691.29 </w:t>
            </w:r>
          </w:p>
        </w:tc>
      </w:tr>
      <w:tr w:rsidR="00851B9D" w:rsidRPr="000A5B5D" w:rsidTr="00851B9D">
        <w:trPr>
          <w:trHeight w:val="397"/>
        </w:trPr>
        <w:tc>
          <w:tcPr>
            <w:tcW w:w="5180" w:type="dxa"/>
            <w:vAlign w:val="center"/>
          </w:tcPr>
          <w:p w:rsidR="00851B9D" w:rsidRPr="000A5B5D" w:rsidRDefault="00851B9D" w:rsidP="00851B9D">
            <w:pPr>
              <w:ind w:left="253" w:hanging="253"/>
              <w:rPr>
                <w:rFonts w:ascii="Arial Narrow" w:hAnsi="Arial Narrow" w:cs="Arial"/>
                <w:szCs w:val="21"/>
              </w:rPr>
            </w:pPr>
            <w:r w:rsidRPr="000A5B5D">
              <w:rPr>
                <w:rFonts w:ascii="Arial Narrow" w:hAnsi="Arial Narrow" w:cs="Arial" w:hint="eastAsia"/>
                <w:szCs w:val="21"/>
              </w:rPr>
              <w:t>待认证进项税</w:t>
            </w:r>
          </w:p>
        </w:tc>
        <w:tc>
          <w:tcPr>
            <w:tcW w:w="1987"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0.00 </w:t>
            </w:r>
          </w:p>
        </w:tc>
        <w:tc>
          <w:tcPr>
            <w:tcW w:w="193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6,437,530.42 </w:t>
            </w:r>
          </w:p>
        </w:tc>
      </w:tr>
      <w:tr w:rsidR="00851B9D" w:rsidRPr="000A5B5D" w:rsidTr="00851B9D">
        <w:trPr>
          <w:trHeight w:val="397"/>
        </w:trPr>
        <w:tc>
          <w:tcPr>
            <w:tcW w:w="5180" w:type="dxa"/>
            <w:vAlign w:val="center"/>
          </w:tcPr>
          <w:p w:rsidR="00851B9D" w:rsidRPr="000A5B5D" w:rsidRDefault="00851B9D" w:rsidP="00851B9D">
            <w:pPr>
              <w:ind w:left="253" w:hanging="253"/>
              <w:rPr>
                <w:rFonts w:ascii="Arial Narrow" w:hAnsi="Arial Narrow" w:cs="Arial"/>
                <w:szCs w:val="21"/>
              </w:rPr>
            </w:pPr>
            <w:r w:rsidRPr="000A5B5D">
              <w:rPr>
                <w:rFonts w:ascii="Arial Narrow" w:hAnsi="Arial Narrow" w:cs="Arial" w:hint="eastAsia"/>
                <w:szCs w:val="21"/>
              </w:rPr>
              <w:t>委托贷款本金及利息</w:t>
            </w:r>
          </w:p>
        </w:tc>
        <w:tc>
          <w:tcPr>
            <w:tcW w:w="1987"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0.00 </w:t>
            </w:r>
          </w:p>
        </w:tc>
        <w:tc>
          <w:tcPr>
            <w:tcW w:w="193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440,727,222.22 </w:t>
            </w:r>
          </w:p>
        </w:tc>
      </w:tr>
      <w:tr w:rsidR="00851B9D" w:rsidRPr="000A5B5D" w:rsidTr="00851B9D">
        <w:trPr>
          <w:trHeight w:val="397"/>
        </w:trPr>
        <w:tc>
          <w:tcPr>
            <w:tcW w:w="518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987" w:type="dxa"/>
            <w:tcBorders>
              <w:bottom w:val="single" w:sz="12" w:space="0" w:color="auto"/>
            </w:tcBorders>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76,251,355.85 </w:t>
            </w:r>
          </w:p>
        </w:tc>
        <w:tc>
          <w:tcPr>
            <w:tcW w:w="193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528,488,799.24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31" w:name="OLE_LINK91"/>
      <w:bookmarkStart w:id="32" w:name="OLE_LINK90"/>
      <w:bookmarkEnd w:id="30"/>
      <w:r w:rsidRPr="000A5B5D">
        <w:rPr>
          <w:rFonts w:ascii="Arial" w:hAnsi="Arial" w:cs="Arial" w:hint="eastAsia"/>
          <w:b/>
          <w:sz w:val="24"/>
        </w:rPr>
        <w:lastRenderedPageBreak/>
        <w:t>可供出售金融资产</w:t>
      </w:r>
      <w:bookmarkEnd w:id="31"/>
      <w:bookmarkEnd w:id="32"/>
    </w:p>
    <w:p w:rsidR="00851B9D" w:rsidRPr="000A5B5D" w:rsidRDefault="00851B9D" w:rsidP="00851B9D">
      <w:pPr>
        <w:tabs>
          <w:tab w:val="left" w:pos="600"/>
        </w:tabs>
        <w:spacing w:line="400" w:lineRule="exact"/>
        <w:ind w:firstLineChars="177" w:firstLine="425"/>
        <w:rPr>
          <w:rFonts w:ascii="Arial" w:hAnsi="Arial" w:cs="Arial"/>
          <w:sz w:val="24"/>
        </w:rPr>
      </w:pPr>
      <w:r w:rsidRPr="000A5B5D">
        <w:rPr>
          <w:rFonts w:ascii="Arial" w:hAnsi="Arial" w:cs="Arial" w:hint="eastAsia"/>
          <w:sz w:val="24"/>
        </w:rPr>
        <w:t>可供出售金融资产情况</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375"/>
        <w:gridCol w:w="993"/>
        <w:gridCol w:w="992"/>
        <w:gridCol w:w="1134"/>
        <w:gridCol w:w="1360"/>
        <w:gridCol w:w="1008"/>
        <w:gridCol w:w="1352"/>
      </w:tblGrid>
      <w:tr w:rsidR="00851B9D" w:rsidRPr="000A5B5D" w:rsidTr="00851B9D">
        <w:trPr>
          <w:trHeight w:val="397"/>
          <w:jc w:val="center"/>
        </w:trPr>
        <w:tc>
          <w:tcPr>
            <w:tcW w:w="2375"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119"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720"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2375" w:type="dxa"/>
            <w:vMerge/>
            <w:vAlign w:val="center"/>
          </w:tcPr>
          <w:p w:rsidR="00851B9D" w:rsidRPr="000A5B5D" w:rsidRDefault="00851B9D" w:rsidP="00851B9D">
            <w:pPr>
              <w:widowControl/>
              <w:jc w:val="center"/>
              <w:rPr>
                <w:rFonts w:ascii="Arial Narrow" w:hAnsi="Arial Narrow" w:cs="Arial"/>
                <w:kern w:val="0"/>
                <w:szCs w:val="21"/>
              </w:rPr>
            </w:pPr>
          </w:p>
        </w:tc>
        <w:tc>
          <w:tcPr>
            <w:tcW w:w="99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99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减值准备</w:t>
            </w:r>
          </w:p>
        </w:tc>
        <w:tc>
          <w:tcPr>
            <w:tcW w:w="113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c>
          <w:tcPr>
            <w:tcW w:w="136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100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减值准备</w:t>
            </w:r>
          </w:p>
        </w:tc>
        <w:tc>
          <w:tcPr>
            <w:tcW w:w="135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jc w:val="center"/>
        </w:trPr>
        <w:tc>
          <w:tcPr>
            <w:tcW w:w="237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可供出售债务工具</w:t>
            </w:r>
          </w:p>
        </w:tc>
        <w:tc>
          <w:tcPr>
            <w:tcW w:w="99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c>
          <w:tcPr>
            <w:tcW w:w="99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c>
          <w:tcPr>
            <w:tcW w:w="100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c>
          <w:tcPr>
            <w:tcW w:w="135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jc w:val="center"/>
        </w:trPr>
        <w:tc>
          <w:tcPr>
            <w:tcW w:w="237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可供出售权益工具</w:t>
            </w:r>
          </w:p>
        </w:tc>
        <w:tc>
          <w:tcPr>
            <w:tcW w:w="99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99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c>
          <w:tcPr>
            <w:tcW w:w="100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5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r>
      <w:tr w:rsidR="00851B9D" w:rsidRPr="000A5B5D" w:rsidTr="00851B9D">
        <w:trPr>
          <w:trHeight w:val="397"/>
          <w:jc w:val="center"/>
        </w:trPr>
        <w:tc>
          <w:tcPr>
            <w:tcW w:w="237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其中：按公允价值计量的</w:t>
            </w:r>
          </w:p>
        </w:tc>
        <w:tc>
          <w:tcPr>
            <w:tcW w:w="99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c>
          <w:tcPr>
            <w:tcW w:w="99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c>
          <w:tcPr>
            <w:tcW w:w="100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c>
          <w:tcPr>
            <w:tcW w:w="135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jc w:val="center"/>
        </w:trPr>
        <w:tc>
          <w:tcPr>
            <w:tcW w:w="237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按成本计量的</w:t>
            </w:r>
          </w:p>
        </w:tc>
        <w:tc>
          <w:tcPr>
            <w:tcW w:w="99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99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c>
          <w:tcPr>
            <w:tcW w:w="100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5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r>
      <w:tr w:rsidR="00851B9D" w:rsidRPr="000A5B5D" w:rsidTr="00851B9D">
        <w:trPr>
          <w:trHeight w:val="397"/>
          <w:jc w:val="center"/>
        </w:trPr>
        <w:tc>
          <w:tcPr>
            <w:tcW w:w="2375"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99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99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6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c>
          <w:tcPr>
            <w:tcW w:w="100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5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381,600,000.00 </w:t>
            </w:r>
          </w:p>
        </w:tc>
      </w:tr>
    </w:tbl>
    <w:p w:rsidR="00851B9D" w:rsidRPr="000A5B5D" w:rsidRDefault="00851B9D" w:rsidP="00851B9D">
      <w:pPr>
        <w:tabs>
          <w:tab w:val="left" w:pos="600"/>
        </w:tabs>
        <w:spacing w:line="400" w:lineRule="exact"/>
        <w:ind w:firstLineChars="177" w:firstLine="425"/>
        <w:rPr>
          <w:rFonts w:ascii="Arial" w:hAnsi="Arial" w:cs="Arial"/>
          <w:sz w:val="24"/>
        </w:rPr>
      </w:pPr>
      <w:bookmarkStart w:id="33" w:name="OLE_LINK34"/>
      <w:bookmarkStart w:id="34" w:name="OLE_LINK166"/>
      <w:bookmarkStart w:id="35" w:name="OLE_LINK64"/>
      <w:r w:rsidRPr="000A5B5D">
        <w:rPr>
          <w:rFonts w:ascii="Arial" w:hAnsi="Arial" w:cs="Arial"/>
          <w:sz w:val="24"/>
        </w:rPr>
        <w:t>2015</w:t>
      </w:r>
      <w:r w:rsidRPr="000A5B5D">
        <w:rPr>
          <w:rFonts w:ascii="Arial" w:hAnsi="Arial" w:cs="Arial" w:hint="eastAsia"/>
          <w:sz w:val="24"/>
        </w:rPr>
        <w:t>年本公司对浙商银行股份有限公司（以下简称“浙商银行”）的持股比例增加，能够对浙商银行施加重大影响，故将对浙商银行的股权投资从可供出售金融资产转换为权益法核算。</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长期应收款</w:t>
      </w:r>
    </w:p>
    <w:tbl>
      <w:tblPr>
        <w:tblW w:w="9216"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376"/>
        <w:gridCol w:w="2268"/>
        <w:gridCol w:w="2211"/>
        <w:gridCol w:w="2361"/>
      </w:tblGrid>
      <w:tr w:rsidR="00851B9D" w:rsidRPr="000A5B5D" w:rsidTr="00851B9D">
        <w:trPr>
          <w:trHeight w:val="397"/>
          <w:tblHeader/>
          <w:jc w:val="center"/>
        </w:trPr>
        <w:tc>
          <w:tcPr>
            <w:tcW w:w="2376"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6840"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jc w:val="center"/>
        </w:trPr>
        <w:tc>
          <w:tcPr>
            <w:tcW w:w="2376" w:type="dxa"/>
            <w:vMerge/>
            <w:vAlign w:val="center"/>
          </w:tcPr>
          <w:p w:rsidR="00851B9D" w:rsidRPr="000A5B5D" w:rsidRDefault="00851B9D" w:rsidP="00851B9D">
            <w:pPr>
              <w:widowControl/>
              <w:jc w:val="center"/>
              <w:rPr>
                <w:rFonts w:ascii="Arial Narrow" w:hAnsi="Arial Narrow" w:cs="Arial"/>
                <w:kern w:val="0"/>
                <w:szCs w:val="21"/>
              </w:rPr>
            </w:pPr>
          </w:p>
        </w:tc>
        <w:tc>
          <w:tcPr>
            <w:tcW w:w="226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21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跌价准备</w:t>
            </w:r>
          </w:p>
        </w:tc>
        <w:tc>
          <w:tcPr>
            <w:tcW w:w="236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jc w:val="center"/>
        </w:trPr>
        <w:tc>
          <w:tcPr>
            <w:tcW w:w="237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长期押金</w:t>
            </w:r>
          </w:p>
        </w:tc>
        <w:tc>
          <w:tcPr>
            <w:tcW w:w="226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243,735.89</w:t>
            </w:r>
          </w:p>
        </w:tc>
        <w:tc>
          <w:tcPr>
            <w:tcW w:w="221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236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243,735.89</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（续）</w:t>
      </w:r>
      <w:r w:rsidRPr="000A5B5D">
        <w:rPr>
          <w:rFonts w:ascii="Arial" w:hAnsi="Arial" w:cs="Arial"/>
          <w:sz w:val="24"/>
        </w:rPr>
        <w:t xml:space="preserve"> </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376"/>
        <w:gridCol w:w="2268"/>
        <w:gridCol w:w="2197"/>
        <w:gridCol w:w="2375"/>
      </w:tblGrid>
      <w:tr w:rsidR="00851B9D" w:rsidRPr="000A5B5D" w:rsidTr="00851B9D">
        <w:trPr>
          <w:trHeight w:val="397"/>
        </w:trPr>
        <w:tc>
          <w:tcPr>
            <w:tcW w:w="2376"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6840"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2376" w:type="dxa"/>
            <w:vMerge/>
            <w:vAlign w:val="center"/>
          </w:tcPr>
          <w:p w:rsidR="00851B9D" w:rsidRPr="000A5B5D" w:rsidRDefault="00851B9D" w:rsidP="00851B9D">
            <w:pPr>
              <w:widowControl/>
              <w:jc w:val="center"/>
              <w:rPr>
                <w:rFonts w:ascii="Arial Narrow" w:hAnsi="Arial Narrow" w:cs="Arial"/>
                <w:kern w:val="0"/>
                <w:szCs w:val="21"/>
              </w:rPr>
            </w:pPr>
          </w:p>
        </w:tc>
        <w:tc>
          <w:tcPr>
            <w:tcW w:w="226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19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跌价准备</w:t>
            </w:r>
          </w:p>
        </w:tc>
        <w:tc>
          <w:tcPr>
            <w:tcW w:w="237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rPr>
        <w:tc>
          <w:tcPr>
            <w:tcW w:w="237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长期押金</w:t>
            </w:r>
          </w:p>
        </w:tc>
        <w:tc>
          <w:tcPr>
            <w:tcW w:w="2268"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szCs w:val="21"/>
              </w:rPr>
            </w:pPr>
            <w:r w:rsidRPr="000A5B5D">
              <w:rPr>
                <w:rFonts w:ascii="Arial Narrow" w:hAnsi="Arial Narrow" w:cs="Arial"/>
                <w:szCs w:val="21"/>
              </w:rPr>
              <w:t>0.00</w:t>
            </w:r>
          </w:p>
        </w:tc>
        <w:tc>
          <w:tcPr>
            <w:tcW w:w="2197"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0.00</w:t>
            </w:r>
          </w:p>
        </w:tc>
        <w:tc>
          <w:tcPr>
            <w:tcW w:w="2375" w:type="dxa"/>
            <w:tcBorders>
              <w:bottom w:val="single" w:sz="12" w:space="0" w:color="auto"/>
            </w:tcBorders>
            <w:vAlign w:val="center"/>
          </w:tcPr>
          <w:p w:rsidR="00851B9D" w:rsidRPr="000A5B5D" w:rsidRDefault="00851B9D" w:rsidP="00851B9D">
            <w:pPr>
              <w:widowControl/>
              <w:ind w:rightChars="-27" w:right="-49"/>
              <w:jc w:val="right"/>
              <w:rPr>
                <w:rFonts w:ascii="Arial Narrow" w:hAnsi="Arial Narrow" w:cs="Arial"/>
                <w:kern w:val="0"/>
                <w:szCs w:val="21"/>
              </w:rPr>
            </w:pPr>
            <w:r w:rsidRPr="000A5B5D">
              <w:rPr>
                <w:rFonts w:ascii="Arial Narrow" w:hAnsi="Arial Narrow" w:cs="Arial"/>
                <w:szCs w:val="21"/>
              </w:rPr>
              <w:t>0.00</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长期股权投资</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270"/>
        <w:gridCol w:w="1470"/>
        <w:gridCol w:w="1505"/>
        <w:gridCol w:w="567"/>
        <w:gridCol w:w="1418"/>
        <w:gridCol w:w="1227"/>
        <w:gridCol w:w="757"/>
      </w:tblGrid>
      <w:tr w:rsidR="00851B9D" w:rsidRPr="000A5B5D" w:rsidTr="00851B9D">
        <w:trPr>
          <w:trHeight w:val="397"/>
          <w:tblHeader/>
        </w:trPr>
        <w:tc>
          <w:tcPr>
            <w:tcW w:w="2270"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bookmarkStart w:id="36" w:name="OLE_LINK104"/>
            <w:bookmarkStart w:id="37" w:name="OLE_LINK66"/>
            <w:r w:rsidRPr="000A5B5D">
              <w:rPr>
                <w:rFonts w:ascii="Arial Narrow" w:hAnsi="Arial Narrow" w:cs="Arial" w:hint="eastAsia"/>
                <w:kern w:val="0"/>
                <w:szCs w:val="21"/>
              </w:rPr>
              <w:t>被投资单位</w:t>
            </w:r>
          </w:p>
        </w:tc>
        <w:tc>
          <w:tcPr>
            <w:tcW w:w="1470"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5474"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本年增减变动</w:t>
            </w:r>
          </w:p>
        </w:tc>
      </w:tr>
      <w:tr w:rsidR="00851B9D" w:rsidRPr="000A5B5D" w:rsidTr="00851B9D">
        <w:trPr>
          <w:trHeight w:val="397"/>
          <w:tblHeader/>
        </w:trPr>
        <w:tc>
          <w:tcPr>
            <w:tcW w:w="2270" w:type="dxa"/>
            <w:vMerge/>
            <w:vAlign w:val="center"/>
          </w:tcPr>
          <w:p w:rsidR="00851B9D" w:rsidRPr="000A5B5D" w:rsidRDefault="00851B9D" w:rsidP="00851B9D">
            <w:pPr>
              <w:widowControl/>
              <w:rPr>
                <w:rFonts w:ascii="Arial Narrow" w:hAnsi="Arial Narrow" w:cs="Arial"/>
                <w:kern w:val="0"/>
                <w:szCs w:val="21"/>
              </w:rPr>
            </w:pPr>
          </w:p>
        </w:tc>
        <w:tc>
          <w:tcPr>
            <w:tcW w:w="1470" w:type="dxa"/>
            <w:vMerge/>
            <w:vAlign w:val="center"/>
          </w:tcPr>
          <w:p w:rsidR="00851B9D" w:rsidRPr="000A5B5D" w:rsidRDefault="00851B9D" w:rsidP="00851B9D">
            <w:pPr>
              <w:widowControl/>
              <w:jc w:val="right"/>
              <w:rPr>
                <w:rFonts w:ascii="Arial Narrow" w:hAnsi="Arial Narrow" w:cs="Arial"/>
                <w:kern w:val="0"/>
                <w:szCs w:val="21"/>
              </w:rPr>
            </w:pPr>
          </w:p>
        </w:tc>
        <w:tc>
          <w:tcPr>
            <w:tcW w:w="1505" w:type="dxa"/>
            <w:vAlign w:val="center"/>
          </w:tcPr>
          <w:p w:rsidR="00851B9D" w:rsidRPr="000A5B5D" w:rsidRDefault="00851B9D" w:rsidP="00851B9D">
            <w:pPr>
              <w:widowControl/>
              <w:ind w:right="105"/>
              <w:jc w:val="center"/>
              <w:rPr>
                <w:rFonts w:ascii="Arial Narrow" w:hAnsi="Arial Narrow" w:cs="Arial"/>
                <w:kern w:val="0"/>
                <w:szCs w:val="21"/>
              </w:rPr>
            </w:pPr>
            <w:r w:rsidRPr="000A5B5D">
              <w:rPr>
                <w:rFonts w:ascii="Arial Narrow" w:hAnsi="Arial Narrow" w:cs="Arial" w:hint="eastAsia"/>
                <w:kern w:val="0"/>
                <w:szCs w:val="21"/>
              </w:rPr>
              <w:t>追加投资</w:t>
            </w:r>
          </w:p>
        </w:tc>
        <w:tc>
          <w:tcPr>
            <w:tcW w:w="56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减少投资</w:t>
            </w:r>
          </w:p>
        </w:tc>
        <w:tc>
          <w:tcPr>
            <w:tcW w:w="141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权益法下确认的投资损益</w:t>
            </w:r>
          </w:p>
        </w:tc>
        <w:tc>
          <w:tcPr>
            <w:tcW w:w="122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其他综合收益调整</w:t>
            </w:r>
          </w:p>
        </w:tc>
        <w:tc>
          <w:tcPr>
            <w:tcW w:w="75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其他权益变动</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一、合营企业</w:t>
            </w:r>
          </w:p>
        </w:tc>
        <w:tc>
          <w:tcPr>
            <w:tcW w:w="1470" w:type="dxa"/>
            <w:vAlign w:val="center"/>
          </w:tcPr>
          <w:p w:rsidR="00851B9D" w:rsidRPr="000A5B5D" w:rsidRDefault="00851B9D" w:rsidP="00851B9D">
            <w:pPr>
              <w:widowControl/>
              <w:jc w:val="right"/>
              <w:rPr>
                <w:rFonts w:ascii="Arial Narrow" w:hAnsi="Arial Narrow" w:cs="Arial"/>
                <w:kern w:val="0"/>
                <w:szCs w:val="21"/>
              </w:rPr>
            </w:pPr>
          </w:p>
        </w:tc>
        <w:tc>
          <w:tcPr>
            <w:tcW w:w="1505" w:type="dxa"/>
            <w:vAlign w:val="center"/>
          </w:tcPr>
          <w:p w:rsidR="00851B9D" w:rsidRPr="000A5B5D" w:rsidRDefault="00851B9D" w:rsidP="00851B9D">
            <w:pPr>
              <w:widowControl/>
              <w:jc w:val="right"/>
              <w:rPr>
                <w:rFonts w:ascii="Arial Narrow" w:hAnsi="Arial Narrow" w:cs="Arial"/>
                <w:kern w:val="0"/>
                <w:szCs w:val="21"/>
              </w:rPr>
            </w:pPr>
          </w:p>
        </w:tc>
        <w:tc>
          <w:tcPr>
            <w:tcW w:w="567" w:type="dxa"/>
            <w:vAlign w:val="center"/>
          </w:tcPr>
          <w:p w:rsidR="00851B9D" w:rsidRPr="000A5B5D" w:rsidRDefault="00851B9D" w:rsidP="00851B9D">
            <w:pPr>
              <w:widowControl/>
              <w:jc w:val="right"/>
              <w:rPr>
                <w:rFonts w:ascii="Arial Narrow" w:hAnsi="Arial Narrow" w:cs="Arial"/>
                <w:kern w:val="0"/>
                <w:szCs w:val="21"/>
              </w:rPr>
            </w:pPr>
          </w:p>
        </w:tc>
        <w:tc>
          <w:tcPr>
            <w:tcW w:w="1418" w:type="dxa"/>
            <w:vAlign w:val="center"/>
          </w:tcPr>
          <w:p w:rsidR="00851B9D" w:rsidRPr="000A5B5D" w:rsidRDefault="00851B9D" w:rsidP="00851B9D">
            <w:pPr>
              <w:widowControl/>
              <w:jc w:val="right"/>
              <w:rPr>
                <w:rFonts w:ascii="Arial Narrow" w:hAnsi="Arial Narrow" w:cs="Arial"/>
                <w:kern w:val="0"/>
                <w:szCs w:val="21"/>
              </w:rPr>
            </w:pPr>
          </w:p>
        </w:tc>
        <w:tc>
          <w:tcPr>
            <w:tcW w:w="1227" w:type="dxa"/>
            <w:vAlign w:val="center"/>
          </w:tcPr>
          <w:p w:rsidR="00851B9D" w:rsidRPr="000A5B5D" w:rsidRDefault="00851B9D" w:rsidP="00851B9D">
            <w:pPr>
              <w:widowControl/>
              <w:jc w:val="right"/>
              <w:rPr>
                <w:rFonts w:ascii="Arial Narrow" w:hAnsi="Arial Narrow" w:cs="Arial"/>
                <w:kern w:val="0"/>
                <w:szCs w:val="21"/>
              </w:rPr>
            </w:pPr>
          </w:p>
        </w:tc>
        <w:tc>
          <w:tcPr>
            <w:tcW w:w="757"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浙江巴陵恒逸已内酰胺有限责任公司</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790,033,243.71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19,041,752.94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小</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790,033,243.71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19,041,752.94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二、联营企业</w:t>
            </w:r>
          </w:p>
        </w:tc>
        <w:tc>
          <w:tcPr>
            <w:tcW w:w="1470" w:type="dxa"/>
            <w:vAlign w:val="center"/>
          </w:tcPr>
          <w:p w:rsidR="00851B9D" w:rsidRPr="000A5B5D" w:rsidRDefault="00851B9D" w:rsidP="00851B9D">
            <w:pPr>
              <w:widowControl/>
              <w:jc w:val="right"/>
              <w:rPr>
                <w:rFonts w:ascii="Arial Narrow" w:hAnsi="Arial Narrow" w:cs="Arial"/>
                <w:kern w:val="0"/>
                <w:szCs w:val="21"/>
              </w:rPr>
            </w:pPr>
          </w:p>
        </w:tc>
        <w:tc>
          <w:tcPr>
            <w:tcW w:w="1505" w:type="dxa"/>
            <w:vAlign w:val="center"/>
          </w:tcPr>
          <w:p w:rsidR="00851B9D" w:rsidRPr="000A5B5D" w:rsidRDefault="00851B9D" w:rsidP="00851B9D">
            <w:pPr>
              <w:jc w:val="right"/>
              <w:rPr>
                <w:rFonts w:ascii="Arial Narrow" w:hAnsi="Arial Narrow" w:cs="Arial"/>
                <w:szCs w:val="21"/>
              </w:rPr>
            </w:pPr>
          </w:p>
        </w:tc>
        <w:tc>
          <w:tcPr>
            <w:tcW w:w="567" w:type="dxa"/>
            <w:vAlign w:val="center"/>
          </w:tcPr>
          <w:p w:rsidR="00851B9D" w:rsidRPr="000A5B5D" w:rsidRDefault="00851B9D" w:rsidP="00851B9D">
            <w:pPr>
              <w:jc w:val="right"/>
              <w:rPr>
                <w:rFonts w:ascii="Arial Narrow" w:hAnsi="Arial Narrow" w:cs="Arial"/>
                <w:szCs w:val="21"/>
              </w:rPr>
            </w:pPr>
          </w:p>
        </w:tc>
        <w:tc>
          <w:tcPr>
            <w:tcW w:w="1418" w:type="dxa"/>
            <w:vAlign w:val="center"/>
          </w:tcPr>
          <w:p w:rsidR="00851B9D" w:rsidRPr="000A5B5D" w:rsidRDefault="00851B9D" w:rsidP="00851B9D">
            <w:pPr>
              <w:jc w:val="right"/>
              <w:rPr>
                <w:rFonts w:ascii="Arial Narrow" w:hAnsi="Arial Narrow" w:cs="Arial"/>
                <w:szCs w:val="21"/>
              </w:rPr>
            </w:pPr>
          </w:p>
        </w:tc>
        <w:tc>
          <w:tcPr>
            <w:tcW w:w="1227" w:type="dxa"/>
            <w:vAlign w:val="center"/>
          </w:tcPr>
          <w:p w:rsidR="00851B9D" w:rsidRPr="000A5B5D" w:rsidRDefault="00851B9D" w:rsidP="00851B9D">
            <w:pPr>
              <w:jc w:val="right"/>
              <w:rPr>
                <w:rFonts w:ascii="Arial Narrow" w:hAnsi="Arial Narrow" w:cs="Arial"/>
                <w:szCs w:val="21"/>
              </w:rPr>
            </w:pPr>
          </w:p>
        </w:tc>
        <w:tc>
          <w:tcPr>
            <w:tcW w:w="757"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大连逸盛投资有限公司</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1,001,357,225.40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-36,481,142.44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-183,591.51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逸盛大化石化有限公司</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290,589,292.49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-11,410,611.18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19,740,946.53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海南逸盛石化有限公司</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512,184,336.55</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75,000,000.00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-89,653,497.91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99,228.39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恒逸</w:t>
            </w:r>
            <w:r w:rsidRPr="000A5B5D">
              <w:rPr>
                <w:rFonts w:ascii="Arial Narrow" w:hAnsi="Arial Narrow" w:cs="Arial"/>
                <w:szCs w:val="21"/>
              </w:rPr>
              <w:t>JAPAN</w:t>
            </w:r>
            <w:r w:rsidRPr="000A5B5D">
              <w:rPr>
                <w:rFonts w:ascii="Arial Narrow" w:hAnsi="Arial Narrow" w:cs="Arial" w:hint="eastAsia"/>
                <w:szCs w:val="21"/>
              </w:rPr>
              <w:t>株式会社</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2,958,113.25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浙商银行股份有限公司</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1,551,239,535.04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72,948,468.00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32,428,742.40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小</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7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1,807,088,967.69  </w:t>
            </w:r>
          </w:p>
        </w:tc>
        <w:tc>
          <w:tcPr>
            <w:tcW w:w="150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1,626,239,535.04 </w:t>
            </w:r>
          </w:p>
        </w:tc>
        <w:tc>
          <w:tcPr>
            <w:tcW w:w="56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-64,596,783.53  </w:t>
            </w:r>
          </w:p>
        </w:tc>
        <w:tc>
          <w:tcPr>
            <w:tcW w:w="12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52,085,325.81  </w:t>
            </w:r>
          </w:p>
        </w:tc>
        <w:tc>
          <w:tcPr>
            <w:tcW w:w="75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7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2,597,122,211.40</w:t>
            </w:r>
          </w:p>
        </w:tc>
        <w:tc>
          <w:tcPr>
            <w:tcW w:w="1505"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1,626,239,535.04 </w:t>
            </w:r>
          </w:p>
        </w:tc>
        <w:tc>
          <w:tcPr>
            <w:tcW w:w="56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1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-45,555,030.59  </w:t>
            </w:r>
          </w:p>
        </w:tc>
        <w:tc>
          <w:tcPr>
            <w:tcW w:w="122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52,085,325.81  </w:t>
            </w:r>
          </w:p>
        </w:tc>
        <w:tc>
          <w:tcPr>
            <w:tcW w:w="75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bl>
    <w:p w:rsidR="00851B9D" w:rsidRPr="000A5B5D" w:rsidRDefault="00851B9D" w:rsidP="00851B9D">
      <w:pPr>
        <w:tabs>
          <w:tab w:val="left" w:pos="9000"/>
        </w:tabs>
        <w:spacing w:line="400" w:lineRule="exact"/>
        <w:ind w:firstLineChars="200" w:firstLine="480"/>
        <w:rPr>
          <w:rFonts w:ascii="Arial" w:hAnsi="Arial" w:cs="Arial"/>
          <w:sz w:val="24"/>
          <w:szCs w:val="24"/>
        </w:rPr>
      </w:pPr>
      <w:bookmarkStart w:id="38" w:name="OLE_LINK37"/>
      <w:bookmarkEnd w:id="33"/>
      <w:bookmarkEnd w:id="34"/>
      <w:bookmarkEnd w:id="36"/>
      <w:bookmarkEnd w:id="37"/>
      <w:r w:rsidRPr="000A5B5D">
        <w:rPr>
          <w:rFonts w:ascii="Arial" w:hAnsi="Arial" w:cs="Arial" w:hint="eastAsia"/>
          <w:sz w:val="24"/>
          <w:szCs w:val="24"/>
        </w:rPr>
        <w:t>（续）</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270"/>
        <w:gridCol w:w="1456"/>
        <w:gridCol w:w="1372"/>
        <w:gridCol w:w="1423"/>
        <w:gridCol w:w="1559"/>
        <w:gridCol w:w="1134"/>
      </w:tblGrid>
      <w:tr w:rsidR="00851B9D" w:rsidRPr="000A5B5D" w:rsidTr="00851B9D">
        <w:trPr>
          <w:trHeight w:val="397"/>
        </w:trPr>
        <w:tc>
          <w:tcPr>
            <w:tcW w:w="2270"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被投资单位</w:t>
            </w:r>
          </w:p>
        </w:tc>
        <w:tc>
          <w:tcPr>
            <w:tcW w:w="4251"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本年增减变动</w:t>
            </w:r>
          </w:p>
        </w:tc>
        <w:tc>
          <w:tcPr>
            <w:tcW w:w="1559"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13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减值准备年末余额</w:t>
            </w:r>
          </w:p>
        </w:tc>
      </w:tr>
      <w:tr w:rsidR="00851B9D" w:rsidRPr="000A5B5D" w:rsidTr="00851B9D">
        <w:trPr>
          <w:trHeight w:val="397"/>
        </w:trPr>
        <w:tc>
          <w:tcPr>
            <w:tcW w:w="2270" w:type="dxa"/>
            <w:vMerge/>
            <w:vAlign w:val="center"/>
          </w:tcPr>
          <w:p w:rsidR="00851B9D" w:rsidRPr="000A5B5D" w:rsidRDefault="00851B9D" w:rsidP="00851B9D">
            <w:pPr>
              <w:widowControl/>
              <w:jc w:val="center"/>
              <w:rPr>
                <w:rFonts w:ascii="Arial Narrow" w:hAnsi="Arial Narrow" w:cs="Arial"/>
                <w:kern w:val="0"/>
                <w:szCs w:val="21"/>
              </w:rPr>
            </w:pPr>
          </w:p>
        </w:tc>
        <w:tc>
          <w:tcPr>
            <w:tcW w:w="1456"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宣告发放现金股利或利润</w:t>
            </w:r>
          </w:p>
        </w:tc>
        <w:tc>
          <w:tcPr>
            <w:tcW w:w="137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计提减值准备</w:t>
            </w:r>
          </w:p>
        </w:tc>
        <w:tc>
          <w:tcPr>
            <w:tcW w:w="142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w:t>
            </w:r>
          </w:p>
        </w:tc>
        <w:tc>
          <w:tcPr>
            <w:tcW w:w="1559" w:type="dxa"/>
            <w:vMerge/>
          </w:tcPr>
          <w:p w:rsidR="00851B9D" w:rsidRPr="000A5B5D" w:rsidRDefault="00851B9D" w:rsidP="00851B9D">
            <w:pPr>
              <w:widowControl/>
              <w:jc w:val="center"/>
              <w:rPr>
                <w:rFonts w:ascii="Arial Narrow" w:hAnsi="Arial Narrow" w:cs="Arial"/>
                <w:kern w:val="0"/>
                <w:szCs w:val="21"/>
              </w:rPr>
            </w:pPr>
          </w:p>
        </w:tc>
        <w:tc>
          <w:tcPr>
            <w:tcW w:w="1134" w:type="dxa"/>
            <w:vMerge/>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一、合营企业</w:t>
            </w:r>
          </w:p>
        </w:tc>
        <w:tc>
          <w:tcPr>
            <w:tcW w:w="1456" w:type="dxa"/>
            <w:vAlign w:val="center"/>
          </w:tcPr>
          <w:p w:rsidR="00851B9D" w:rsidRPr="000A5B5D" w:rsidRDefault="00851B9D" w:rsidP="00851B9D">
            <w:pPr>
              <w:widowControl/>
              <w:jc w:val="right"/>
              <w:rPr>
                <w:rFonts w:ascii="Arial Narrow" w:hAnsi="Arial Narrow" w:cs="Arial"/>
                <w:kern w:val="0"/>
                <w:szCs w:val="21"/>
              </w:rPr>
            </w:pPr>
          </w:p>
        </w:tc>
        <w:tc>
          <w:tcPr>
            <w:tcW w:w="1372" w:type="dxa"/>
            <w:vAlign w:val="center"/>
          </w:tcPr>
          <w:p w:rsidR="00851B9D" w:rsidRPr="000A5B5D" w:rsidRDefault="00851B9D" w:rsidP="00851B9D">
            <w:pPr>
              <w:widowControl/>
              <w:jc w:val="right"/>
              <w:rPr>
                <w:rFonts w:ascii="Arial Narrow" w:hAnsi="Arial Narrow" w:cs="Arial"/>
                <w:kern w:val="0"/>
                <w:szCs w:val="21"/>
              </w:rPr>
            </w:pPr>
          </w:p>
        </w:tc>
        <w:tc>
          <w:tcPr>
            <w:tcW w:w="1423" w:type="dxa"/>
            <w:vAlign w:val="center"/>
          </w:tcPr>
          <w:p w:rsidR="00851B9D" w:rsidRPr="000A5B5D" w:rsidRDefault="00851B9D" w:rsidP="00851B9D">
            <w:pPr>
              <w:widowControl/>
              <w:jc w:val="right"/>
              <w:rPr>
                <w:rFonts w:ascii="Arial Narrow" w:hAnsi="Arial Narrow" w:cs="Arial"/>
                <w:kern w:val="0"/>
                <w:szCs w:val="21"/>
              </w:rPr>
            </w:pPr>
          </w:p>
        </w:tc>
        <w:tc>
          <w:tcPr>
            <w:tcW w:w="1559" w:type="dxa"/>
            <w:vAlign w:val="center"/>
          </w:tcPr>
          <w:p w:rsidR="00851B9D" w:rsidRPr="000A5B5D" w:rsidRDefault="00851B9D" w:rsidP="00851B9D">
            <w:pPr>
              <w:widowControl/>
              <w:jc w:val="right"/>
              <w:rPr>
                <w:rFonts w:ascii="Arial Narrow" w:hAnsi="Arial Narrow" w:cs="Arial"/>
                <w:kern w:val="0"/>
                <w:szCs w:val="21"/>
              </w:rPr>
            </w:pPr>
          </w:p>
        </w:tc>
        <w:tc>
          <w:tcPr>
            <w:tcW w:w="1134"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浙江巴陵恒逸已内酰胺有限责任公司</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57,853,754.58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751,221,242.07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小</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57,853,754.58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751,221,242.07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二、联营企业</w:t>
            </w:r>
          </w:p>
        </w:tc>
        <w:tc>
          <w:tcPr>
            <w:tcW w:w="1456" w:type="dxa"/>
            <w:vAlign w:val="center"/>
          </w:tcPr>
          <w:p w:rsidR="00851B9D" w:rsidRPr="000A5B5D" w:rsidRDefault="00851B9D" w:rsidP="00851B9D">
            <w:pPr>
              <w:jc w:val="right"/>
              <w:rPr>
                <w:rFonts w:ascii="Arial Narrow" w:hAnsi="Arial Narrow" w:cs="Arial"/>
                <w:szCs w:val="21"/>
              </w:rPr>
            </w:pPr>
          </w:p>
        </w:tc>
        <w:tc>
          <w:tcPr>
            <w:tcW w:w="1372" w:type="dxa"/>
            <w:vAlign w:val="center"/>
          </w:tcPr>
          <w:p w:rsidR="00851B9D" w:rsidRPr="000A5B5D" w:rsidRDefault="00851B9D" w:rsidP="00851B9D">
            <w:pPr>
              <w:jc w:val="right"/>
              <w:rPr>
                <w:rFonts w:ascii="Arial Narrow" w:hAnsi="Arial Narrow" w:cs="Arial"/>
                <w:szCs w:val="21"/>
              </w:rPr>
            </w:pPr>
          </w:p>
        </w:tc>
        <w:tc>
          <w:tcPr>
            <w:tcW w:w="1423" w:type="dxa"/>
            <w:vAlign w:val="center"/>
          </w:tcPr>
          <w:p w:rsidR="00851B9D" w:rsidRPr="000A5B5D" w:rsidRDefault="00851B9D" w:rsidP="00851B9D">
            <w:pPr>
              <w:jc w:val="right"/>
              <w:rPr>
                <w:rFonts w:ascii="Arial Narrow" w:hAnsi="Arial Narrow" w:cs="Arial"/>
                <w:szCs w:val="21"/>
              </w:rPr>
            </w:pPr>
          </w:p>
        </w:tc>
        <w:tc>
          <w:tcPr>
            <w:tcW w:w="1559" w:type="dxa"/>
            <w:vAlign w:val="center"/>
          </w:tcPr>
          <w:p w:rsidR="00851B9D" w:rsidRPr="000A5B5D" w:rsidRDefault="00851B9D" w:rsidP="00851B9D">
            <w:pPr>
              <w:jc w:val="right"/>
              <w:rPr>
                <w:rFonts w:ascii="Arial Narrow" w:hAnsi="Arial Narrow" w:cs="Arial"/>
                <w:szCs w:val="21"/>
              </w:rPr>
            </w:pPr>
          </w:p>
        </w:tc>
        <w:tc>
          <w:tcPr>
            <w:tcW w:w="1134"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大连逸盛投资有限公司</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964,692,491.45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逸盛大化石化有限公司</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298,919,627.84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海南逸盛石化有限公司</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497,630,067.03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恒逸</w:t>
            </w:r>
            <w:r w:rsidRPr="000A5B5D">
              <w:rPr>
                <w:rFonts w:ascii="Arial Narrow" w:hAnsi="Arial Narrow" w:cs="Arial"/>
                <w:szCs w:val="21"/>
              </w:rPr>
              <w:t>JAPAN</w:t>
            </w:r>
            <w:r w:rsidRPr="000A5B5D">
              <w:rPr>
                <w:rFonts w:ascii="Arial Narrow" w:hAnsi="Arial Narrow" w:cs="Arial" w:hint="eastAsia"/>
                <w:szCs w:val="21"/>
              </w:rPr>
              <w:t>株式会社</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-2,958,113.25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浙商银行股份有限公司</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902,427,713.20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2,559,044,458.64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小</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2"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899,469,599.95 </w:t>
            </w:r>
          </w:p>
        </w:tc>
        <w:tc>
          <w:tcPr>
            <w:tcW w:w="155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4,320,286,644.96  </w:t>
            </w:r>
          </w:p>
        </w:tc>
        <w:tc>
          <w:tcPr>
            <w:tcW w:w="113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27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5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57,853,754.58 </w:t>
            </w:r>
          </w:p>
        </w:tc>
        <w:tc>
          <w:tcPr>
            <w:tcW w:w="137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2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899,469,599.95 </w:t>
            </w:r>
          </w:p>
        </w:tc>
        <w:tc>
          <w:tcPr>
            <w:tcW w:w="1559"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5,071,507,887.03  </w:t>
            </w:r>
          </w:p>
        </w:tc>
        <w:tc>
          <w:tcPr>
            <w:tcW w:w="1134"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bl>
    <w:bookmarkEnd w:id="38"/>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固定资产</w:t>
      </w:r>
    </w:p>
    <w:bookmarkEnd w:id="35"/>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）固定资产情况</w:t>
      </w:r>
    </w:p>
    <w:tbl>
      <w:tblPr>
        <w:tblW w:w="9056"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437"/>
        <w:gridCol w:w="1285"/>
        <w:gridCol w:w="1310"/>
        <w:gridCol w:w="1331"/>
        <w:gridCol w:w="1186"/>
        <w:gridCol w:w="1134"/>
        <w:gridCol w:w="1373"/>
      </w:tblGrid>
      <w:tr w:rsidR="00851B9D" w:rsidRPr="000A5B5D" w:rsidTr="00851B9D">
        <w:trPr>
          <w:trHeight w:val="397"/>
          <w:tblHeader/>
        </w:trPr>
        <w:tc>
          <w:tcPr>
            <w:tcW w:w="1437"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项</w:t>
            </w:r>
            <w:r w:rsidRPr="000A5B5D">
              <w:rPr>
                <w:rFonts w:ascii="Arial Narrow" w:hAnsi="Arial Narrow" w:cs="Arial"/>
                <w:kern w:val="0"/>
              </w:rPr>
              <w:t xml:space="preserve">   </w:t>
            </w:r>
            <w:r w:rsidRPr="000A5B5D">
              <w:rPr>
                <w:rFonts w:ascii="Arial Narrow" w:hAnsi="Arial Narrow" w:cs="Arial" w:hint="eastAsia"/>
                <w:kern w:val="0"/>
              </w:rPr>
              <w:t>目</w:t>
            </w:r>
          </w:p>
        </w:tc>
        <w:tc>
          <w:tcPr>
            <w:tcW w:w="1285"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房屋及建筑物</w:t>
            </w:r>
          </w:p>
        </w:tc>
        <w:tc>
          <w:tcPr>
            <w:tcW w:w="1310"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构筑物</w:t>
            </w:r>
          </w:p>
        </w:tc>
        <w:tc>
          <w:tcPr>
            <w:tcW w:w="1331"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机器设备</w:t>
            </w:r>
          </w:p>
        </w:tc>
        <w:tc>
          <w:tcPr>
            <w:tcW w:w="1186"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运输设备</w:t>
            </w:r>
          </w:p>
        </w:tc>
        <w:tc>
          <w:tcPr>
            <w:tcW w:w="1134"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办公设备及其他</w:t>
            </w:r>
          </w:p>
        </w:tc>
        <w:tc>
          <w:tcPr>
            <w:tcW w:w="1373"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合</w:t>
            </w:r>
            <w:r w:rsidRPr="000A5B5D">
              <w:rPr>
                <w:rFonts w:ascii="Arial Narrow" w:hAnsi="Arial Narrow" w:cs="Arial"/>
                <w:kern w:val="0"/>
              </w:rPr>
              <w:t xml:space="preserve">  </w:t>
            </w:r>
            <w:r w:rsidRPr="000A5B5D">
              <w:rPr>
                <w:rFonts w:ascii="Arial Narrow" w:hAnsi="Arial Narrow" w:cs="Arial" w:hint="eastAsia"/>
                <w:kern w:val="0"/>
              </w:rPr>
              <w:t>计</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一、账面原值</w:t>
            </w:r>
          </w:p>
        </w:tc>
        <w:tc>
          <w:tcPr>
            <w:tcW w:w="1285" w:type="dxa"/>
            <w:vAlign w:val="center"/>
          </w:tcPr>
          <w:p w:rsidR="00851B9D" w:rsidRPr="000A5B5D" w:rsidRDefault="00851B9D" w:rsidP="00851B9D">
            <w:pPr>
              <w:jc w:val="right"/>
              <w:rPr>
                <w:rFonts w:ascii="Arial Narrow" w:hAnsi="Arial Narrow" w:cs="Arial"/>
              </w:rPr>
            </w:pPr>
          </w:p>
        </w:tc>
        <w:tc>
          <w:tcPr>
            <w:tcW w:w="1310" w:type="dxa"/>
            <w:vAlign w:val="center"/>
          </w:tcPr>
          <w:p w:rsidR="00851B9D" w:rsidRPr="000A5B5D" w:rsidRDefault="00851B9D" w:rsidP="00851B9D">
            <w:pPr>
              <w:jc w:val="right"/>
              <w:rPr>
                <w:rFonts w:ascii="Arial Narrow" w:hAnsi="Arial Narrow" w:cs="Arial"/>
              </w:rPr>
            </w:pPr>
          </w:p>
        </w:tc>
        <w:tc>
          <w:tcPr>
            <w:tcW w:w="1331" w:type="dxa"/>
            <w:vAlign w:val="center"/>
          </w:tcPr>
          <w:p w:rsidR="00851B9D" w:rsidRPr="000A5B5D" w:rsidRDefault="00851B9D" w:rsidP="00851B9D">
            <w:pPr>
              <w:jc w:val="right"/>
              <w:rPr>
                <w:rFonts w:ascii="Arial Narrow" w:hAnsi="Arial Narrow" w:cs="Arial"/>
              </w:rPr>
            </w:pPr>
          </w:p>
        </w:tc>
        <w:tc>
          <w:tcPr>
            <w:tcW w:w="1186" w:type="dxa"/>
            <w:vAlign w:val="center"/>
          </w:tcPr>
          <w:p w:rsidR="00851B9D" w:rsidRPr="000A5B5D" w:rsidRDefault="00851B9D" w:rsidP="00851B9D">
            <w:pPr>
              <w:jc w:val="right"/>
              <w:rPr>
                <w:rFonts w:ascii="Arial Narrow" w:hAnsi="Arial Narrow" w:cs="Arial"/>
              </w:rPr>
            </w:pPr>
          </w:p>
        </w:tc>
        <w:tc>
          <w:tcPr>
            <w:tcW w:w="1134" w:type="dxa"/>
            <w:vAlign w:val="center"/>
          </w:tcPr>
          <w:p w:rsidR="00851B9D" w:rsidRPr="000A5B5D" w:rsidRDefault="00851B9D" w:rsidP="00851B9D">
            <w:pPr>
              <w:jc w:val="right"/>
              <w:rPr>
                <w:rFonts w:ascii="Arial Narrow" w:hAnsi="Arial Narrow" w:cs="Arial"/>
              </w:rPr>
            </w:pPr>
          </w:p>
        </w:tc>
        <w:tc>
          <w:tcPr>
            <w:tcW w:w="1373"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1</w:t>
            </w:r>
            <w:r w:rsidRPr="000A5B5D">
              <w:rPr>
                <w:rFonts w:ascii="Arial Narrow" w:hAnsi="Arial Narrow" w:cs="Arial" w:hint="eastAsia"/>
                <w:kern w:val="0"/>
              </w:rPr>
              <w:t>、年初余额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1,350,424,928.71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1,118,759,869.37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13,012,953,875.36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59,269,919.51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70,735,978.15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15,612,144,571.10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2</w:t>
            </w:r>
            <w:r w:rsidRPr="000A5B5D">
              <w:rPr>
                <w:rFonts w:ascii="Arial Narrow" w:hAnsi="Arial Narrow" w:cs="Arial" w:hint="eastAsia"/>
                <w:kern w:val="0"/>
              </w:rPr>
              <w:t>、本年增加金额</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45,615,514.63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592,981.00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90,763,503.27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1,169,051.09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2,407,376.22</w:t>
            </w:r>
          </w:p>
        </w:tc>
        <w:tc>
          <w:tcPr>
            <w:tcW w:w="1373"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140,548,426.21</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1</w:t>
            </w:r>
            <w:r w:rsidRPr="000A5B5D">
              <w:rPr>
                <w:rFonts w:ascii="Arial Narrow" w:hAnsi="Arial Narrow" w:cs="Arial" w:hint="eastAsia"/>
                <w:kern w:val="0"/>
              </w:rPr>
              <w:t>）购置</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38,912,149.62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298,608.00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30,506,141.40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1,001,657.84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2,230,911.77  </w:t>
            </w:r>
          </w:p>
        </w:tc>
        <w:tc>
          <w:tcPr>
            <w:tcW w:w="1373"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72,949,468.63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AC18DF">
              <w:rPr>
                <w:rFonts w:ascii="Arial Narrow" w:hAnsi="Arial Narrow" w:cs="Arial" w:hint="eastAsia"/>
                <w:spacing w:val="15"/>
                <w:w w:val="94"/>
                <w:kern w:val="0"/>
                <w:fitText w:val="1440" w:id="1152700416"/>
              </w:rPr>
              <w:t>（</w:t>
            </w:r>
            <w:r w:rsidRPr="00AC18DF">
              <w:rPr>
                <w:rFonts w:ascii="Arial Narrow" w:hAnsi="Arial Narrow" w:cs="Arial"/>
                <w:spacing w:val="15"/>
                <w:w w:val="94"/>
                <w:kern w:val="0"/>
                <w:fitText w:val="1440" w:id="1152700416"/>
              </w:rPr>
              <w:t>2</w:t>
            </w:r>
            <w:r w:rsidRPr="00AC18DF">
              <w:rPr>
                <w:rFonts w:ascii="Arial Narrow" w:hAnsi="Arial Narrow" w:cs="Arial" w:hint="eastAsia"/>
                <w:spacing w:val="15"/>
                <w:w w:val="94"/>
                <w:kern w:val="0"/>
                <w:fitText w:val="1440" w:id="1152700416"/>
              </w:rPr>
              <w:t>）在建工程转</w:t>
            </w:r>
            <w:r w:rsidRPr="00AC18DF">
              <w:rPr>
                <w:rFonts w:ascii="Arial Narrow" w:hAnsi="Arial Narrow" w:cs="Arial" w:hint="eastAsia"/>
                <w:spacing w:val="-30"/>
                <w:w w:val="94"/>
                <w:kern w:val="0"/>
                <w:fitText w:val="1440" w:id="1152700416"/>
              </w:rPr>
              <w:t>入</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6,703,365.01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294,373.00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60,257,361.87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67,255,099.88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AC18DF">
              <w:rPr>
                <w:rFonts w:ascii="Arial Narrow" w:hAnsi="Arial Narrow" w:cs="Arial" w:hint="eastAsia"/>
                <w:spacing w:val="15"/>
                <w:w w:val="94"/>
                <w:kern w:val="0"/>
                <w:fitText w:val="1440" w:id="1152700417"/>
              </w:rPr>
              <w:t>（</w:t>
            </w:r>
            <w:r w:rsidRPr="00AC18DF">
              <w:rPr>
                <w:rFonts w:ascii="Arial Narrow" w:hAnsi="Arial Narrow" w:cs="Arial"/>
                <w:spacing w:val="15"/>
                <w:w w:val="94"/>
                <w:kern w:val="0"/>
                <w:fitText w:val="1440" w:id="1152700417"/>
              </w:rPr>
              <w:t>3</w:t>
            </w:r>
            <w:r w:rsidRPr="00AC18DF">
              <w:rPr>
                <w:rFonts w:ascii="Arial Narrow" w:hAnsi="Arial Narrow" w:cs="Arial" w:hint="eastAsia"/>
                <w:spacing w:val="15"/>
                <w:w w:val="94"/>
                <w:kern w:val="0"/>
                <w:fitText w:val="1440" w:id="1152700417"/>
              </w:rPr>
              <w:t>）企业合并增</w:t>
            </w:r>
            <w:r w:rsidRPr="00AC18DF">
              <w:rPr>
                <w:rFonts w:ascii="Arial Narrow" w:hAnsi="Arial Narrow" w:cs="Arial" w:hint="eastAsia"/>
                <w:spacing w:val="-30"/>
                <w:w w:val="94"/>
                <w:kern w:val="0"/>
                <w:fitText w:val="1440" w:id="1152700417"/>
              </w:rPr>
              <w:t>加</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4</w:t>
            </w:r>
            <w:r w:rsidRPr="000A5B5D">
              <w:rPr>
                <w:rFonts w:ascii="Arial Narrow" w:hAnsi="Arial Narrow" w:cs="Arial" w:hint="eastAsia"/>
                <w:kern w:val="0"/>
              </w:rPr>
              <w:t>）其他</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167,393.25</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176,464.45  </w:t>
            </w:r>
          </w:p>
        </w:tc>
        <w:tc>
          <w:tcPr>
            <w:tcW w:w="1373"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343,857.70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3</w:t>
            </w:r>
            <w:r w:rsidRPr="000A5B5D">
              <w:rPr>
                <w:rFonts w:ascii="Arial Narrow" w:hAnsi="Arial Narrow" w:cs="Arial" w:hint="eastAsia"/>
                <w:kern w:val="0"/>
              </w:rPr>
              <w:t>、本年减少金额</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152,545.45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10,395,195.40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71,260,368.38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73,136.70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30,962.95</w:t>
            </w:r>
          </w:p>
        </w:tc>
        <w:tc>
          <w:tcPr>
            <w:tcW w:w="1373" w:type="dxa"/>
            <w:vAlign w:val="center"/>
          </w:tcPr>
          <w:p w:rsidR="00851B9D" w:rsidRPr="000A5B5D" w:rsidRDefault="00851B9D" w:rsidP="00851B9D">
            <w:pPr>
              <w:jc w:val="right"/>
              <w:outlineLvl w:val="0"/>
              <w:rPr>
                <w:rFonts w:ascii="Arial Narrow" w:hAnsi="Arial Narrow" w:cs="宋体"/>
              </w:rPr>
            </w:pPr>
            <w:r w:rsidRPr="000A5B5D">
              <w:rPr>
                <w:rFonts w:ascii="Arial Narrow" w:hAnsi="Arial Narrow"/>
              </w:rPr>
              <w:t xml:space="preserve">81,912,208.88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lastRenderedPageBreak/>
              <w:t>（</w:t>
            </w:r>
            <w:r w:rsidRPr="000A5B5D">
              <w:rPr>
                <w:rFonts w:ascii="Arial Narrow" w:hAnsi="Arial Narrow" w:cs="Arial"/>
                <w:kern w:val="0"/>
              </w:rPr>
              <w:t>1</w:t>
            </w:r>
            <w:r w:rsidRPr="000A5B5D">
              <w:rPr>
                <w:rFonts w:ascii="Arial Narrow" w:hAnsi="Arial Narrow" w:cs="Arial" w:hint="eastAsia"/>
                <w:kern w:val="0"/>
              </w:rPr>
              <w:t>）处置或报废</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152,545.45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10,395,195.40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71,260,368.38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73,136.70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30,962.95</w:t>
            </w:r>
          </w:p>
        </w:tc>
        <w:tc>
          <w:tcPr>
            <w:tcW w:w="1373" w:type="dxa"/>
            <w:vAlign w:val="center"/>
          </w:tcPr>
          <w:p w:rsidR="00851B9D" w:rsidRPr="000A5B5D" w:rsidRDefault="00851B9D" w:rsidP="00851B9D">
            <w:pPr>
              <w:jc w:val="right"/>
              <w:outlineLvl w:val="0"/>
              <w:rPr>
                <w:rFonts w:ascii="Arial Narrow" w:hAnsi="Arial Narrow" w:cs="宋体"/>
              </w:rPr>
            </w:pPr>
            <w:r w:rsidRPr="000A5B5D">
              <w:rPr>
                <w:rFonts w:ascii="Arial Narrow" w:hAnsi="Arial Narrow"/>
              </w:rPr>
              <w:t xml:space="preserve">81,912,208.88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4</w:t>
            </w:r>
            <w:r w:rsidRPr="000A5B5D">
              <w:rPr>
                <w:rFonts w:ascii="Arial Narrow" w:hAnsi="Arial Narrow" w:cs="Arial" w:hint="eastAsia"/>
                <w:kern w:val="0"/>
              </w:rPr>
              <w:t>、年末余额</w:t>
            </w:r>
          </w:p>
        </w:tc>
        <w:tc>
          <w:tcPr>
            <w:tcW w:w="128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1,395,887,897.89 </w:t>
            </w:r>
          </w:p>
        </w:tc>
        <w:tc>
          <w:tcPr>
            <w:tcW w:w="1310"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1,108,957,654.97 </w:t>
            </w:r>
          </w:p>
        </w:tc>
        <w:tc>
          <w:tcPr>
            <w:tcW w:w="1331"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13,032,457,010.25 </w:t>
            </w:r>
          </w:p>
        </w:tc>
        <w:tc>
          <w:tcPr>
            <w:tcW w:w="118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60,365,833.90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73,112,391.42 </w:t>
            </w:r>
          </w:p>
        </w:tc>
        <w:tc>
          <w:tcPr>
            <w:tcW w:w="1373"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15,670,780,788.43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二、累计折旧</w:t>
            </w:r>
          </w:p>
        </w:tc>
        <w:tc>
          <w:tcPr>
            <w:tcW w:w="1285" w:type="dxa"/>
            <w:vAlign w:val="center"/>
          </w:tcPr>
          <w:p w:rsidR="00851B9D" w:rsidRPr="000A5B5D" w:rsidRDefault="00851B9D" w:rsidP="00851B9D">
            <w:pPr>
              <w:jc w:val="right"/>
              <w:rPr>
                <w:rFonts w:ascii="Arial Narrow" w:hAnsi="Arial Narrow" w:cs="Arial"/>
              </w:rPr>
            </w:pPr>
          </w:p>
        </w:tc>
        <w:tc>
          <w:tcPr>
            <w:tcW w:w="1310" w:type="dxa"/>
            <w:vAlign w:val="center"/>
          </w:tcPr>
          <w:p w:rsidR="00851B9D" w:rsidRPr="000A5B5D" w:rsidRDefault="00851B9D" w:rsidP="00851B9D">
            <w:pPr>
              <w:jc w:val="right"/>
              <w:rPr>
                <w:rFonts w:ascii="Arial Narrow" w:hAnsi="Arial Narrow" w:cs="Arial"/>
              </w:rPr>
            </w:pPr>
          </w:p>
        </w:tc>
        <w:tc>
          <w:tcPr>
            <w:tcW w:w="1331" w:type="dxa"/>
            <w:vAlign w:val="center"/>
          </w:tcPr>
          <w:p w:rsidR="00851B9D" w:rsidRPr="000A5B5D" w:rsidRDefault="00851B9D" w:rsidP="00851B9D">
            <w:pPr>
              <w:jc w:val="right"/>
              <w:rPr>
                <w:rFonts w:ascii="Arial Narrow" w:hAnsi="Arial Narrow" w:cs="Arial"/>
              </w:rPr>
            </w:pPr>
          </w:p>
        </w:tc>
        <w:tc>
          <w:tcPr>
            <w:tcW w:w="1186" w:type="dxa"/>
            <w:vAlign w:val="center"/>
          </w:tcPr>
          <w:p w:rsidR="00851B9D" w:rsidRPr="000A5B5D" w:rsidRDefault="00851B9D" w:rsidP="00851B9D">
            <w:pPr>
              <w:jc w:val="right"/>
              <w:rPr>
                <w:rFonts w:ascii="Arial Narrow" w:hAnsi="Arial Narrow" w:cs="Arial"/>
              </w:rPr>
            </w:pPr>
          </w:p>
        </w:tc>
        <w:tc>
          <w:tcPr>
            <w:tcW w:w="1134" w:type="dxa"/>
            <w:vAlign w:val="center"/>
          </w:tcPr>
          <w:p w:rsidR="00851B9D" w:rsidRPr="000A5B5D" w:rsidRDefault="00851B9D" w:rsidP="00851B9D">
            <w:pPr>
              <w:jc w:val="right"/>
              <w:rPr>
                <w:rFonts w:ascii="Arial Narrow" w:hAnsi="Arial Narrow" w:cs="Arial"/>
              </w:rPr>
            </w:pPr>
          </w:p>
        </w:tc>
        <w:tc>
          <w:tcPr>
            <w:tcW w:w="1373"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1</w:t>
            </w:r>
            <w:r w:rsidRPr="000A5B5D">
              <w:rPr>
                <w:rFonts w:ascii="Arial Narrow" w:hAnsi="Arial Narrow" w:cs="Arial" w:hint="eastAsia"/>
                <w:kern w:val="0"/>
              </w:rPr>
              <w:t>、年初余额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274,167,526.02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266,156,450.73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4,534,702,203.52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41,216,579.30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45,037,367.11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5,161,280,126.68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2</w:t>
            </w:r>
            <w:r w:rsidRPr="000A5B5D">
              <w:rPr>
                <w:rFonts w:ascii="Arial Narrow" w:hAnsi="Arial Narrow" w:cs="Arial" w:hint="eastAsia"/>
                <w:kern w:val="0"/>
              </w:rPr>
              <w:t>、本年增加金额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50,042,541.36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47,932,196.60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829,853,179.10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7,098,577.14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7,306,824.39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942,233,318.59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1</w:t>
            </w:r>
            <w:r w:rsidRPr="000A5B5D">
              <w:rPr>
                <w:rFonts w:ascii="Arial Narrow" w:hAnsi="Arial Narrow" w:cs="Arial" w:hint="eastAsia"/>
                <w:kern w:val="0"/>
              </w:rPr>
              <w:t>）计提</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50,042,541.36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47,932,196.60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829,853,179.10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7,004,017.86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7,196,752.97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942,028,687.89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2</w:t>
            </w:r>
            <w:r w:rsidRPr="000A5B5D">
              <w:rPr>
                <w:rFonts w:ascii="Arial Narrow" w:hAnsi="Arial Narrow" w:cs="Arial" w:hint="eastAsia"/>
                <w:kern w:val="0"/>
              </w:rPr>
              <w:t>）其他</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94,559.28</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110,071.42</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204,630.70</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3</w:t>
            </w:r>
            <w:r w:rsidRPr="000A5B5D">
              <w:rPr>
                <w:rFonts w:ascii="Arial Narrow" w:hAnsi="Arial Narrow" w:cs="Arial" w:hint="eastAsia"/>
                <w:kern w:val="0"/>
              </w:rPr>
              <w:t>、本年减少金额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28,376.11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65,449.27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59,987,127.56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71,587.70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60,152,540.64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1</w:t>
            </w:r>
            <w:r w:rsidRPr="000A5B5D">
              <w:rPr>
                <w:rFonts w:ascii="Arial Narrow" w:hAnsi="Arial Narrow" w:cs="Arial" w:hint="eastAsia"/>
                <w:kern w:val="0"/>
              </w:rPr>
              <w:t>）处置或报废</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28,376.11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65,449.27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59,987,127.56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71,587.70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60,152,540.64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4</w:t>
            </w:r>
            <w:r w:rsidRPr="000A5B5D">
              <w:rPr>
                <w:rFonts w:ascii="Arial Narrow" w:hAnsi="Arial Narrow" w:cs="Arial" w:hint="eastAsia"/>
                <w:kern w:val="0"/>
              </w:rPr>
              <w:t>、年末余额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324,181,691.27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314,023,198.06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5,304,568,255.06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48,243,568.74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52,344,191.50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6,043,360,904.63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三、减值准备</w:t>
            </w:r>
          </w:p>
        </w:tc>
        <w:tc>
          <w:tcPr>
            <w:tcW w:w="1285" w:type="dxa"/>
            <w:vAlign w:val="center"/>
          </w:tcPr>
          <w:p w:rsidR="00851B9D" w:rsidRPr="000A5B5D" w:rsidRDefault="00851B9D" w:rsidP="00851B9D">
            <w:pPr>
              <w:widowControl/>
              <w:jc w:val="right"/>
              <w:rPr>
                <w:rFonts w:ascii="Arial Narrow" w:hAnsi="Arial Narrow" w:cs="Arial"/>
                <w:kern w:val="0"/>
              </w:rPr>
            </w:pPr>
          </w:p>
        </w:tc>
        <w:tc>
          <w:tcPr>
            <w:tcW w:w="1310" w:type="dxa"/>
            <w:vAlign w:val="center"/>
          </w:tcPr>
          <w:p w:rsidR="00851B9D" w:rsidRPr="000A5B5D" w:rsidRDefault="00851B9D" w:rsidP="00851B9D">
            <w:pPr>
              <w:jc w:val="right"/>
              <w:rPr>
                <w:rFonts w:ascii="Arial Narrow" w:hAnsi="Arial Narrow" w:cs="Arial"/>
              </w:rPr>
            </w:pPr>
          </w:p>
        </w:tc>
        <w:tc>
          <w:tcPr>
            <w:tcW w:w="1331" w:type="dxa"/>
            <w:vAlign w:val="center"/>
          </w:tcPr>
          <w:p w:rsidR="00851B9D" w:rsidRPr="000A5B5D" w:rsidRDefault="00851B9D" w:rsidP="00851B9D">
            <w:pPr>
              <w:jc w:val="right"/>
              <w:rPr>
                <w:rFonts w:ascii="Arial Narrow" w:hAnsi="Arial Narrow" w:cs="Arial"/>
              </w:rPr>
            </w:pPr>
          </w:p>
        </w:tc>
        <w:tc>
          <w:tcPr>
            <w:tcW w:w="1186" w:type="dxa"/>
            <w:vAlign w:val="center"/>
          </w:tcPr>
          <w:p w:rsidR="00851B9D" w:rsidRPr="000A5B5D" w:rsidRDefault="00851B9D" w:rsidP="00851B9D">
            <w:pPr>
              <w:jc w:val="right"/>
              <w:rPr>
                <w:rFonts w:ascii="Arial Narrow" w:hAnsi="Arial Narrow" w:cs="Arial"/>
              </w:rPr>
            </w:pPr>
          </w:p>
        </w:tc>
        <w:tc>
          <w:tcPr>
            <w:tcW w:w="1134" w:type="dxa"/>
            <w:vAlign w:val="center"/>
          </w:tcPr>
          <w:p w:rsidR="00851B9D" w:rsidRPr="000A5B5D" w:rsidRDefault="00851B9D" w:rsidP="00851B9D">
            <w:pPr>
              <w:jc w:val="right"/>
              <w:rPr>
                <w:rFonts w:ascii="Arial Narrow" w:hAnsi="Arial Narrow" w:cs="Arial"/>
              </w:rPr>
            </w:pPr>
          </w:p>
        </w:tc>
        <w:tc>
          <w:tcPr>
            <w:tcW w:w="1373"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1</w:t>
            </w:r>
            <w:r w:rsidRPr="000A5B5D">
              <w:rPr>
                <w:rFonts w:ascii="Arial Narrow" w:hAnsi="Arial Narrow" w:cs="Arial" w:hint="eastAsia"/>
                <w:kern w:val="0"/>
              </w:rPr>
              <w:t>、年初余额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2</w:t>
            </w:r>
            <w:r w:rsidRPr="000A5B5D">
              <w:rPr>
                <w:rFonts w:ascii="Arial Narrow" w:hAnsi="Arial Narrow" w:cs="Arial" w:hint="eastAsia"/>
                <w:kern w:val="0"/>
              </w:rPr>
              <w:t>、本年增加金额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1</w:t>
            </w:r>
            <w:r w:rsidRPr="000A5B5D">
              <w:rPr>
                <w:rFonts w:ascii="Arial Narrow" w:hAnsi="Arial Narrow" w:cs="Arial" w:hint="eastAsia"/>
                <w:kern w:val="0"/>
              </w:rPr>
              <w:t>）计提</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3</w:t>
            </w:r>
            <w:r w:rsidRPr="000A5B5D">
              <w:rPr>
                <w:rFonts w:ascii="Arial Narrow" w:hAnsi="Arial Narrow" w:cs="Arial" w:hint="eastAsia"/>
                <w:kern w:val="0"/>
              </w:rPr>
              <w:t>、本年减少金额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w:t>
            </w:r>
            <w:r w:rsidRPr="000A5B5D">
              <w:rPr>
                <w:rFonts w:ascii="Arial Narrow" w:hAnsi="Arial Narrow" w:cs="Arial"/>
                <w:kern w:val="0"/>
              </w:rPr>
              <w:t>1</w:t>
            </w:r>
            <w:r w:rsidRPr="000A5B5D">
              <w:rPr>
                <w:rFonts w:ascii="Arial Narrow" w:hAnsi="Arial Narrow" w:cs="Arial" w:hint="eastAsia"/>
                <w:kern w:val="0"/>
              </w:rPr>
              <w:t>）处置或报废</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4</w:t>
            </w:r>
            <w:r w:rsidRPr="000A5B5D">
              <w:rPr>
                <w:rFonts w:ascii="Arial Narrow" w:hAnsi="Arial Narrow" w:cs="Arial" w:hint="eastAsia"/>
                <w:kern w:val="0"/>
              </w:rPr>
              <w:t>、年末余额</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四、账面价值</w:t>
            </w:r>
          </w:p>
        </w:tc>
        <w:tc>
          <w:tcPr>
            <w:tcW w:w="1285" w:type="dxa"/>
            <w:vAlign w:val="center"/>
          </w:tcPr>
          <w:p w:rsidR="00851B9D" w:rsidRPr="000A5B5D" w:rsidRDefault="00851B9D" w:rsidP="00851B9D">
            <w:pPr>
              <w:widowControl/>
              <w:jc w:val="right"/>
              <w:rPr>
                <w:rFonts w:ascii="Arial Narrow" w:hAnsi="Arial Narrow" w:cs="Arial"/>
                <w:kern w:val="0"/>
              </w:rPr>
            </w:pPr>
          </w:p>
        </w:tc>
        <w:tc>
          <w:tcPr>
            <w:tcW w:w="1310" w:type="dxa"/>
            <w:vAlign w:val="center"/>
          </w:tcPr>
          <w:p w:rsidR="00851B9D" w:rsidRPr="000A5B5D" w:rsidRDefault="00851B9D" w:rsidP="00851B9D">
            <w:pPr>
              <w:widowControl/>
              <w:jc w:val="right"/>
              <w:rPr>
                <w:rFonts w:ascii="Arial Narrow" w:hAnsi="Arial Narrow" w:cs="Arial"/>
                <w:kern w:val="0"/>
              </w:rPr>
            </w:pPr>
          </w:p>
        </w:tc>
        <w:tc>
          <w:tcPr>
            <w:tcW w:w="1331" w:type="dxa"/>
            <w:vAlign w:val="center"/>
          </w:tcPr>
          <w:p w:rsidR="00851B9D" w:rsidRPr="000A5B5D" w:rsidRDefault="00851B9D" w:rsidP="00851B9D">
            <w:pPr>
              <w:widowControl/>
              <w:jc w:val="right"/>
              <w:rPr>
                <w:rFonts w:ascii="Arial Narrow" w:hAnsi="Arial Narrow" w:cs="Arial"/>
                <w:kern w:val="0"/>
              </w:rPr>
            </w:pPr>
          </w:p>
        </w:tc>
        <w:tc>
          <w:tcPr>
            <w:tcW w:w="1186" w:type="dxa"/>
            <w:vAlign w:val="center"/>
          </w:tcPr>
          <w:p w:rsidR="00851B9D" w:rsidRPr="000A5B5D" w:rsidRDefault="00851B9D" w:rsidP="00851B9D">
            <w:pPr>
              <w:widowControl/>
              <w:jc w:val="right"/>
              <w:rPr>
                <w:rFonts w:ascii="Arial Narrow" w:hAnsi="Arial Narrow" w:cs="Arial"/>
                <w:kern w:val="0"/>
              </w:rPr>
            </w:pPr>
          </w:p>
        </w:tc>
        <w:tc>
          <w:tcPr>
            <w:tcW w:w="1134" w:type="dxa"/>
            <w:vAlign w:val="center"/>
          </w:tcPr>
          <w:p w:rsidR="00851B9D" w:rsidRPr="000A5B5D" w:rsidRDefault="00851B9D" w:rsidP="00851B9D">
            <w:pPr>
              <w:widowControl/>
              <w:jc w:val="right"/>
              <w:rPr>
                <w:rFonts w:ascii="Arial Narrow" w:hAnsi="Arial Narrow" w:cs="Arial"/>
                <w:kern w:val="0"/>
              </w:rPr>
            </w:pPr>
          </w:p>
        </w:tc>
        <w:tc>
          <w:tcPr>
            <w:tcW w:w="1373" w:type="dxa"/>
            <w:vAlign w:val="center"/>
          </w:tcPr>
          <w:p w:rsidR="00851B9D" w:rsidRPr="000A5B5D" w:rsidRDefault="00851B9D" w:rsidP="00851B9D">
            <w:pPr>
              <w:widowControl/>
              <w:jc w:val="right"/>
              <w:rPr>
                <w:rFonts w:ascii="Arial Narrow" w:hAnsi="Arial Narrow" w:cs="Arial"/>
                <w:kern w:val="0"/>
              </w:rPr>
            </w:pPr>
          </w:p>
        </w:tc>
      </w:tr>
      <w:tr w:rsidR="00851B9D" w:rsidRPr="000A5B5D" w:rsidTr="00851B9D">
        <w:trPr>
          <w:trHeight w:val="397"/>
        </w:trPr>
        <w:tc>
          <w:tcPr>
            <w:tcW w:w="1437"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1</w:t>
            </w:r>
            <w:r w:rsidRPr="000A5B5D">
              <w:rPr>
                <w:rFonts w:ascii="Arial Narrow" w:hAnsi="Arial Narrow" w:cs="Arial" w:hint="eastAsia"/>
                <w:kern w:val="0"/>
              </w:rPr>
              <w:t>、年末账面价值</w:t>
            </w:r>
          </w:p>
        </w:tc>
        <w:tc>
          <w:tcPr>
            <w:tcW w:w="12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1,071,706,206.62 </w:t>
            </w:r>
          </w:p>
        </w:tc>
        <w:tc>
          <w:tcPr>
            <w:tcW w:w="131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794,934,456.91 </w:t>
            </w:r>
          </w:p>
        </w:tc>
        <w:tc>
          <w:tcPr>
            <w:tcW w:w="133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7,727,888,755.19 </w:t>
            </w:r>
          </w:p>
        </w:tc>
        <w:tc>
          <w:tcPr>
            <w:tcW w:w="118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12,122,265.16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20,768,199.92 </w:t>
            </w:r>
          </w:p>
        </w:tc>
        <w:tc>
          <w:tcPr>
            <w:tcW w:w="13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9,627,419,883.80 </w:t>
            </w:r>
          </w:p>
        </w:tc>
      </w:tr>
      <w:tr w:rsidR="00851B9D" w:rsidRPr="000A5B5D" w:rsidTr="00851B9D">
        <w:trPr>
          <w:trHeight w:val="397"/>
        </w:trPr>
        <w:tc>
          <w:tcPr>
            <w:tcW w:w="1437" w:type="dxa"/>
            <w:tcBorders>
              <w:bottom w:val="single" w:sz="12" w:space="0" w:color="auto"/>
            </w:tcBorders>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2</w:t>
            </w:r>
            <w:r w:rsidRPr="000A5B5D">
              <w:rPr>
                <w:rFonts w:ascii="Arial Narrow" w:hAnsi="Arial Narrow" w:cs="Arial" w:hint="eastAsia"/>
                <w:kern w:val="0"/>
              </w:rPr>
              <w:t>、年初账面价值</w:t>
            </w:r>
          </w:p>
        </w:tc>
        <w:tc>
          <w:tcPr>
            <w:tcW w:w="128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1,076,257,402.69 </w:t>
            </w:r>
          </w:p>
        </w:tc>
        <w:tc>
          <w:tcPr>
            <w:tcW w:w="131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852,603,418.64 </w:t>
            </w:r>
          </w:p>
        </w:tc>
        <w:tc>
          <w:tcPr>
            <w:tcW w:w="133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8,478,251,671.84 </w:t>
            </w:r>
          </w:p>
        </w:tc>
        <w:tc>
          <w:tcPr>
            <w:tcW w:w="118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18,053,340.21 </w:t>
            </w:r>
          </w:p>
        </w:tc>
        <w:tc>
          <w:tcPr>
            <w:tcW w:w="113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25,698,611.04 </w:t>
            </w:r>
          </w:p>
        </w:tc>
        <w:tc>
          <w:tcPr>
            <w:tcW w:w="1373"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10,450,864,444.42 </w:t>
            </w:r>
          </w:p>
        </w:tc>
      </w:tr>
    </w:tbl>
    <w:p w:rsidR="00851B9D" w:rsidRPr="000A5B5D" w:rsidRDefault="00851B9D" w:rsidP="00851B9D">
      <w:pPr>
        <w:tabs>
          <w:tab w:val="left" w:pos="9000"/>
          <w:tab w:val="left" w:pos="9180"/>
        </w:tabs>
        <w:spacing w:line="400" w:lineRule="exact"/>
        <w:ind w:firstLineChars="200" w:firstLine="480"/>
        <w:jc w:val="left"/>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）通过融资租赁租入的固定资产情况</w:t>
      </w:r>
    </w:p>
    <w:tbl>
      <w:tblPr>
        <w:tblW w:w="9086" w:type="dxa"/>
        <w:tblInd w:w="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568"/>
        <w:gridCol w:w="2492"/>
        <w:gridCol w:w="1917"/>
        <w:gridCol w:w="1736"/>
        <w:gridCol w:w="1373"/>
      </w:tblGrid>
      <w:tr w:rsidR="00851B9D" w:rsidRPr="000A5B5D" w:rsidTr="00851B9D">
        <w:trPr>
          <w:trHeight w:val="397"/>
          <w:tblHeader/>
        </w:trPr>
        <w:tc>
          <w:tcPr>
            <w:tcW w:w="156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49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账面原值</w:t>
            </w:r>
          </w:p>
        </w:tc>
        <w:tc>
          <w:tcPr>
            <w:tcW w:w="19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累计折旧</w:t>
            </w:r>
          </w:p>
        </w:tc>
        <w:tc>
          <w:tcPr>
            <w:tcW w:w="173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减值准备</w:t>
            </w:r>
          </w:p>
        </w:tc>
        <w:tc>
          <w:tcPr>
            <w:tcW w:w="137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rPr>
        <w:tc>
          <w:tcPr>
            <w:tcW w:w="156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运输工具</w:t>
            </w:r>
          </w:p>
        </w:tc>
        <w:tc>
          <w:tcPr>
            <w:tcW w:w="249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1,069,802.61 </w:t>
            </w:r>
          </w:p>
        </w:tc>
        <w:tc>
          <w:tcPr>
            <w:tcW w:w="191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474,279.17 </w:t>
            </w:r>
          </w:p>
        </w:tc>
        <w:tc>
          <w:tcPr>
            <w:tcW w:w="173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37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595,523.45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在建工程</w:t>
      </w:r>
    </w:p>
    <w:p w:rsidR="00851B9D" w:rsidRPr="000A5B5D" w:rsidRDefault="00851B9D" w:rsidP="00851B9D">
      <w:pPr>
        <w:tabs>
          <w:tab w:val="left" w:pos="600"/>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）在建工程情况</w:t>
      </w:r>
    </w:p>
    <w:tbl>
      <w:tblPr>
        <w:tblW w:w="9053"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862"/>
        <w:gridCol w:w="1197"/>
        <w:gridCol w:w="773"/>
        <w:gridCol w:w="1189"/>
        <w:gridCol w:w="1236"/>
        <w:gridCol w:w="584"/>
        <w:gridCol w:w="1212"/>
      </w:tblGrid>
      <w:tr w:rsidR="00851B9D" w:rsidRPr="000A5B5D" w:rsidTr="00851B9D">
        <w:trPr>
          <w:trHeight w:val="397"/>
          <w:tblHeader/>
          <w:jc w:val="center"/>
        </w:trPr>
        <w:tc>
          <w:tcPr>
            <w:tcW w:w="2862"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项</w:t>
            </w:r>
            <w:r w:rsidRPr="000A5B5D">
              <w:rPr>
                <w:rFonts w:ascii="Arial Narrow" w:hAnsi="Arial Narrow" w:cs="Arial"/>
                <w:kern w:val="0"/>
              </w:rPr>
              <w:t xml:space="preserve">  </w:t>
            </w:r>
            <w:r w:rsidRPr="000A5B5D">
              <w:rPr>
                <w:rFonts w:ascii="Arial Narrow" w:hAnsi="Arial Narrow" w:cs="Arial" w:hint="eastAsia"/>
                <w:kern w:val="0"/>
              </w:rPr>
              <w:t>目</w:t>
            </w:r>
          </w:p>
        </w:tc>
        <w:tc>
          <w:tcPr>
            <w:tcW w:w="3159"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年末余额</w:t>
            </w:r>
          </w:p>
        </w:tc>
        <w:tc>
          <w:tcPr>
            <w:tcW w:w="3032"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年初余额</w:t>
            </w:r>
          </w:p>
        </w:tc>
      </w:tr>
      <w:tr w:rsidR="00851B9D" w:rsidRPr="000A5B5D" w:rsidTr="00851B9D">
        <w:trPr>
          <w:trHeight w:val="397"/>
          <w:tblHeader/>
          <w:jc w:val="center"/>
        </w:trPr>
        <w:tc>
          <w:tcPr>
            <w:tcW w:w="2862" w:type="dxa"/>
            <w:vMerge/>
            <w:vAlign w:val="center"/>
          </w:tcPr>
          <w:p w:rsidR="00851B9D" w:rsidRPr="000A5B5D" w:rsidRDefault="00851B9D" w:rsidP="00851B9D">
            <w:pPr>
              <w:widowControl/>
              <w:jc w:val="center"/>
              <w:rPr>
                <w:rFonts w:ascii="Arial Narrow" w:hAnsi="Arial Narrow" w:cs="Arial"/>
                <w:kern w:val="0"/>
              </w:rPr>
            </w:pPr>
          </w:p>
        </w:tc>
        <w:tc>
          <w:tcPr>
            <w:tcW w:w="1197"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账面余额</w:t>
            </w:r>
          </w:p>
        </w:tc>
        <w:tc>
          <w:tcPr>
            <w:tcW w:w="773"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减值</w:t>
            </w:r>
          </w:p>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准备</w:t>
            </w:r>
          </w:p>
        </w:tc>
        <w:tc>
          <w:tcPr>
            <w:tcW w:w="1189"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账面价值</w:t>
            </w:r>
          </w:p>
        </w:tc>
        <w:tc>
          <w:tcPr>
            <w:tcW w:w="1236"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账面余额</w:t>
            </w:r>
          </w:p>
        </w:tc>
        <w:tc>
          <w:tcPr>
            <w:tcW w:w="584"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减值准备</w:t>
            </w:r>
          </w:p>
        </w:tc>
        <w:tc>
          <w:tcPr>
            <w:tcW w:w="1212"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账面价值</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rPr>
              <w:t>Brunei PX Project</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766,507,953.34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766,507,953.34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496,114,052.85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496,114,052.85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rPr>
              <w:t>PTA</w:t>
            </w:r>
            <w:r w:rsidRPr="000A5B5D">
              <w:rPr>
                <w:rFonts w:ascii="Arial Narrow" w:hAnsi="Arial Narrow" w:cs="Arial" w:hint="eastAsia"/>
              </w:rPr>
              <w:t>节能减排技改工程</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66,947,911.34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66,947,911.34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6,417,592.75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6,417,592.75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能量循环综合利用项目</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20,763,612.99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20,763,612.99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rPr>
              <w:lastRenderedPageBreak/>
              <w:t>7</w:t>
            </w:r>
            <w:r w:rsidRPr="000A5B5D">
              <w:rPr>
                <w:rFonts w:ascii="Arial Narrow" w:hAnsi="Arial Narrow" w:cs="Arial" w:hint="eastAsia"/>
              </w:rPr>
              <w:t>套水煤浆炉改造</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3,700,000.00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3,700,000.00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rPr>
              <w:t>540</w:t>
            </w:r>
            <w:r w:rsidRPr="000A5B5D">
              <w:rPr>
                <w:rFonts w:ascii="Arial Narrow" w:hAnsi="Arial Narrow" w:cs="Arial" w:hint="eastAsia"/>
              </w:rPr>
              <w:t>万张</w:t>
            </w:r>
            <w:r w:rsidRPr="000A5B5D">
              <w:rPr>
                <w:rFonts w:ascii="Arial Narrow" w:hAnsi="Arial Narrow" w:cs="Arial"/>
              </w:rPr>
              <w:t>EPS</w:t>
            </w:r>
            <w:r w:rsidRPr="000A5B5D">
              <w:rPr>
                <w:rFonts w:ascii="Arial Narrow" w:hAnsi="Arial Narrow" w:cs="Arial" w:hint="eastAsia"/>
              </w:rPr>
              <w:t>泡沫板辅助生产车间</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1,860,000.00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1,860,000.00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五、六车间网络提升改造</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巴马格</w:t>
            </w:r>
            <w:r w:rsidRPr="000A5B5D">
              <w:rPr>
                <w:rFonts w:ascii="Arial Narrow" w:hAnsi="Arial Narrow" w:cs="Arial"/>
              </w:rPr>
              <w:t>M</w:t>
            </w:r>
            <w:r w:rsidRPr="000A5B5D">
              <w:rPr>
                <w:rFonts w:ascii="Arial Narrow" w:hAnsi="Arial Narrow" w:cs="Arial" w:hint="eastAsia"/>
              </w:rPr>
              <w:t>型</w:t>
            </w:r>
            <w:r w:rsidRPr="000A5B5D">
              <w:rPr>
                <w:rFonts w:ascii="Arial Narrow" w:hAnsi="Arial Narrow" w:cs="Arial"/>
              </w:rPr>
              <w:t>288</w:t>
            </w:r>
            <w:r w:rsidRPr="000A5B5D">
              <w:rPr>
                <w:rFonts w:ascii="Arial Narrow" w:hAnsi="Arial Narrow" w:cs="Arial" w:hint="eastAsia"/>
              </w:rPr>
              <w:t>锭加弹机</w:t>
            </w:r>
            <w:r w:rsidRPr="000A5B5D">
              <w:rPr>
                <w:rFonts w:ascii="Arial Narrow" w:hAnsi="Arial Narrow" w:cs="Arial"/>
              </w:rPr>
              <w:t>10</w:t>
            </w:r>
            <w:r w:rsidRPr="000A5B5D">
              <w:rPr>
                <w:rFonts w:ascii="Arial Narrow" w:hAnsi="Arial Narrow" w:cs="Arial" w:hint="eastAsia"/>
              </w:rPr>
              <w:t>台</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rPr>
              <w:t>3.3</w:t>
            </w:r>
            <w:r w:rsidRPr="000A5B5D">
              <w:rPr>
                <w:rFonts w:ascii="Arial Narrow" w:hAnsi="Arial Narrow" w:cs="Arial" w:hint="eastAsia"/>
              </w:rPr>
              <w:t>万吨产业用功能性纤维技术改造项目（</w:t>
            </w:r>
            <w:r w:rsidRPr="000A5B5D">
              <w:rPr>
                <w:rFonts w:ascii="Arial Narrow" w:hAnsi="Arial Narrow" w:cs="Arial"/>
              </w:rPr>
              <w:t>A9</w:t>
            </w:r>
            <w:r w:rsidRPr="000A5B5D">
              <w:rPr>
                <w:rFonts w:ascii="Arial Narrow" w:hAnsi="Arial Narrow" w:cs="Arial" w:hint="eastAsia"/>
              </w:rPr>
              <w:t>）线</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11,818,082.14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11,818,082.14 </w:t>
            </w:r>
          </w:p>
        </w:tc>
      </w:tr>
      <w:tr w:rsidR="00851B9D" w:rsidRPr="000A5B5D" w:rsidTr="00851B9D">
        <w:trPr>
          <w:trHeight w:val="397"/>
          <w:jc w:val="center"/>
        </w:trPr>
        <w:tc>
          <w:tcPr>
            <w:tcW w:w="286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其他</w:t>
            </w:r>
          </w:p>
        </w:tc>
        <w:tc>
          <w:tcPr>
            <w:tcW w:w="119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68,189,346.92 </w:t>
            </w:r>
          </w:p>
        </w:tc>
        <w:tc>
          <w:tcPr>
            <w:tcW w:w="7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68,189,346.92 </w:t>
            </w:r>
          </w:p>
        </w:tc>
        <w:tc>
          <w:tcPr>
            <w:tcW w:w="12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69,507,570.51 </w:t>
            </w:r>
          </w:p>
        </w:tc>
        <w:tc>
          <w:tcPr>
            <w:tcW w:w="58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69,507,570.51 </w:t>
            </w:r>
          </w:p>
        </w:tc>
      </w:tr>
      <w:tr w:rsidR="00851B9D" w:rsidRPr="000A5B5D" w:rsidTr="00851B9D">
        <w:trPr>
          <w:trHeight w:val="397"/>
          <w:jc w:val="center"/>
        </w:trPr>
        <w:tc>
          <w:tcPr>
            <w:tcW w:w="2862"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1197"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927,968,824.59 </w:t>
            </w:r>
          </w:p>
        </w:tc>
        <w:tc>
          <w:tcPr>
            <w:tcW w:w="773"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89"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927,968,824.59 </w:t>
            </w:r>
          </w:p>
        </w:tc>
        <w:tc>
          <w:tcPr>
            <w:tcW w:w="123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583,857,298.25 </w:t>
            </w:r>
          </w:p>
        </w:tc>
        <w:tc>
          <w:tcPr>
            <w:tcW w:w="58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1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583,857,298.25 </w:t>
            </w:r>
          </w:p>
        </w:tc>
      </w:tr>
    </w:tbl>
    <w:p w:rsidR="00851B9D" w:rsidRPr="000A5B5D" w:rsidRDefault="00851B9D" w:rsidP="00851B9D">
      <w:pPr>
        <w:tabs>
          <w:tab w:val="left" w:pos="360"/>
          <w:tab w:val="left" w:pos="540"/>
        </w:tabs>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2</w:t>
      </w:r>
      <w:r w:rsidRPr="000A5B5D">
        <w:rPr>
          <w:rFonts w:ascii="Arial" w:hAnsi="Arial" w:cs="Arial" w:hint="eastAsia"/>
          <w:bCs/>
          <w:sz w:val="24"/>
        </w:rPr>
        <w:t>）重要在建工程项目本年变动情况</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269"/>
        <w:gridCol w:w="967"/>
        <w:gridCol w:w="1301"/>
        <w:gridCol w:w="1275"/>
        <w:gridCol w:w="1276"/>
        <w:gridCol w:w="992"/>
        <w:gridCol w:w="1134"/>
      </w:tblGrid>
      <w:tr w:rsidR="00851B9D" w:rsidRPr="000A5B5D" w:rsidTr="00851B9D">
        <w:trPr>
          <w:trHeight w:val="397"/>
        </w:trPr>
        <w:tc>
          <w:tcPr>
            <w:tcW w:w="2269"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项目名称</w:t>
            </w:r>
          </w:p>
        </w:tc>
        <w:tc>
          <w:tcPr>
            <w:tcW w:w="967"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预算数（万元）</w:t>
            </w:r>
          </w:p>
        </w:tc>
        <w:tc>
          <w:tcPr>
            <w:tcW w:w="1301"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年初余额</w:t>
            </w:r>
          </w:p>
        </w:tc>
        <w:tc>
          <w:tcPr>
            <w:tcW w:w="1275"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本年增加</w:t>
            </w:r>
          </w:p>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金额</w:t>
            </w:r>
          </w:p>
        </w:tc>
        <w:tc>
          <w:tcPr>
            <w:tcW w:w="1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本年转入固定资产金额</w:t>
            </w:r>
          </w:p>
        </w:tc>
        <w:tc>
          <w:tcPr>
            <w:tcW w:w="992"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本年其他减少金额</w:t>
            </w:r>
          </w:p>
        </w:tc>
        <w:tc>
          <w:tcPr>
            <w:tcW w:w="1134"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年末余额</w:t>
            </w:r>
          </w:p>
        </w:tc>
      </w:tr>
      <w:tr w:rsidR="00851B9D" w:rsidRPr="000A5B5D" w:rsidTr="00851B9D">
        <w:trPr>
          <w:trHeight w:val="397"/>
        </w:trPr>
        <w:tc>
          <w:tcPr>
            <w:tcW w:w="2269" w:type="dxa"/>
            <w:vAlign w:val="center"/>
          </w:tcPr>
          <w:p w:rsidR="00851B9D" w:rsidRPr="000A5B5D" w:rsidDel="004C7151" w:rsidRDefault="00851B9D" w:rsidP="00851B9D">
            <w:pPr>
              <w:rPr>
                <w:rFonts w:ascii="Arial Narrow" w:hAnsi="Arial Narrow" w:cs="Arial"/>
              </w:rPr>
            </w:pPr>
            <w:r w:rsidRPr="000A5B5D">
              <w:rPr>
                <w:rFonts w:ascii="Arial Narrow" w:hAnsi="Arial Narrow" w:cs="Arial"/>
              </w:rPr>
              <w:t>Brunei PX Project</w:t>
            </w:r>
          </w:p>
        </w:tc>
        <w:tc>
          <w:tcPr>
            <w:tcW w:w="967"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$325,285.20 </w:t>
            </w:r>
          </w:p>
        </w:tc>
        <w:tc>
          <w:tcPr>
            <w:tcW w:w="1301"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496,114,052.85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270,393,900.49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766,507,953.34 </w:t>
            </w:r>
          </w:p>
        </w:tc>
      </w:tr>
      <w:tr w:rsidR="00851B9D" w:rsidRPr="000A5B5D" w:rsidTr="00851B9D">
        <w:trPr>
          <w:trHeight w:val="397"/>
        </w:trPr>
        <w:tc>
          <w:tcPr>
            <w:tcW w:w="2269" w:type="dxa"/>
            <w:vAlign w:val="center"/>
          </w:tcPr>
          <w:p w:rsidR="00851B9D" w:rsidRPr="000A5B5D" w:rsidRDefault="00851B9D" w:rsidP="00851B9D">
            <w:pPr>
              <w:rPr>
                <w:rFonts w:ascii="Arial Narrow" w:hAnsi="Arial Narrow" w:cs="Arial"/>
              </w:rPr>
            </w:pPr>
            <w:r w:rsidRPr="000A5B5D">
              <w:rPr>
                <w:rFonts w:ascii="Arial Narrow" w:hAnsi="Arial Narrow" w:cs="Arial"/>
              </w:rPr>
              <w:t>PTA</w:t>
            </w:r>
            <w:r w:rsidRPr="000A5B5D">
              <w:rPr>
                <w:rFonts w:ascii="Arial Narrow" w:hAnsi="Arial Narrow" w:cs="Arial" w:hint="eastAsia"/>
              </w:rPr>
              <w:t>节能减排技改工程</w:t>
            </w:r>
          </w:p>
        </w:tc>
        <w:tc>
          <w:tcPr>
            <w:tcW w:w="96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7,000.00</w:t>
            </w:r>
          </w:p>
        </w:tc>
        <w:tc>
          <w:tcPr>
            <w:tcW w:w="130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6,417,592.75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60,530,318.59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66,947,911.34 </w:t>
            </w:r>
          </w:p>
        </w:tc>
      </w:tr>
      <w:tr w:rsidR="00851B9D" w:rsidRPr="000A5B5D" w:rsidTr="00851B9D">
        <w:trPr>
          <w:trHeight w:val="397"/>
        </w:trPr>
        <w:tc>
          <w:tcPr>
            <w:tcW w:w="2269"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能量循环综合利用项目</w:t>
            </w:r>
          </w:p>
        </w:tc>
        <w:tc>
          <w:tcPr>
            <w:tcW w:w="96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6,850.00 </w:t>
            </w:r>
          </w:p>
        </w:tc>
        <w:tc>
          <w:tcPr>
            <w:tcW w:w="130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20,763,612.99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20,763,612.99 </w:t>
            </w:r>
          </w:p>
        </w:tc>
      </w:tr>
      <w:tr w:rsidR="00851B9D" w:rsidRPr="000A5B5D" w:rsidTr="00851B9D">
        <w:trPr>
          <w:trHeight w:val="397"/>
        </w:trPr>
        <w:tc>
          <w:tcPr>
            <w:tcW w:w="2269" w:type="dxa"/>
            <w:vAlign w:val="center"/>
          </w:tcPr>
          <w:p w:rsidR="00851B9D" w:rsidRPr="000A5B5D" w:rsidDel="004C7151" w:rsidRDefault="00851B9D" w:rsidP="00851B9D">
            <w:pPr>
              <w:rPr>
                <w:rFonts w:ascii="Arial Narrow" w:hAnsi="Arial Narrow" w:cs="Arial"/>
              </w:rPr>
            </w:pPr>
            <w:r w:rsidRPr="000A5B5D">
              <w:rPr>
                <w:rFonts w:ascii="Arial Narrow" w:hAnsi="Arial Narrow" w:cs="Arial"/>
              </w:rPr>
              <w:t>7</w:t>
            </w:r>
            <w:r w:rsidRPr="000A5B5D">
              <w:rPr>
                <w:rFonts w:ascii="Arial Narrow" w:hAnsi="Arial Narrow" w:cs="Arial" w:hint="eastAsia"/>
              </w:rPr>
              <w:t>套水煤浆炉改造</w:t>
            </w:r>
          </w:p>
        </w:tc>
        <w:tc>
          <w:tcPr>
            <w:tcW w:w="967"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1,850.00 </w:t>
            </w:r>
          </w:p>
        </w:tc>
        <w:tc>
          <w:tcPr>
            <w:tcW w:w="1301"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3,700,000.00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3,700,000.00 </w:t>
            </w:r>
          </w:p>
        </w:tc>
      </w:tr>
      <w:tr w:rsidR="00851B9D" w:rsidRPr="000A5B5D" w:rsidTr="00851B9D">
        <w:trPr>
          <w:trHeight w:val="397"/>
        </w:trPr>
        <w:tc>
          <w:tcPr>
            <w:tcW w:w="2269" w:type="dxa"/>
            <w:vAlign w:val="center"/>
          </w:tcPr>
          <w:p w:rsidR="00851B9D" w:rsidRPr="000A5B5D" w:rsidDel="004C7151" w:rsidRDefault="00851B9D" w:rsidP="00851B9D">
            <w:pPr>
              <w:rPr>
                <w:rFonts w:ascii="Arial Narrow" w:hAnsi="Arial Narrow" w:cs="Arial"/>
              </w:rPr>
            </w:pPr>
            <w:r w:rsidRPr="000A5B5D">
              <w:rPr>
                <w:rFonts w:ascii="Arial Narrow" w:hAnsi="Arial Narrow" w:cs="Arial"/>
              </w:rPr>
              <w:t>540</w:t>
            </w:r>
            <w:r w:rsidRPr="000A5B5D">
              <w:rPr>
                <w:rFonts w:ascii="Arial Narrow" w:hAnsi="Arial Narrow" w:cs="Arial" w:hint="eastAsia"/>
              </w:rPr>
              <w:t>万张</w:t>
            </w:r>
            <w:r w:rsidRPr="000A5B5D">
              <w:rPr>
                <w:rFonts w:ascii="Arial Narrow" w:hAnsi="Arial Narrow" w:cs="Arial"/>
              </w:rPr>
              <w:t>EPS</w:t>
            </w:r>
            <w:r w:rsidRPr="000A5B5D">
              <w:rPr>
                <w:rFonts w:ascii="Arial Narrow" w:hAnsi="Arial Narrow" w:cs="Arial" w:hint="eastAsia"/>
              </w:rPr>
              <w:t>泡沫板辅助生产车间</w:t>
            </w:r>
          </w:p>
        </w:tc>
        <w:tc>
          <w:tcPr>
            <w:tcW w:w="967"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310.30 </w:t>
            </w:r>
          </w:p>
        </w:tc>
        <w:tc>
          <w:tcPr>
            <w:tcW w:w="1301"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1,860,000.00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1,860,000.00 </w:t>
            </w:r>
          </w:p>
        </w:tc>
      </w:tr>
      <w:tr w:rsidR="00851B9D" w:rsidRPr="000A5B5D" w:rsidTr="00851B9D">
        <w:trPr>
          <w:trHeight w:val="397"/>
        </w:trPr>
        <w:tc>
          <w:tcPr>
            <w:tcW w:w="2269"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五、六车间网络提升改造</w:t>
            </w:r>
          </w:p>
        </w:tc>
        <w:tc>
          <w:tcPr>
            <w:tcW w:w="96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299.00 </w:t>
            </w:r>
          </w:p>
        </w:tc>
        <w:tc>
          <w:tcPr>
            <w:tcW w:w="130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2,653,875.89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2,653,875.89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2269"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巴马格</w:t>
            </w:r>
            <w:r w:rsidRPr="000A5B5D">
              <w:rPr>
                <w:rFonts w:ascii="Arial Narrow" w:hAnsi="Arial Narrow" w:cs="Arial"/>
              </w:rPr>
              <w:t>M</w:t>
            </w:r>
            <w:r w:rsidRPr="000A5B5D">
              <w:rPr>
                <w:rFonts w:ascii="Arial Narrow" w:hAnsi="Arial Narrow" w:cs="Arial" w:hint="eastAsia"/>
              </w:rPr>
              <w:t>型</w:t>
            </w:r>
            <w:r w:rsidRPr="000A5B5D">
              <w:rPr>
                <w:rFonts w:ascii="Arial Narrow" w:hAnsi="Arial Narrow" w:cs="Arial"/>
              </w:rPr>
              <w:t>288</w:t>
            </w:r>
            <w:r w:rsidRPr="000A5B5D">
              <w:rPr>
                <w:rFonts w:ascii="Arial Narrow" w:hAnsi="Arial Narrow" w:cs="Arial" w:hint="eastAsia"/>
              </w:rPr>
              <w:t>锭加弹机</w:t>
            </w:r>
            <w:r w:rsidRPr="000A5B5D">
              <w:rPr>
                <w:rFonts w:ascii="Arial Narrow" w:hAnsi="Arial Narrow" w:cs="Arial"/>
              </w:rPr>
              <w:t>10</w:t>
            </w:r>
            <w:r w:rsidRPr="000A5B5D">
              <w:rPr>
                <w:rFonts w:ascii="Arial Narrow" w:hAnsi="Arial Narrow" w:cs="Arial" w:hint="eastAsia"/>
              </w:rPr>
              <w:t>台</w:t>
            </w:r>
          </w:p>
        </w:tc>
        <w:tc>
          <w:tcPr>
            <w:tcW w:w="96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2,658.00 </w:t>
            </w:r>
          </w:p>
        </w:tc>
        <w:tc>
          <w:tcPr>
            <w:tcW w:w="130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21,648,667.09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21,648,667.09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2269" w:type="dxa"/>
            <w:vAlign w:val="center"/>
          </w:tcPr>
          <w:p w:rsidR="00851B9D" w:rsidRPr="000A5B5D" w:rsidRDefault="00851B9D" w:rsidP="00851B9D">
            <w:pPr>
              <w:rPr>
                <w:rFonts w:ascii="Arial Narrow" w:hAnsi="Arial Narrow" w:cs="Arial"/>
              </w:rPr>
            </w:pPr>
            <w:r w:rsidRPr="000A5B5D">
              <w:rPr>
                <w:rFonts w:ascii="Arial Narrow" w:hAnsi="Arial Narrow" w:cs="Arial"/>
              </w:rPr>
              <w:t>3.3</w:t>
            </w:r>
            <w:r w:rsidRPr="000A5B5D">
              <w:rPr>
                <w:rFonts w:ascii="Arial Narrow" w:hAnsi="Arial Narrow" w:cs="Arial" w:hint="eastAsia"/>
              </w:rPr>
              <w:t>万吨产业用功能性纤维技术改造项目（</w:t>
            </w:r>
            <w:r w:rsidRPr="000A5B5D">
              <w:rPr>
                <w:rFonts w:ascii="Arial Narrow" w:hAnsi="Arial Narrow" w:cs="Arial"/>
              </w:rPr>
              <w:t>A9</w:t>
            </w:r>
            <w:r w:rsidRPr="000A5B5D">
              <w:rPr>
                <w:rFonts w:ascii="Arial Narrow" w:hAnsi="Arial Narrow" w:cs="Arial" w:hint="eastAsia"/>
              </w:rPr>
              <w:t>）线</w:t>
            </w:r>
          </w:p>
        </w:tc>
        <w:tc>
          <w:tcPr>
            <w:tcW w:w="96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3,800.00 </w:t>
            </w:r>
          </w:p>
        </w:tc>
        <w:tc>
          <w:tcPr>
            <w:tcW w:w="130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11,818,082.14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23,815,096.01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35,633,178.15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2269" w:type="dxa"/>
            <w:vAlign w:val="center"/>
          </w:tcPr>
          <w:p w:rsidR="00851B9D" w:rsidRPr="000A5B5D" w:rsidDel="004C7151" w:rsidRDefault="00851B9D" w:rsidP="00851B9D">
            <w:pPr>
              <w:rPr>
                <w:rFonts w:ascii="Arial Narrow" w:hAnsi="Arial Narrow" w:cs="Arial"/>
              </w:rPr>
            </w:pPr>
            <w:r w:rsidRPr="000A5B5D">
              <w:rPr>
                <w:rFonts w:ascii="Arial Narrow" w:hAnsi="Arial Narrow" w:cs="Arial" w:hint="eastAsia"/>
              </w:rPr>
              <w:t>其他</w:t>
            </w:r>
          </w:p>
        </w:tc>
        <w:tc>
          <w:tcPr>
            <w:tcW w:w="967"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0.00</w:t>
            </w:r>
            <w:r w:rsidRPr="000A5B5D">
              <w:rPr>
                <w:rFonts w:ascii="Arial Narrow" w:hAnsi="Arial Narrow" w:cs="Arial" w:hint="eastAsia"/>
              </w:rPr>
              <w:t xml:space="preserve">　</w:t>
            </w:r>
          </w:p>
        </w:tc>
        <w:tc>
          <w:tcPr>
            <w:tcW w:w="1301" w:type="dxa"/>
            <w:vAlign w:val="center"/>
          </w:tcPr>
          <w:p w:rsidR="00851B9D" w:rsidRPr="000A5B5D" w:rsidDel="004C7151" w:rsidRDefault="00851B9D" w:rsidP="00851B9D">
            <w:pPr>
              <w:jc w:val="right"/>
              <w:rPr>
                <w:rFonts w:ascii="Arial Narrow" w:hAnsi="Arial Narrow" w:cs="Arial"/>
              </w:rPr>
            </w:pPr>
            <w:r w:rsidRPr="000A5B5D">
              <w:rPr>
                <w:rFonts w:ascii="Arial Narrow" w:hAnsi="Arial Narrow" w:cs="Arial"/>
              </w:rPr>
              <w:t xml:space="preserve">69,507,570.51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6,001,155.16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7,319,378.75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68,189,346.92 </w:t>
            </w:r>
          </w:p>
        </w:tc>
      </w:tr>
      <w:tr w:rsidR="00851B9D" w:rsidRPr="000A5B5D" w:rsidTr="00851B9D">
        <w:trPr>
          <w:trHeight w:val="397"/>
        </w:trPr>
        <w:tc>
          <w:tcPr>
            <w:tcW w:w="2269"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967"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130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583,857,298.25 </w:t>
            </w:r>
          </w:p>
        </w:tc>
        <w:tc>
          <w:tcPr>
            <w:tcW w:w="127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411,366,626.22  </w:t>
            </w:r>
          </w:p>
        </w:tc>
        <w:tc>
          <w:tcPr>
            <w:tcW w:w="127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67,255,099.88 </w:t>
            </w:r>
          </w:p>
        </w:tc>
        <w:tc>
          <w:tcPr>
            <w:tcW w:w="99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927,968,824.59 </w:t>
            </w:r>
          </w:p>
        </w:tc>
      </w:tr>
    </w:tbl>
    <w:p w:rsidR="00851B9D" w:rsidRPr="000A5B5D" w:rsidRDefault="00851B9D" w:rsidP="00851B9D">
      <w:pPr>
        <w:spacing w:line="400" w:lineRule="exact"/>
        <w:ind w:firstLineChars="200" w:firstLine="360"/>
        <w:rPr>
          <w:rFonts w:ascii="Arial" w:hAnsi="Arial" w:cs="Arial"/>
        </w:rPr>
      </w:pPr>
      <w:r w:rsidRPr="000A5B5D">
        <w:rPr>
          <w:rFonts w:ascii="Arial" w:hAnsi="Arial" w:cs="Arial" w:hint="eastAsia"/>
        </w:rPr>
        <w:t>（续）</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788"/>
        <w:gridCol w:w="952"/>
        <w:gridCol w:w="797"/>
        <w:gridCol w:w="1275"/>
        <w:gridCol w:w="1276"/>
        <w:gridCol w:w="992"/>
        <w:gridCol w:w="1134"/>
      </w:tblGrid>
      <w:tr w:rsidR="00851B9D" w:rsidRPr="000A5B5D" w:rsidTr="00851B9D">
        <w:trPr>
          <w:trHeight w:val="397"/>
          <w:tblHeader/>
        </w:trPr>
        <w:tc>
          <w:tcPr>
            <w:tcW w:w="2788"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工程名称</w:t>
            </w:r>
          </w:p>
        </w:tc>
        <w:tc>
          <w:tcPr>
            <w:tcW w:w="952"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工程累计投入占预算比例</w:t>
            </w:r>
            <w:r w:rsidRPr="000A5B5D">
              <w:rPr>
                <w:rFonts w:ascii="Arial Narrow" w:hAnsi="Arial Narrow" w:cs="Arial"/>
                <w:kern w:val="0"/>
              </w:rPr>
              <w:t>(%)</w:t>
            </w:r>
          </w:p>
        </w:tc>
        <w:tc>
          <w:tcPr>
            <w:tcW w:w="797"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工程</w:t>
            </w:r>
          </w:p>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进度</w:t>
            </w:r>
          </w:p>
        </w:tc>
        <w:tc>
          <w:tcPr>
            <w:tcW w:w="1275"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利息资本化累计金额</w:t>
            </w:r>
          </w:p>
        </w:tc>
        <w:tc>
          <w:tcPr>
            <w:tcW w:w="1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其中：本年利息资本化金额</w:t>
            </w:r>
          </w:p>
        </w:tc>
        <w:tc>
          <w:tcPr>
            <w:tcW w:w="992"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本年利息资本化率</w:t>
            </w:r>
            <w:r w:rsidRPr="000A5B5D">
              <w:rPr>
                <w:rFonts w:ascii="Arial Narrow" w:hAnsi="Arial Narrow" w:cs="Arial"/>
                <w:kern w:val="0"/>
              </w:rPr>
              <w:t>(%)</w:t>
            </w:r>
          </w:p>
        </w:tc>
        <w:tc>
          <w:tcPr>
            <w:tcW w:w="1134"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资金来源</w:t>
            </w:r>
          </w:p>
        </w:tc>
      </w:tr>
      <w:tr w:rsidR="00851B9D" w:rsidRPr="000A5B5D" w:rsidTr="00851B9D">
        <w:trPr>
          <w:trHeight w:val="397"/>
        </w:trPr>
        <w:tc>
          <w:tcPr>
            <w:tcW w:w="2788" w:type="dxa"/>
            <w:vAlign w:val="center"/>
          </w:tcPr>
          <w:p w:rsidR="00851B9D" w:rsidRPr="000A5B5D" w:rsidRDefault="00851B9D" w:rsidP="00851B9D">
            <w:pPr>
              <w:outlineLvl w:val="0"/>
              <w:rPr>
                <w:rFonts w:ascii="Arial Narrow" w:hAnsi="Arial Narrow" w:cs="Arial"/>
              </w:rPr>
            </w:pPr>
            <w:r w:rsidRPr="000A5B5D">
              <w:rPr>
                <w:rFonts w:ascii="Arial Narrow" w:hAnsi="Arial Narrow" w:cs="Arial"/>
              </w:rPr>
              <w:t>Brunei PX Project</w:t>
            </w:r>
          </w:p>
        </w:tc>
        <w:tc>
          <w:tcPr>
            <w:tcW w:w="95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36.29  </w:t>
            </w:r>
          </w:p>
        </w:tc>
        <w:tc>
          <w:tcPr>
            <w:tcW w:w="79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36.29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Del="005415EA" w:rsidRDefault="00851B9D" w:rsidP="00851B9D">
            <w:pPr>
              <w:outlineLvl w:val="0"/>
              <w:rPr>
                <w:rFonts w:ascii="Arial Narrow" w:hAnsi="Arial Narrow" w:cs="Arial"/>
              </w:rPr>
            </w:pPr>
            <w:r w:rsidRPr="000A5B5D">
              <w:rPr>
                <w:rFonts w:ascii="Arial Narrow" w:hAnsi="Arial Narrow" w:cs="Arial"/>
              </w:rPr>
              <w:t>PTA</w:t>
            </w:r>
            <w:r w:rsidRPr="000A5B5D">
              <w:rPr>
                <w:rFonts w:ascii="Arial Narrow" w:hAnsi="Arial Narrow" w:cs="Arial" w:hint="eastAsia"/>
              </w:rPr>
              <w:t>节能减排技改工程</w:t>
            </w:r>
          </w:p>
        </w:tc>
        <w:tc>
          <w:tcPr>
            <w:tcW w:w="952"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95.64  </w:t>
            </w:r>
          </w:p>
        </w:tc>
        <w:tc>
          <w:tcPr>
            <w:tcW w:w="797"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95.64  </w:t>
            </w:r>
          </w:p>
        </w:tc>
        <w:tc>
          <w:tcPr>
            <w:tcW w:w="1275" w:type="dxa"/>
            <w:vAlign w:val="center"/>
          </w:tcPr>
          <w:p w:rsidR="00851B9D" w:rsidRPr="000A5B5D" w:rsidDel="005415EA"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Del="005415EA" w:rsidRDefault="00851B9D" w:rsidP="00851B9D">
            <w:pPr>
              <w:outlineLvl w:val="0"/>
              <w:rPr>
                <w:rFonts w:ascii="Arial Narrow" w:hAnsi="Arial Narrow" w:cs="Arial"/>
              </w:rPr>
            </w:pPr>
            <w:r w:rsidRPr="000A5B5D">
              <w:rPr>
                <w:rFonts w:ascii="Arial Narrow" w:hAnsi="Arial Narrow" w:cs="Arial" w:hint="eastAsia"/>
              </w:rPr>
              <w:t>能量循环综合利用项目</w:t>
            </w:r>
          </w:p>
        </w:tc>
        <w:tc>
          <w:tcPr>
            <w:tcW w:w="952"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30.31 </w:t>
            </w:r>
          </w:p>
        </w:tc>
        <w:tc>
          <w:tcPr>
            <w:tcW w:w="797"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30.31 </w:t>
            </w:r>
          </w:p>
        </w:tc>
        <w:tc>
          <w:tcPr>
            <w:tcW w:w="1275" w:type="dxa"/>
            <w:vAlign w:val="center"/>
          </w:tcPr>
          <w:p w:rsidR="00851B9D" w:rsidRPr="000A5B5D" w:rsidDel="005415EA"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RDefault="00851B9D" w:rsidP="00851B9D">
            <w:pPr>
              <w:outlineLvl w:val="0"/>
              <w:rPr>
                <w:rFonts w:ascii="Arial Narrow" w:hAnsi="Arial Narrow" w:cs="Arial"/>
              </w:rPr>
            </w:pPr>
            <w:r w:rsidRPr="000A5B5D">
              <w:rPr>
                <w:rFonts w:ascii="Arial Narrow" w:hAnsi="Arial Narrow" w:cs="Arial"/>
              </w:rPr>
              <w:t>7</w:t>
            </w:r>
            <w:r w:rsidRPr="000A5B5D">
              <w:rPr>
                <w:rFonts w:ascii="Arial Narrow" w:hAnsi="Arial Narrow" w:cs="Arial" w:hint="eastAsia"/>
              </w:rPr>
              <w:t>套水煤浆炉改造</w:t>
            </w:r>
          </w:p>
        </w:tc>
        <w:tc>
          <w:tcPr>
            <w:tcW w:w="95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20.00 </w:t>
            </w:r>
          </w:p>
        </w:tc>
        <w:tc>
          <w:tcPr>
            <w:tcW w:w="79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RDefault="00851B9D" w:rsidP="00851B9D">
            <w:pPr>
              <w:outlineLvl w:val="0"/>
              <w:rPr>
                <w:rFonts w:ascii="Arial Narrow" w:hAnsi="Arial Narrow" w:cs="Arial"/>
              </w:rPr>
            </w:pPr>
            <w:r w:rsidRPr="000A5B5D">
              <w:rPr>
                <w:rFonts w:ascii="Arial Narrow" w:hAnsi="Arial Narrow" w:cs="Arial"/>
              </w:rPr>
              <w:lastRenderedPageBreak/>
              <w:t>540</w:t>
            </w:r>
            <w:r w:rsidRPr="000A5B5D">
              <w:rPr>
                <w:rFonts w:ascii="Arial Narrow" w:hAnsi="Arial Narrow" w:cs="Arial" w:hint="eastAsia"/>
              </w:rPr>
              <w:t>万张</w:t>
            </w:r>
            <w:r w:rsidRPr="000A5B5D">
              <w:rPr>
                <w:rFonts w:ascii="Arial Narrow" w:hAnsi="Arial Narrow" w:cs="Arial"/>
              </w:rPr>
              <w:t>EPS</w:t>
            </w:r>
            <w:r w:rsidRPr="000A5B5D">
              <w:rPr>
                <w:rFonts w:ascii="Arial Narrow" w:hAnsi="Arial Narrow" w:cs="Arial" w:hint="eastAsia"/>
              </w:rPr>
              <w:t>泡沫板辅助生产车间</w:t>
            </w:r>
          </w:p>
        </w:tc>
        <w:tc>
          <w:tcPr>
            <w:tcW w:w="95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59.94  </w:t>
            </w:r>
          </w:p>
        </w:tc>
        <w:tc>
          <w:tcPr>
            <w:tcW w:w="79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59.94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RDefault="00851B9D" w:rsidP="00851B9D">
            <w:pPr>
              <w:outlineLvl w:val="0"/>
              <w:rPr>
                <w:rFonts w:ascii="Arial Narrow" w:hAnsi="Arial Narrow" w:cs="Arial"/>
              </w:rPr>
            </w:pPr>
            <w:r w:rsidRPr="000A5B5D">
              <w:rPr>
                <w:rFonts w:ascii="Arial Narrow" w:hAnsi="Arial Narrow" w:cs="Arial" w:hint="eastAsia"/>
              </w:rPr>
              <w:t>五、六车间网络提升改造</w:t>
            </w:r>
          </w:p>
        </w:tc>
        <w:tc>
          <w:tcPr>
            <w:tcW w:w="95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79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1275"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Del="005415EA" w:rsidRDefault="00851B9D" w:rsidP="00851B9D">
            <w:pPr>
              <w:outlineLvl w:val="0"/>
              <w:rPr>
                <w:rFonts w:ascii="Arial Narrow" w:hAnsi="Arial Narrow" w:cs="Arial"/>
              </w:rPr>
            </w:pPr>
            <w:r w:rsidRPr="000A5B5D">
              <w:rPr>
                <w:rFonts w:ascii="Arial Narrow" w:hAnsi="Arial Narrow" w:cs="Arial" w:hint="eastAsia"/>
              </w:rPr>
              <w:t>巴马格</w:t>
            </w:r>
            <w:r w:rsidRPr="000A5B5D">
              <w:rPr>
                <w:rFonts w:ascii="Arial Narrow" w:hAnsi="Arial Narrow" w:cs="Arial"/>
              </w:rPr>
              <w:t>M</w:t>
            </w:r>
            <w:r w:rsidRPr="000A5B5D">
              <w:rPr>
                <w:rFonts w:ascii="Arial Narrow" w:hAnsi="Arial Narrow" w:cs="Arial" w:hint="eastAsia"/>
              </w:rPr>
              <w:t>型</w:t>
            </w:r>
            <w:r w:rsidRPr="000A5B5D">
              <w:rPr>
                <w:rFonts w:ascii="Arial Narrow" w:hAnsi="Arial Narrow" w:cs="Arial"/>
              </w:rPr>
              <w:t>288</w:t>
            </w:r>
            <w:r w:rsidRPr="000A5B5D">
              <w:rPr>
                <w:rFonts w:ascii="Arial Narrow" w:hAnsi="Arial Narrow" w:cs="Arial" w:hint="eastAsia"/>
              </w:rPr>
              <w:t>锭加弹机</w:t>
            </w:r>
            <w:r w:rsidRPr="000A5B5D">
              <w:rPr>
                <w:rFonts w:ascii="Arial Narrow" w:hAnsi="Arial Narrow" w:cs="Arial"/>
              </w:rPr>
              <w:t>10</w:t>
            </w:r>
            <w:r w:rsidRPr="000A5B5D">
              <w:rPr>
                <w:rFonts w:ascii="Arial Narrow" w:hAnsi="Arial Narrow" w:cs="Arial" w:hint="eastAsia"/>
              </w:rPr>
              <w:t>台</w:t>
            </w:r>
          </w:p>
        </w:tc>
        <w:tc>
          <w:tcPr>
            <w:tcW w:w="952"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797"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1275" w:type="dxa"/>
            <w:vAlign w:val="center"/>
          </w:tcPr>
          <w:p w:rsidR="00851B9D" w:rsidRPr="000A5B5D" w:rsidDel="005415EA"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vAlign w:val="center"/>
          </w:tcPr>
          <w:p w:rsidR="00851B9D" w:rsidRPr="000A5B5D" w:rsidDel="005415EA" w:rsidRDefault="00851B9D" w:rsidP="00851B9D">
            <w:pPr>
              <w:outlineLvl w:val="0"/>
              <w:rPr>
                <w:rFonts w:ascii="Arial Narrow" w:hAnsi="Arial Narrow" w:cs="Arial"/>
              </w:rPr>
            </w:pPr>
            <w:r w:rsidRPr="000A5B5D">
              <w:rPr>
                <w:rFonts w:ascii="Arial Narrow" w:hAnsi="Arial Narrow" w:cs="Arial"/>
              </w:rPr>
              <w:t>3.3</w:t>
            </w:r>
            <w:r w:rsidRPr="000A5B5D">
              <w:rPr>
                <w:rFonts w:ascii="Arial Narrow" w:hAnsi="Arial Narrow" w:cs="Arial" w:hint="eastAsia"/>
              </w:rPr>
              <w:t>万吨产业用功能性纤维技术改造项目（</w:t>
            </w:r>
            <w:r w:rsidRPr="000A5B5D">
              <w:rPr>
                <w:rFonts w:ascii="Arial Narrow" w:hAnsi="Arial Narrow" w:cs="Arial"/>
              </w:rPr>
              <w:t>A9</w:t>
            </w:r>
            <w:r w:rsidRPr="000A5B5D">
              <w:rPr>
                <w:rFonts w:ascii="Arial Narrow" w:hAnsi="Arial Narrow" w:cs="Arial" w:hint="eastAsia"/>
              </w:rPr>
              <w:t>）线</w:t>
            </w:r>
          </w:p>
        </w:tc>
        <w:tc>
          <w:tcPr>
            <w:tcW w:w="952"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797" w:type="dxa"/>
            <w:vAlign w:val="center"/>
          </w:tcPr>
          <w:p w:rsidR="00851B9D" w:rsidRPr="000A5B5D" w:rsidDel="005415EA" w:rsidRDefault="00851B9D" w:rsidP="00851B9D">
            <w:pPr>
              <w:jc w:val="right"/>
              <w:outlineLvl w:val="0"/>
              <w:rPr>
                <w:rFonts w:ascii="Arial Narrow" w:hAnsi="Arial Narrow" w:cs="Arial"/>
              </w:rPr>
            </w:pPr>
            <w:r w:rsidRPr="000A5B5D">
              <w:rPr>
                <w:rFonts w:ascii="Arial Narrow" w:hAnsi="Arial Narrow" w:cs="Arial"/>
              </w:rPr>
              <w:t xml:space="preserve">100.00 </w:t>
            </w:r>
          </w:p>
        </w:tc>
        <w:tc>
          <w:tcPr>
            <w:tcW w:w="1275" w:type="dxa"/>
            <w:vAlign w:val="center"/>
          </w:tcPr>
          <w:p w:rsidR="00851B9D" w:rsidRPr="000A5B5D" w:rsidDel="005415EA" w:rsidRDefault="00851B9D" w:rsidP="00851B9D">
            <w:pPr>
              <w:jc w:val="right"/>
              <w:rPr>
                <w:rFonts w:ascii="Arial Narrow" w:hAnsi="Arial Narrow" w:cs="Arial"/>
              </w:rPr>
            </w:pPr>
            <w:r w:rsidRPr="000A5B5D">
              <w:rPr>
                <w:rFonts w:ascii="Arial Narrow" w:hAnsi="Arial Narrow" w:cs="Arial"/>
              </w:rPr>
              <w:t xml:space="preserve">618,359.79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208,471.09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4.03 </w:t>
            </w:r>
          </w:p>
        </w:tc>
        <w:tc>
          <w:tcPr>
            <w:tcW w:w="1134" w:type="dxa"/>
            <w:vAlign w:val="center"/>
          </w:tcPr>
          <w:p w:rsidR="00851B9D" w:rsidRPr="000A5B5D" w:rsidDel="005415EA" w:rsidRDefault="00851B9D" w:rsidP="00851B9D">
            <w:pPr>
              <w:ind w:leftChars="-33" w:left="-59"/>
              <w:jc w:val="right"/>
              <w:outlineLvl w:val="0"/>
              <w:rPr>
                <w:rFonts w:ascii="Arial Narrow" w:hAnsi="Arial Narrow" w:cs="Arial"/>
              </w:rPr>
            </w:pPr>
            <w:r w:rsidRPr="000A5B5D">
              <w:rPr>
                <w:rFonts w:ascii="Arial Narrow" w:hAnsi="Arial Narrow" w:cs="Arial" w:hint="eastAsia"/>
              </w:rPr>
              <w:t>金融机构贷款</w:t>
            </w:r>
          </w:p>
        </w:tc>
      </w:tr>
      <w:tr w:rsidR="00851B9D" w:rsidRPr="000A5B5D" w:rsidTr="00851B9D">
        <w:trPr>
          <w:trHeight w:val="397"/>
        </w:trPr>
        <w:tc>
          <w:tcPr>
            <w:tcW w:w="2788" w:type="dxa"/>
            <w:vAlign w:val="center"/>
          </w:tcPr>
          <w:p w:rsidR="00851B9D" w:rsidRPr="000A5B5D" w:rsidRDefault="00851B9D" w:rsidP="00851B9D">
            <w:pPr>
              <w:outlineLvl w:val="0"/>
              <w:rPr>
                <w:rFonts w:ascii="Arial Narrow" w:hAnsi="Arial Narrow" w:cs="Arial"/>
              </w:rPr>
            </w:pPr>
            <w:r w:rsidRPr="000A5B5D">
              <w:rPr>
                <w:rFonts w:ascii="Arial Narrow" w:hAnsi="Arial Narrow" w:cs="Arial" w:hint="eastAsia"/>
              </w:rPr>
              <w:t>其他</w:t>
            </w:r>
          </w:p>
        </w:tc>
        <w:tc>
          <w:tcPr>
            <w:tcW w:w="952"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797"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0.00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7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hint="eastAsia"/>
              </w:rPr>
              <w:t>自筹</w:t>
            </w:r>
          </w:p>
        </w:tc>
      </w:tr>
      <w:tr w:rsidR="00851B9D" w:rsidRPr="000A5B5D" w:rsidTr="00851B9D">
        <w:trPr>
          <w:trHeight w:val="397"/>
        </w:trPr>
        <w:tc>
          <w:tcPr>
            <w:tcW w:w="2788" w:type="dxa"/>
            <w:tcBorders>
              <w:bottom w:val="single" w:sz="12" w:space="0" w:color="auto"/>
            </w:tcBorders>
            <w:vAlign w:val="center"/>
          </w:tcPr>
          <w:p w:rsidR="00851B9D" w:rsidRPr="000A5B5D" w:rsidRDefault="00851B9D" w:rsidP="00851B9D">
            <w:pPr>
              <w:outlineLvl w:val="0"/>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952"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w:t>
            </w:r>
          </w:p>
        </w:tc>
        <w:tc>
          <w:tcPr>
            <w:tcW w:w="797"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w:t>
            </w:r>
          </w:p>
        </w:tc>
        <w:tc>
          <w:tcPr>
            <w:tcW w:w="1275"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618,359.79 </w:t>
            </w:r>
          </w:p>
        </w:tc>
        <w:tc>
          <w:tcPr>
            <w:tcW w:w="1276"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208,471.09 </w:t>
            </w:r>
          </w:p>
        </w:tc>
        <w:tc>
          <w:tcPr>
            <w:tcW w:w="992"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 </w:t>
            </w:r>
          </w:p>
        </w:tc>
        <w:tc>
          <w:tcPr>
            <w:tcW w:w="1134" w:type="dxa"/>
            <w:tcBorders>
              <w:bottom w:val="single" w:sz="12" w:space="0" w:color="auto"/>
            </w:tcBorders>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39" w:name="OLE_LINK44"/>
      <w:r w:rsidRPr="000A5B5D">
        <w:rPr>
          <w:rFonts w:ascii="Arial" w:hAnsi="Arial" w:cs="Arial" w:hint="eastAsia"/>
          <w:b/>
          <w:sz w:val="24"/>
        </w:rPr>
        <w:t>工程物资</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572"/>
        <w:gridCol w:w="2835"/>
        <w:gridCol w:w="2693"/>
      </w:tblGrid>
      <w:tr w:rsidR="00851B9D" w:rsidRPr="000A5B5D" w:rsidTr="00851B9D">
        <w:trPr>
          <w:trHeight w:val="397"/>
          <w:tblHeader/>
        </w:trPr>
        <w:tc>
          <w:tcPr>
            <w:tcW w:w="357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3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69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3572"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专用材料</w:t>
            </w:r>
          </w:p>
        </w:tc>
        <w:tc>
          <w:tcPr>
            <w:tcW w:w="283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9,349,037.98 </w:t>
            </w:r>
          </w:p>
        </w:tc>
        <w:tc>
          <w:tcPr>
            <w:tcW w:w="269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103,243.59 </w:t>
            </w:r>
          </w:p>
        </w:tc>
      </w:tr>
    </w:tbl>
    <w:bookmarkEnd w:id="39"/>
    <w:p w:rsidR="00851B9D" w:rsidRPr="000A5B5D" w:rsidRDefault="00851B9D" w:rsidP="00851B9D">
      <w:pPr>
        <w:pStyle w:val="10"/>
        <w:numPr>
          <w:ilvl w:val="0"/>
          <w:numId w:val="3"/>
        </w:numPr>
        <w:spacing w:line="400" w:lineRule="exact"/>
        <w:ind w:left="0" w:firstLineChars="0" w:firstLine="420"/>
        <w:outlineLvl w:val="1"/>
        <w:rPr>
          <w:rFonts w:ascii="Arial" w:hAnsi="Arial" w:cs="Arial"/>
          <w:bCs/>
          <w:sz w:val="24"/>
        </w:rPr>
      </w:pPr>
      <w:r w:rsidRPr="000A5B5D">
        <w:rPr>
          <w:rFonts w:ascii="Arial" w:hAnsi="Arial" w:cs="Arial" w:hint="eastAsia"/>
          <w:b/>
          <w:sz w:val="24"/>
        </w:rPr>
        <w:t>无形资产</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168"/>
        <w:gridCol w:w="1404"/>
        <w:gridCol w:w="1418"/>
        <w:gridCol w:w="1417"/>
        <w:gridCol w:w="1276"/>
        <w:gridCol w:w="1417"/>
      </w:tblGrid>
      <w:tr w:rsidR="00851B9D" w:rsidRPr="000A5B5D" w:rsidTr="00851B9D">
        <w:trPr>
          <w:trHeight w:val="397"/>
          <w:tblHeader/>
        </w:trPr>
        <w:tc>
          <w:tcPr>
            <w:tcW w:w="216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4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土地使用权</w:t>
            </w:r>
          </w:p>
        </w:tc>
        <w:tc>
          <w:tcPr>
            <w:tcW w:w="14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专利权</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非专利技术</w:t>
            </w:r>
          </w:p>
        </w:tc>
        <w:tc>
          <w:tcPr>
            <w:tcW w:w="1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软件</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一、账面原值</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、年初余额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733,181,657.79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248,545,000.00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19,702,736.38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1,001,429,394.17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、本年增加金额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410,060.00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7,205,995.37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7,616,055.37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1</w:t>
            </w:r>
            <w:r w:rsidRPr="000A5B5D">
              <w:rPr>
                <w:rFonts w:ascii="Arial Narrow" w:hAnsi="Arial Narrow" w:cs="Arial" w:hint="eastAsia"/>
                <w:kern w:val="0"/>
                <w:szCs w:val="21"/>
              </w:rPr>
              <w:t>）购置</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410,060.00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7,205,995.37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7,616,055.37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2</w:t>
            </w:r>
            <w:r w:rsidRPr="000A5B5D">
              <w:rPr>
                <w:rFonts w:ascii="Arial Narrow" w:hAnsi="Arial Narrow" w:cs="Arial" w:hint="eastAsia"/>
                <w:kern w:val="0"/>
                <w:szCs w:val="21"/>
              </w:rPr>
              <w:t>）内部研发</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3</w:t>
            </w:r>
            <w:r w:rsidRPr="000A5B5D">
              <w:rPr>
                <w:rFonts w:ascii="Arial Narrow" w:hAnsi="Arial Narrow" w:cs="Arial" w:hint="eastAsia"/>
                <w:kern w:val="0"/>
                <w:szCs w:val="21"/>
              </w:rPr>
              <w:t>）企业合并增加</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、本年减少金额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12,160,100.00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12,160,100.00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1</w:t>
            </w:r>
            <w:r w:rsidRPr="000A5B5D">
              <w:rPr>
                <w:rFonts w:ascii="Arial Narrow" w:hAnsi="Arial Narrow" w:cs="Arial" w:hint="eastAsia"/>
                <w:kern w:val="0"/>
                <w:szCs w:val="21"/>
              </w:rPr>
              <w:t>）处置</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12,160,100.00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12,160,100.00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4</w:t>
            </w:r>
            <w:r w:rsidRPr="000A5B5D">
              <w:rPr>
                <w:rFonts w:ascii="Arial Narrow" w:hAnsi="Arial Narrow" w:cs="Arial" w:hint="eastAsia"/>
                <w:kern w:val="0"/>
                <w:szCs w:val="21"/>
              </w:rPr>
              <w:t>、年末余额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721,021,557.79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248,545,000.00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410,060.00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26,908,731.75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996,885,349.54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二、累计摊销</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c>
          <w:tcPr>
            <w:tcW w:w="1418" w:type="dxa"/>
            <w:vAlign w:val="center"/>
          </w:tcPr>
          <w:p w:rsidR="00851B9D" w:rsidRPr="000A5B5D" w:rsidRDefault="00851B9D" w:rsidP="00851B9D">
            <w:pPr>
              <w:outlineLvl w:val="0"/>
              <w:rPr>
                <w:rFonts w:ascii="Arial Narrow" w:hAnsi="Arial Narrow" w:cs="Arial"/>
                <w:szCs w:val="21"/>
              </w:rPr>
            </w:pPr>
          </w:p>
        </w:tc>
        <w:tc>
          <w:tcPr>
            <w:tcW w:w="1417" w:type="dxa"/>
            <w:vAlign w:val="center"/>
          </w:tcPr>
          <w:p w:rsidR="00851B9D" w:rsidRPr="000A5B5D" w:rsidRDefault="00851B9D" w:rsidP="00851B9D">
            <w:pPr>
              <w:jc w:val="right"/>
              <w:outlineLvl w:val="0"/>
              <w:rPr>
                <w:rFonts w:ascii="Arial Narrow" w:hAnsi="Arial Narrow" w:cs="Arial"/>
                <w:szCs w:val="21"/>
              </w:rPr>
            </w:pP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、年初余额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119,017,795.15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224,111,928.33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8,229,895.99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351,359,619.47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、本年增加金额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16,459,587.76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13,804,633.33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11,960.08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2,163,108.33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32,439,289.50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1</w:t>
            </w:r>
            <w:r w:rsidRPr="000A5B5D">
              <w:rPr>
                <w:rFonts w:ascii="Arial Narrow" w:hAnsi="Arial Narrow" w:cs="Arial" w:hint="eastAsia"/>
                <w:kern w:val="0"/>
                <w:szCs w:val="21"/>
              </w:rPr>
              <w:t>）计提</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16,459,587.76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13,804,633.33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11,960.08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2,163,108.33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32,439,289.50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、本年减少金额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1</w:t>
            </w:r>
            <w:r w:rsidRPr="000A5B5D">
              <w:rPr>
                <w:rFonts w:ascii="Arial Narrow" w:hAnsi="Arial Narrow" w:cs="Arial" w:hint="eastAsia"/>
                <w:kern w:val="0"/>
                <w:szCs w:val="21"/>
              </w:rPr>
              <w:t>）处置</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4</w:t>
            </w:r>
            <w:r w:rsidRPr="000A5B5D">
              <w:rPr>
                <w:rFonts w:ascii="Arial Narrow" w:hAnsi="Arial Narrow" w:cs="Arial" w:hint="eastAsia"/>
                <w:kern w:val="0"/>
                <w:szCs w:val="21"/>
              </w:rPr>
              <w:t>、年末余额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135,477,382.91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237,916,561.66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11,960.08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10,393,004.32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383,798,908.97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三、减值准备</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、年初余额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、本年增加金额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w:t>
            </w:r>
            <w:r w:rsidRPr="000A5B5D">
              <w:rPr>
                <w:rFonts w:ascii="Arial Narrow" w:hAnsi="Arial Narrow" w:cs="Arial"/>
                <w:kern w:val="0"/>
                <w:szCs w:val="21"/>
              </w:rPr>
              <w:t>1</w:t>
            </w:r>
            <w:r w:rsidRPr="000A5B5D">
              <w:rPr>
                <w:rFonts w:ascii="Arial Narrow" w:hAnsi="Arial Narrow" w:cs="Arial" w:hint="eastAsia"/>
                <w:kern w:val="0"/>
                <w:szCs w:val="21"/>
              </w:rPr>
              <w:t>）计提</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、本年减少金额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w:t>
            </w:r>
            <w:r w:rsidRPr="000A5B5D">
              <w:rPr>
                <w:rFonts w:ascii="Arial Narrow" w:hAnsi="Arial Narrow" w:cs="Arial"/>
                <w:kern w:val="0"/>
                <w:szCs w:val="21"/>
              </w:rPr>
              <w:t>1</w:t>
            </w:r>
            <w:r w:rsidRPr="000A5B5D">
              <w:rPr>
                <w:rFonts w:ascii="Arial Narrow" w:hAnsi="Arial Narrow" w:cs="Arial" w:hint="eastAsia"/>
                <w:kern w:val="0"/>
                <w:szCs w:val="21"/>
              </w:rPr>
              <w:t>）处置</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4</w:t>
            </w:r>
            <w:r w:rsidRPr="000A5B5D">
              <w:rPr>
                <w:rFonts w:ascii="Arial Narrow" w:hAnsi="Arial Narrow" w:cs="Arial" w:hint="eastAsia"/>
                <w:kern w:val="0"/>
                <w:szCs w:val="21"/>
              </w:rPr>
              <w:t>、年末余额</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四、账面价值</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c>
          <w:tcPr>
            <w:tcW w:w="1276" w:type="dxa"/>
            <w:vAlign w:val="center"/>
          </w:tcPr>
          <w:p w:rsidR="00851B9D" w:rsidRPr="000A5B5D" w:rsidRDefault="00851B9D" w:rsidP="00851B9D">
            <w:pPr>
              <w:jc w:val="right"/>
              <w:outlineLvl w:val="0"/>
              <w:rPr>
                <w:rFonts w:ascii="Arial Narrow" w:hAnsi="Arial Narrow" w:cs="Arial"/>
                <w:szCs w:val="21"/>
              </w:rPr>
            </w:pP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 </w:t>
            </w:r>
          </w:p>
        </w:tc>
      </w:tr>
      <w:tr w:rsidR="00851B9D" w:rsidRPr="000A5B5D" w:rsidTr="00851B9D">
        <w:trPr>
          <w:trHeight w:val="397"/>
        </w:trPr>
        <w:tc>
          <w:tcPr>
            <w:tcW w:w="216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、年末账面价值</w:t>
            </w:r>
          </w:p>
        </w:tc>
        <w:tc>
          <w:tcPr>
            <w:tcW w:w="14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585,544,174.88 </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10,628,438.34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398,099.92 </w:t>
            </w:r>
          </w:p>
        </w:tc>
        <w:tc>
          <w:tcPr>
            <w:tcW w:w="127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16,515,727.43 </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613,086,440.57 </w:t>
            </w:r>
          </w:p>
        </w:tc>
      </w:tr>
      <w:tr w:rsidR="00851B9D" w:rsidRPr="000A5B5D" w:rsidTr="00851B9D">
        <w:trPr>
          <w:trHeight w:val="397"/>
        </w:trPr>
        <w:tc>
          <w:tcPr>
            <w:tcW w:w="216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、年初账面价值</w:t>
            </w:r>
          </w:p>
        </w:tc>
        <w:tc>
          <w:tcPr>
            <w:tcW w:w="140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614,163,862.64 </w:t>
            </w:r>
          </w:p>
        </w:tc>
        <w:tc>
          <w:tcPr>
            <w:tcW w:w="141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24,433,071.67 </w:t>
            </w:r>
          </w:p>
        </w:tc>
        <w:tc>
          <w:tcPr>
            <w:tcW w:w="14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76"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11,472,840.39 </w:t>
            </w:r>
          </w:p>
        </w:tc>
        <w:tc>
          <w:tcPr>
            <w:tcW w:w="14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650,069,774.70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长期待摊费用</w:t>
      </w:r>
    </w:p>
    <w:tbl>
      <w:tblPr>
        <w:tblW w:w="8959"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729"/>
        <w:gridCol w:w="1418"/>
        <w:gridCol w:w="1417"/>
        <w:gridCol w:w="1560"/>
        <w:gridCol w:w="1575"/>
        <w:gridCol w:w="1260"/>
      </w:tblGrid>
      <w:tr w:rsidR="00851B9D" w:rsidRPr="000A5B5D" w:rsidTr="00851B9D">
        <w:trPr>
          <w:trHeight w:val="397"/>
          <w:tblHeader/>
        </w:trPr>
        <w:tc>
          <w:tcPr>
            <w:tcW w:w="172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4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本年增加金额</w:t>
            </w:r>
          </w:p>
        </w:tc>
        <w:tc>
          <w:tcPr>
            <w:tcW w:w="156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本年摊销金额</w:t>
            </w:r>
          </w:p>
        </w:tc>
        <w:tc>
          <w:tcPr>
            <w:tcW w:w="157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其他减少金额</w:t>
            </w:r>
          </w:p>
        </w:tc>
        <w:tc>
          <w:tcPr>
            <w:tcW w:w="126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年末数</w:t>
            </w:r>
          </w:p>
        </w:tc>
      </w:tr>
      <w:tr w:rsidR="00851B9D" w:rsidRPr="000A5B5D" w:rsidTr="00851B9D">
        <w:trPr>
          <w:trHeight w:val="397"/>
        </w:trPr>
        <w:tc>
          <w:tcPr>
            <w:tcW w:w="172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装修费</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4,834,818.34</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2,391,776.77 </w:t>
            </w:r>
          </w:p>
        </w:tc>
        <w:tc>
          <w:tcPr>
            <w:tcW w:w="15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1,034,289.49 </w:t>
            </w:r>
          </w:p>
        </w:tc>
        <w:tc>
          <w:tcPr>
            <w:tcW w:w="157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6,192,305.62 </w:t>
            </w:r>
          </w:p>
        </w:tc>
      </w:tr>
      <w:tr w:rsidR="00851B9D" w:rsidRPr="000A5B5D" w:rsidTr="00851B9D">
        <w:trPr>
          <w:trHeight w:val="397"/>
        </w:trPr>
        <w:tc>
          <w:tcPr>
            <w:tcW w:w="172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外墙涂料工程</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1,929,174.05</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291,000.00 </w:t>
            </w:r>
          </w:p>
        </w:tc>
        <w:tc>
          <w:tcPr>
            <w:tcW w:w="15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622,692.00 </w:t>
            </w:r>
          </w:p>
        </w:tc>
        <w:tc>
          <w:tcPr>
            <w:tcW w:w="157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1,597,482.05 </w:t>
            </w:r>
          </w:p>
        </w:tc>
      </w:tr>
      <w:tr w:rsidR="00851B9D" w:rsidRPr="000A5B5D" w:rsidTr="00851B9D">
        <w:trPr>
          <w:trHeight w:val="397"/>
        </w:trPr>
        <w:tc>
          <w:tcPr>
            <w:tcW w:w="172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厂区绿化工程</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265,221.75</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2,073,125.00 </w:t>
            </w:r>
          </w:p>
        </w:tc>
        <w:tc>
          <w:tcPr>
            <w:tcW w:w="15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70,725.84 </w:t>
            </w:r>
          </w:p>
        </w:tc>
        <w:tc>
          <w:tcPr>
            <w:tcW w:w="157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12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2,267,620.91 </w:t>
            </w:r>
          </w:p>
        </w:tc>
      </w:tr>
      <w:tr w:rsidR="00851B9D" w:rsidRPr="000A5B5D" w:rsidTr="00851B9D">
        <w:trPr>
          <w:trHeight w:val="397"/>
        </w:trPr>
        <w:tc>
          <w:tcPr>
            <w:tcW w:w="172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1418"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0.00</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102,607.66</w:t>
            </w:r>
          </w:p>
        </w:tc>
        <w:tc>
          <w:tcPr>
            <w:tcW w:w="15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107,609.12 </w:t>
            </w:r>
          </w:p>
        </w:tc>
        <w:tc>
          <w:tcPr>
            <w:tcW w:w="157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-5,001.46 </w:t>
            </w:r>
          </w:p>
        </w:tc>
        <w:tc>
          <w:tcPr>
            <w:tcW w:w="126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172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41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7,029,214.14 </w:t>
            </w:r>
          </w:p>
        </w:tc>
        <w:tc>
          <w:tcPr>
            <w:tcW w:w="14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4,858,509.43 </w:t>
            </w:r>
          </w:p>
        </w:tc>
        <w:tc>
          <w:tcPr>
            <w:tcW w:w="156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1,835,316.45 </w:t>
            </w:r>
          </w:p>
        </w:tc>
        <w:tc>
          <w:tcPr>
            <w:tcW w:w="1575"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-5,001.46 </w:t>
            </w:r>
          </w:p>
        </w:tc>
        <w:tc>
          <w:tcPr>
            <w:tcW w:w="126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10,057,408.58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40" w:name="OLE_LINK92"/>
      <w:bookmarkStart w:id="41" w:name="OLE_LINK93"/>
      <w:r w:rsidRPr="000A5B5D">
        <w:rPr>
          <w:rFonts w:ascii="Arial" w:hAnsi="Arial" w:cs="Arial" w:hint="eastAsia"/>
          <w:b/>
          <w:sz w:val="24"/>
        </w:rPr>
        <w:t>递延所得税资产</w:t>
      </w:r>
      <w:r w:rsidRPr="000A5B5D">
        <w:rPr>
          <w:rFonts w:ascii="Arial" w:hAnsi="Arial" w:cs="Arial"/>
          <w:b/>
          <w:sz w:val="24"/>
        </w:rPr>
        <w:t>/</w:t>
      </w:r>
      <w:r w:rsidRPr="000A5B5D">
        <w:rPr>
          <w:rFonts w:ascii="Arial" w:hAnsi="Arial" w:cs="Arial" w:hint="eastAsia"/>
          <w:b/>
          <w:sz w:val="24"/>
        </w:rPr>
        <w:t>递延所得税负债</w:t>
      </w:r>
    </w:p>
    <w:p w:rsidR="00851B9D" w:rsidRPr="000A5B5D" w:rsidRDefault="00851B9D" w:rsidP="00851B9D">
      <w:pPr>
        <w:spacing w:line="400" w:lineRule="exact"/>
        <w:ind w:firstLineChars="200" w:firstLine="480"/>
        <w:rPr>
          <w:rFonts w:ascii="Arial" w:hAnsi="Arial" w:cs="Arial"/>
          <w:b/>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）未经抵销的递延所得税资产明细</w:t>
      </w:r>
    </w:p>
    <w:tbl>
      <w:tblPr>
        <w:tblW w:w="9056"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60"/>
        <w:gridCol w:w="1442"/>
        <w:gridCol w:w="1322"/>
        <w:gridCol w:w="1547"/>
        <w:gridCol w:w="1385"/>
      </w:tblGrid>
      <w:tr w:rsidR="00851B9D" w:rsidRPr="000A5B5D" w:rsidTr="00851B9D">
        <w:trPr>
          <w:trHeight w:val="397"/>
          <w:tblHeader/>
        </w:trPr>
        <w:tc>
          <w:tcPr>
            <w:tcW w:w="3360" w:type="dxa"/>
            <w:vMerge w:val="restart"/>
            <w:tcBorders>
              <w:top w:val="single" w:sz="12" w:space="0" w:color="auto"/>
            </w:tcBorders>
            <w:vAlign w:val="center"/>
          </w:tcPr>
          <w:p w:rsidR="00851B9D" w:rsidRPr="000A5B5D" w:rsidRDefault="00851B9D" w:rsidP="00851B9D">
            <w:pPr>
              <w:jc w:val="center"/>
              <w:rPr>
                <w:rFonts w:ascii="Arial Narrow" w:hAnsi="Arial Narrow" w:cs="Arial"/>
                <w:szCs w:val="21"/>
                <w:lang w:val="fr-FR"/>
              </w:rPr>
            </w:pPr>
            <w:r w:rsidRPr="000A5B5D">
              <w:rPr>
                <w:rFonts w:ascii="Arial Narrow" w:hAnsi="Arial Narrow" w:cs="Arial" w:hint="eastAsia"/>
                <w:szCs w:val="21"/>
                <w:lang w:val="fr-FR"/>
              </w:rPr>
              <w:t>项</w:t>
            </w:r>
            <w:r w:rsidRPr="000A5B5D">
              <w:rPr>
                <w:rFonts w:ascii="Arial Narrow" w:hAnsi="Arial Narrow" w:cs="Arial"/>
                <w:szCs w:val="21"/>
                <w:lang w:val="fr-FR"/>
              </w:rPr>
              <w:t xml:space="preserve">  </w:t>
            </w:r>
            <w:r w:rsidRPr="000A5B5D">
              <w:rPr>
                <w:rFonts w:ascii="Arial Narrow" w:hAnsi="Arial Narrow" w:cs="Arial" w:hint="eastAsia"/>
                <w:szCs w:val="21"/>
                <w:lang w:val="fr-FR"/>
              </w:rPr>
              <w:t>目</w:t>
            </w:r>
          </w:p>
        </w:tc>
        <w:tc>
          <w:tcPr>
            <w:tcW w:w="2764" w:type="dxa"/>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年末余额</w:t>
            </w:r>
          </w:p>
        </w:tc>
        <w:tc>
          <w:tcPr>
            <w:tcW w:w="2932" w:type="dxa"/>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年初余额</w:t>
            </w:r>
          </w:p>
        </w:tc>
      </w:tr>
      <w:tr w:rsidR="00851B9D" w:rsidRPr="000A5B5D" w:rsidTr="00851B9D">
        <w:trPr>
          <w:trHeight w:val="397"/>
          <w:tblHeader/>
        </w:trPr>
        <w:tc>
          <w:tcPr>
            <w:tcW w:w="3360" w:type="dxa"/>
            <w:vMerge/>
            <w:vAlign w:val="center"/>
          </w:tcPr>
          <w:p w:rsidR="00851B9D" w:rsidRPr="000A5B5D" w:rsidRDefault="00851B9D" w:rsidP="00851B9D">
            <w:pPr>
              <w:jc w:val="center"/>
              <w:rPr>
                <w:rFonts w:ascii="Arial Narrow" w:hAnsi="Arial Narrow" w:cs="Arial"/>
                <w:szCs w:val="21"/>
              </w:rPr>
            </w:pPr>
          </w:p>
        </w:tc>
        <w:tc>
          <w:tcPr>
            <w:tcW w:w="1442" w:type="dxa"/>
            <w:vAlign w:val="center"/>
          </w:tcPr>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t>可抵扣暂时性</w:t>
            </w:r>
          </w:p>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t>差异</w:t>
            </w:r>
          </w:p>
        </w:tc>
        <w:tc>
          <w:tcPr>
            <w:tcW w:w="1322" w:type="dxa"/>
            <w:vAlign w:val="center"/>
          </w:tcPr>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t>递延所得税</w:t>
            </w:r>
          </w:p>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t>资产</w:t>
            </w:r>
          </w:p>
        </w:tc>
        <w:tc>
          <w:tcPr>
            <w:tcW w:w="1547" w:type="dxa"/>
            <w:vAlign w:val="center"/>
          </w:tcPr>
          <w:p w:rsidR="00851B9D" w:rsidRPr="000A5B5D" w:rsidRDefault="00851B9D" w:rsidP="00851B9D">
            <w:pPr>
              <w:tabs>
                <w:tab w:val="right" w:pos="4140"/>
                <w:tab w:val="right" w:pos="5220"/>
                <w:tab w:val="right" w:pos="6480"/>
                <w:tab w:val="right" w:pos="7805"/>
              </w:tabs>
              <w:ind w:left="-108" w:firstLineChars="51" w:firstLine="92"/>
              <w:jc w:val="center"/>
              <w:rPr>
                <w:rFonts w:ascii="Arial Narrow" w:hAnsi="Arial Narrow" w:cs="Arial"/>
                <w:szCs w:val="21"/>
              </w:rPr>
            </w:pPr>
            <w:r w:rsidRPr="000A5B5D">
              <w:rPr>
                <w:rFonts w:ascii="Arial Narrow" w:hAnsi="Arial Narrow" w:cs="Arial" w:hint="eastAsia"/>
                <w:szCs w:val="21"/>
              </w:rPr>
              <w:t>可抵扣暂时性</w:t>
            </w:r>
          </w:p>
          <w:p w:rsidR="00851B9D" w:rsidRPr="000A5B5D" w:rsidRDefault="00851B9D" w:rsidP="00851B9D">
            <w:pPr>
              <w:tabs>
                <w:tab w:val="right" w:pos="4140"/>
                <w:tab w:val="right" w:pos="5220"/>
                <w:tab w:val="right" w:pos="6480"/>
                <w:tab w:val="right" w:pos="7805"/>
              </w:tabs>
              <w:ind w:left="-108" w:firstLineChars="51" w:firstLine="92"/>
              <w:jc w:val="center"/>
              <w:rPr>
                <w:rFonts w:ascii="Arial Narrow" w:hAnsi="Arial Narrow" w:cs="Arial"/>
                <w:szCs w:val="21"/>
              </w:rPr>
            </w:pPr>
            <w:r w:rsidRPr="000A5B5D">
              <w:rPr>
                <w:rFonts w:ascii="Arial Narrow" w:hAnsi="Arial Narrow" w:cs="Arial" w:hint="eastAsia"/>
                <w:szCs w:val="21"/>
              </w:rPr>
              <w:t>差异</w:t>
            </w:r>
          </w:p>
        </w:tc>
        <w:tc>
          <w:tcPr>
            <w:tcW w:w="1385" w:type="dxa"/>
            <w:vAlign w:val="center"/>
          </w:tcPr>
          <w:p w:rsidR="00851B9D" w:rsidRPr="000A5B5D" w:rsidRDefault="00851B9D" w:rsidP="00851B9D">
            <w:pPr>
              <w:tabs>
                <w:tab w:val="right" w:pos="4140"/>
                <w:tab w:val="right" w:pos="5220"/>
                <w:tab w:val="right" w:pos="6480"/>
                <w:tab w:val="right" w:pos="7805"/>
              </w:tabs>
              <w:ind w:left="149" w:hanging="1"/>
              <w:jc w:val="center"/>
              <w:rPr>
                <w:rFonts w:ascii="Arial Narrow" w:hAnsi="Arial Narrow" w:cs="Arial"/>
                <w:szCs w:val="21"/>
              </w:rPr>
            </w:pPr>
            <w:r w:rsidRPr="000A5B5D">
              <w:rPr>
                <w:rFonts w:ascii="Arial Narrow" w:hAnsi="Arial Narrow" w:cs="Arial" w:hint="eastAsia"/>
                <w:szCs w:val="21"/>
              </w:rPr>
              <w:t>递延所得税资产</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资产减值准备</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11,623,143.63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2,197,879.31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18,201,527.32</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3,388,464.02</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交易性金融资产的公允价值变动</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1,348,764.00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337,191.00</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可供出售金融资产的公允价值变动</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0.00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0.00</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内部交易未实现利润</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15,932,663.44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3,983,165.86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6,770,441.00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1,692,610.25</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未支付的职工薪酬</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483,620.56</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120,905.14</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预提费用</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12,092,716.13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1,813,907.42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16,574,411.00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2,486,161.65</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递延收益</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0.00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0.00</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可抵扣亏损</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354,920,390.51</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82,604,414.64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502,022,474.03</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125,505,618.50</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现金流量套期保值</w:t>
            </w:r>
          </w:p>
        </w:tc>
        <w:tc>
          <w:tcPr>
            <w:tcW w:w="144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22"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579,300.00</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144,825.00</w:t>
            </w:r>
          </w:p>
        </w:tc>
      </w:tr>
      <w:tr w:rsidR="00851B9D" w:rsidRPr="000A5B5D" w:rsidTr="00851B9D">
        <w:trPr>
          <w:trHeight w:val="397"/>
        </w:trPr>
        <w:tc>
          <w:tcPr>
            <w:tcW w:w="3360" w:type="dxa"/>
            <w:tcBorders>
              <w:bottom w:val="single" w:sz="12" w:space="0" w:color="auto"/>
            </w:tcBorders>
            <w:vAlign w:val="center"/>
          </w:tcPr>
          <w:p w:rsidR="00851B9D" w:rsidRPr="000A5B5D" w:rsidRDefault="00851B9D" w:rsidP="00851B9D">
            <w:pPr>
              <w:ind w:left="167" w:hanging="167"/>
              <w:rPr>
                <w:rFonts w:ascii="Arial Narrow" w:hAnsi="Arial Narrow" w:cs="Arial"/>
                <w:szCs w:val="21"/>
              </w:rPr>
            </w:pPr>
            <w:r w:rsidRPr="000A5B5D">
              <w:rPr>
                <w:rFonts w:ascii="Arial Narrow" w:hAnsi="Arial Narrow" w:cs="Arial" w:hint="eastAsia"/>
                <w:szCs w:val="21"/>
              </w:rPr>
              <w:t>合</w:t>
            </w:r>
            <w:r w:rsidRPr="000A5B5D">
              <w:rPr>
                <w:rFonts w:ascii="Arial Narrow" w:hAnsi="Arial Narrow" w:cs="Arial"/>
                <w:szCs w:val="21"/>
              </w:rPr>
              <w:t xml:space="preserve">  </w:t>
            </w:r>
            <w:r w:rsidRPr="000A5B5D">
              <w:rPr>
                <w:rFonts w:ascii="Arial Narrow" w:hAnsi="Arial Narrow" w:cs="Arial" w:hint="eastAsia"/>
                <w:szCs w:val="21"/>
              </w:rPr>
              <w:t>计</w:t>
            </w:r>
          </w:p>
        </w:tc>
        <w:tc>
          <w:tcPr>
            <w:tcW w:w="1442"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394,568,913.71   </w:t>
            </w:r>
          </w:p>
        </w:tc>
        <w:tc>
          <w:tcPr>
            <w:tcW w:w="1322"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90,599,367.23  </w:t>
            </w:r>
          </w:p>
        </w:tc>
        <w:tc>
          <w:tcPr>
            <w:tcW w:w="1547"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545,980,537.91  </w:t>
            </w:r>
          </w:p>
        </w:tc>
        <w:tc>
          <w:tcPr>
            <w:tcW w:w="1385"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133,675,775.56 </w:t>
            </w:r>
          </w:p>
        </w:tc>
      </w:tr>
    </w:tbl>
    <w:bookmarkEnd w:id="40"/>
    <w:bookmarkEnd w:id="41"/>
    <w:p w:rsidR="00851B9D" w:rsidRPr="000A5B5D" w:rsidRDefault="00851B9D" w:rsidP="00851B9D">
      <w:pPr>
        <w:spacing w:line="400" w:lineRule="exact"/>
        <w:ind w:firstLineChars="200" w:firstLine="480"/>
        <w:rPr>
          <w:rFonts w:ascii="Arial" w:hAnsi="Arial" w:cs="Arial"/>
          <w:b/>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）未经抵销的递延所得税负债明细</w:t>
      </w:r>
    </w:p>
    <w:tbl>
      <w:tblPr>
        <w:tblW w:w="9056"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60"/>
        <w:gridCol w:w="1442"/>
        <w:gridCol w:w="1322"/>
        <w:gridCol w:w="1547"/>
        <w:gridCol w:w="1385"/>
      </w:tblGrid>
      <w:tr w:rsidR="00851B9D" w:rsidRPr="000A5B5D" w:rsidTr="00851B9D">
        <w:trPr>
          <w:trHeight w:val="397"/>
        </w:trPr>
        <w:tc>
          <w:tcPr>
            <w:tcW w:w="3360" w:type="dxa"/>
            <w:vMerge w:val="restart"/>
            <w:tcBorders>
              <w:top w:val="single" w:sz="12" w:space="0" w:color="auto"/>
            </w:tcBorders>
            <w:vAlign w:val="center"/>
          </w:tcPr>
          <w:p w:rsidR="00851B9D" w:rsidRPr="000A5B5D" w:rsidRDefault="00851B9D" w:rsidP="00851B9D">
            <w:pPr>
              <w:jc w:val="center"/>
              <w:rPr>
                <w:rFonts w:ascii="Arial Narrow" w:hAnsi="Arial Narrow" w:cs="Arial"/>
                <w:szCs w:val="21"/>
                <w:lang w:val="fr-FR"/>
              </w:rPr>
            </w:pPr>
            <w:r w:rsidRPr="000A5B5D">
              <w:rPr>
                <w:rFonts w:ascii="Arial Narrow" w:hAnsi="Arial Narrow" w:cs="Arial" w:hint="eastAsia"/>
                <w:szCs w:val="21"/>
                <w:lang w:val="fr-FR"/>
              </w:rPr>
              <w:t>项</w:t>
            </w:r>
            <w:r w:rsidRPr="000A5B5D">
              <w:rPr>
                <w:rFonts w:ascii="Arial Narrow" w:hAnsi="Arial Narrow" w:cs="Arial"/>
                <w:szCs w:val="21"/>
                <w:lang w:val="fr-FR"/>
              </w:rPr>
              <w:t xml:space="preserve">  </w:t>
            </w:r>
            <w:r w:rsidRPr="000A5B5D">
              <w:rPr>
                <w:rFonts w:ascii="Arial Narrow" w:hAnsi="Arial Narrow" w:cs="Arial" w:hint="eastAsia"/>
                <w:szCs w:val="21"/>
                <w:lang w:val="fr-FR"/>
              </w:rPr>
              <w:t>目</w:t>
            </w:r>
          </w:p>
        </w:tc>
        <w:tc>
          <w:tcPr>
            <w:tcW w:w="2764" w:type="dxa"/>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年末余额</w:t>
            </w:r>
          </w:p>
        </w:tc>
        <w:tc>
          <w:tcPr>
            <w:tcW w:w="2932" w:type="dxa"/>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年初余额</w:t>
            </w:r>
          </w:p>
        </w:tc>
      </w:tr>
      <w:tr w:rsidR="00851B9D" w:rsidRPr="000A5B5D" w:rsidTr="00851B9D">
        <w:trPr>
          <w:trHeight w:val="397"/>
        </w:trPr>
        <w:tc>
          <w:tcPr>
            <w:tcW w:w="3360" w:type="dxa"/>
            <w:vMerge/>
            <w:vAlign w:val="center"/>
          </w:tcPr>
          <w:p w:rsidR="00851B9D" w:rsidRPr="000A5B5D" w:rsidRDefault="00851B9D" w:rsidP="00851B9D">
            <w:pPr>
              <w:jc w:val="center"/>
              <w:rPr>
                <w:rFonts w:ascii="Arial Narrow" w:hAnsi="Arial Narrow" w:cs="Arial"/>
                <w:szCs w:val="21"/>
              </w:rPr>
            </w:pPr>
          </w:p>
        </w:tc>
        <w:tc>
          <w:tcPr>
            <w:tcW w:w="1442" w:type="dxa"/>
            <w:vAlign w:val="center"/>
          </w:tcPr>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t>应纳税暂时性</w:t>
            </w:r>
          </w:p>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lastRenderedPageBreak/>
              <w:t>差异</w:t>
            </w:r>
          </w:p>
        </w:tc>
        <w:tc>
          <w:tcPr>
            <w:tcW w:w="1322" w:type="dxa"/>
            <w:vAlign w:val="center"/>
          </w:tcPr>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lastRenderedPageBreak/>
              <w:t>递延所得税</w:t>
            </w:r>
          </w:p>
          <w:p w:rsidR="00851B9D" w:rsidRPr="000A5B5D" w:rsidRDefault="00851B9D" w:rsidP="00851B9D">
            <w:pPr>
              <w:tabs>
                <w:tab w:val="right" w:pos="4140"/>
                <w:tab w:val="right" w:pos="5220"/>
                <w:tab w:val="right" w:pos="6480"/>
                <w:tab w:val="right" w:pos="7805"/>
              </w:tabs>
              <w:ind w:left="-108" w:right="-11"/>
              <w:jc w:val="center"/>
              <w:rPr>
                <w:rFonts w:ascii="Arial Narrow" w:hAnsi="Arial Narrow" w:cs="Arial"/>
                <w:szCs w:val="21"/>
              </w:rPr>
            </w:pPr>
            <w:r w:rsidRPr="000A5B5D">
              <w:rPr>
                <w:rFonts w:ascii="Arial Narrow" w:hAnsi="Arial Narrow" w:cs="Arial" w:hint="eastAsia"/>
                <w:szCs w:val="21"/>
              </w:rPr>
              <w:lastRenderedPageBreak/>
              <w:t>负债</w:t>
            </w:r>
          </w:p>
        </w:tc>
        <w:tc>
          <w:tcPr>
            <w:tcW w:w="1547" w:type="dxa"/>
            <w:vAlign w:val="center"/>
          </w:tcPr>
          <w:p w:rsidR="00851B9D" w:rsidRPr="000A5B5D" w:rsidRDefault="00851B9D" w:rsidP="00851B9D">
            <w:pPr>
              <w:tabs>
                <w:tab w:val="right" w:pos="4140"/>
                <w:tab w:val="right" w:pos="5220"/>
                <w:tab w:val="right" w:pos="6480"/>
                <w:tab w:val="right" w:pos="7805"/>
              </w:tabs>
              <w:ind w:left="-108" w:firstLineChars="51" w:firstLine="92"/>
              <w:jc w:val="center"/>
              <w:rPr>
                <w:rFonts w:ascii="Arial Narrow" w:hAnsi="Arial Narrow" w:cs="Arial"/>
                <w:szCs w:val="21"/>
              </w:rPr>
            </w:pPr>
            <w:r w:rsidRPr="000A5B5D">
              <w:rPr>
                <w:rFonts w:ascii="Arial Narrow" w:hAnsi="Arial Narrow" w:cs="Arial" w:hint="eastAsia"/>
                <w:szCs w:val="21"/>
              </w:rPr>
              <w:lastRenderedPageBreak/>
              <w:t>应纳税暂时性</w:t>
            </w:r>
          </w:p>
          <w:p w:rsidR="00851B9D" w:rsidRPr="000A5B5D" w:rsidRDefault="00851B9D" w:rsidP="00851B9D">
            <w:pPr>
              <w:tabs>
                <w:tab w:val="right" w:pos="4140"/>
                <w:tab w:val="right" w:pos="5220"/>
                <w:tab w:val="right" w:pos="6480"/>
                <w:tab w:val="right" w:pos="7805"/>
              </w:tabs>
              <w:ind w:left="-108" w:firstLineChars="51" w:firstLine="92"/>
              <w:jc w:val="center"/>
              <w:rPr>
                <w:rFonts w:ascii="Arial Narrow" w:hAnsi="Arial Narrow" w:cs="Arial"/>
                <w:szCs w:val="21"/>
              </w:rPr>
            </w:pPr>
            <w:r w:rsidRPr="000A5B5D">
              <w:rPr>
                <w:rFonts w:ascii="Arial Narrow" w:hAnsi="Arial Narrow" w:cs="Arial" w:hint="eastAsia"/>
                <w:szCs w:val="21"/>
              </w:rPr>
              <w:lastRenderedPageBreak/>
              <w:t>差异</w:t>
            </w:r>
          </w:p>
        </w:tc>
        <w:tc>
          <w:tcPr>
            <w:tcW w:w="1385" w:type="dxa"/>
            <w:vAlign w:val="center"/>
          </w:tcPr>
          <w:p w:rsidR="00851B9D" w:rsidRPr="000A5B5D" w:rsidRDefault="00851B9D" w:rsidP="00851B9D">
            <w:pPr>
              <w:tabs>
                <w:tab w:val="right" w:pos="4140"/>
                <w:tab w:val="right" w:pos="5220"/>
                <w:tab w:val="right" w:pos="6480"/>
                <w:tab w:val="right" w:pos="7805"/>
              </w:tabs>
              <w:ind w:left="149" w:hanging="1"/>
              <w:jc w:val="center"/>
              <w:rPr>
                <w:rFonts w:ascii="Arial Narrow" w:hAnsi="Arial Narrow" w:cs="Arial"/>
                <w:szCs w:val="21"/>
              </w:rPr>
            </w:pPr>
            <w:r w:rsidRPr="000A5B5D">
              <w:rPr>
                <w:rFonts w:ascii="Arial Narrow" w:hAnsi="Arial Narrow" w:cs="Arial" w:hint="eastAsia"/>
                <w:szCs w:val="21"/>
              </w:rPr>
              <w:lastRenderedPageBreak/>
              <w:t>递延所得税负</w:t>
            </w:r>
            <w:r w:rsidRPr="000A5B5D">
              <w:rPr>
                <w:rFonts w:ascii="Arial Narrow" w:hAnsi="Arial Narrow" w:cs="Arial" w:hint="eastAsia"/>
                <w:szCs w:val="21"/>
              </w:rPr>
              <w:lastRenderedPageBreak/>
              <w:t>债</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lastRenderedPageBreak/>
              <w:t>交易性金融资产的公允价值变动</w:t>
            </w:r>
          </w:p>
        </w:tc>
        <w:tc>
          <w:tcPr>
            <w:tcW w:w="144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79,888,040.30 </w:t>
            </w:r>
          </w:p>
        </w:tc>
        <w:tc>
          <w:tcPr>
            <w:tcW w:w="132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12,298,190.88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 xml:space="preserve">0.00 </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trPr>
        <w:tc>
          <w:tcPr>
            <w:tcW w:w="3360"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现金流量套期保值</w:t>
            </w:r>
          </w:p>
        </w:tc>
        <w:tc>
          <w:tcPr>
            <w:tcW w:w="144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12,444,400.00 </w:t>
            </w:r>
          </w:p>
        </w:tc>
        <w:tc>
          <w:tcPr>
            <w:tcW w:w="132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1,866,660.00 </w:t>
            </w:r>
          </w:p>
        </w:tc>
        <w:tc>
          <w:tcPr>
            <w:tcW w:w="1547"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85" w:type="dxa"/>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3360" w:type="dxa"/>
            <w:tcBorders>
              <w:bottom w:val="single" w:sz="12" w:space="0" w:color="auto"/>
            </w:tcBorders>
            <w:vAlign w:val="center"/>
          </w:tcPr>
          <w:p w:rsidR="00851B9D" w:rsidRPr="000A5B5D" w:rsidRDefault="00851B9D" w:rsidP="00851B9D">
            <w:pPr>
              <w:ind w:left="167" w:hanging="167"/>
              <w:rPr>
                <w:rFonts w:ascii="Arial Narrow" w:hAnsi="Arial Narrow" w:cs="Arial"/>
                <w:szCs w:val="21"/>
              </w:rPr>
            </w:pPr>
            <w:r w:rsidRPr="000A5B5D">
              <w:rPr>
                <w:rFonts w:ascii="Arial Narrow" w:hAnsi="Arial Narrow" w:cs="Arial" w:hint="eastAsia"/>
                <w:szCs w:val="21"/>
              </w:rPr>
              <w:t>合</w:t>
            </w:r>
            <w:r w:rsidRPr="000A5B5D">
              <w:rPr>
                <w:rFonts w:ascii="Arial Narrow" w:hAnsi="Arial Narrow" w:cs="Arial"/>
                <w:szCs w:val="21"/>
              </w:rPr>
              <w:t xml:space="preserve">  </w:t>
            </w:r>
            <w:r w:rsidRPr="000A5B5D">
              <w:rPr>
                <w:rFonts w:ascii="Arial Narrow" w:hAnsi="Arial Narrow" w:cs="Arial" w:hint="eastAsia"/>
                <w:szCs w:val="21"/>
              </w:rPr>
              <w:t>计</w:t>
            </w:r>
          </w:p>
        </w:tc>
        <w:tc>
          <w:tcPr>
            <w:tcW w:w="1442"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92,332,440.30 </w:t>
            </w:r>
          </w:p>
        </w:tc>
        <w:tc>
          <w:tcPr>
            <w:tcW w:w="1322"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14,164,850.88 </w:t>
            </w:r>
          </w:p>
        </w:tc>
        <w:tc>
          <w:tcPr>
            <w:tcW w:w="1547"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c>
          <w:tcPr>
            <w:tcW w:w="1385" w:type="dxa"/>
            <w:tcBorders>
              <w:bottom w:val="single" w:sz="12" w:space="0" w:color="auto"/>
            </w:tcBorders>
            <w:vAlign w:val="center"/>
          </w:tcPr>
          <w:p w:rsidR="00851B9D" w:rsidRPr="000A5B5D" w:rsidRDefault="00851B9D" w:rsidP="00851B9D">
            <w:pPr>
              <w:tabs>
                <w:tab w:val="right" w:pos="4140"/>
                <w:tab w:val="right" w:pos="5220"/>
                <w:tab w:val="right" w:pos="6480"/>
                <w:tab w:val="right" w:pos="7805"/>
              </w:tabs>
              <w:jc w:val="right"/>
              <w:rPr>
                <w:rFonts w:ascii="Arial Narrow" w:hAnsi="Arial Narrow" w:cs="Arial"/>
                <w:szCs w:val="21"/>
              </w:rPr>
            </w:pPr>
            <w:r w:rsidRPr="000A5B5D">
              <w:rPr>
                <w:rFonts w:ascii="Arial Narrow" w:hAnsi="Arial Narrow" w:cs="Arial"/>
                <w:szCs w:val="21"/>
              </w:rPr>
              <w:t xml:space="preserve">0.00 </w:t>
            </w:r>
          </w:p>
        </w:tc>
      </w:tr>
    </w:tbl>
    <w:p w:rsidR="00851B9D" w:rsidRPr="000A5B5D" w:rsidRDefault="00851B9D" w:rsidP="00851B9D">
      <w:pPr>
        <w:spacing w:line="400" w:lineRule="exact"/>
        <w:ind w:left="54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）未确认递延所得税资产明细</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439"/>
        <w:gridCol w:w="2768"/>
        <w:gridCol w:w="3007"/>
      </w:tblGrid>
      <w:tr w:rsidR="00851B9D" w:rsidRPr="000A5B5D" w:rsidTr="00851B9D">
        <w:trPr>
          <w:trHeight w:val="397"/>
          <w:tblHeader/>
          <w:jc w:val="center"/>
        </w:trPr>
        <w:tc>
          <w:tcPr>
            <w:tcW w:w="343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76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0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可抵扣暂时性差异</w:t>
            </w:r>
          </w:p>
        </w:tc>
        <w:tc>
          <w:tcPr>
            <w:tcW w:w="276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25,233,971.97 </w:t>
            </w:r>
          </w:p>
        </w:tc>
        <w:tc>
          <w:tcPr>
            <w:tcW w:w="300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24,474,618.62</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可抵扣亏损</w:t>
            </w:r>
          </w:p>
        </w:tc>
        <w:tc>
          <w:tcPr>
            <w:tcW w:w="276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889,821,033.13  </w:t>
            </w:r>
          </w:p>
        </w:tc>
        <w:tc>
          <w:tcPr>
            <w:tcW w:w="300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365,167,479.99</w:t>
            </w:r>
          </w:p>
        </w:tc>
      </w:tr>
      <w:tr w:rsidR="00851B9D" w:rsidRPr="000A5B5D" w:rsidTr="00851B9D">
        <w:trPr>
          <w:trHeight w:val="397"/>
          <w:jc w:val="center"/>
        </w:trPr>
        <w:tc>
          <w:tcPr>
            <w:tcW w:w="3439" w:type="dxa"/>
            <w:tcBorders>
              <w:bottom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768"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915,055,005.10    </w:t>
            </w:r>
          </w:p>
        </w:tc>
        <w:tc>
          <w:tcPr>
            <w:tcW w:w="300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fldChar w:fldCharType="begin"/>
            </w:r>
            <w:r w:rsidRPr="000A5B5D">
              <w:rPr>
                <w:rFonts w:ascii="Arial Narrow" w:hAnsi="Arial Narrow" w:cs="Arial"/>
                <w:kern w:val="0"/>
                <w:szCs w:val="21"/>
              </w:rPr>
              <w:instrText xml:space="preserve"> =SUM(ABOVE) </w:instrText>
            </w:r>
            <w:r w:rsidRPr="000A5B5D">
              <w:rPr>
                <w:rFonts w:ascii="Arial Narrow" w:hAnsi="Arial Narrow" w:cs="Arial"/>
                <w:kern w:val="0"/>
                <w:szCs w:val="21"/>
              </w:rPr>
              <w:fldChar w:fldCharType="separate"/>
            </w:r>
            <w:r w:rsidRPr="000A5B5D">
              <w:rPr>
                <w:rFonts w:ascii="Arial Narrow" w:hAnsi="Arial Narrow" w:cs="Arial"/>
                <w:kern w:val="0"/>
                <w:szCs w:val="21"/>
              </w:rPr>
              <w:t>389,642,098.61</w:t>
            </w:r>
            <w:r w:rsidRPr="000A5B5D">
              <w:rPr>
                <w:rFonts w:ascii="Arial Narrow" w:hAnsi="Arial Narrow" w:cs="Arial"/>
                <w:kern w:val="0"/>
                <w:szCs w:val="21"/>
              </w:rPr>
              <w:fldChar w:fldCharType="end"/>
            </w:r>
          </w:p>
        </w:tc>
      </w:tr>
    </w:tbl>
    <w:p w:rsidR="00851B9D" w:rsidRPr="000A5B5D" w:rsidRDefault="00851B9D" w:rsidP="00851B9D">
      <w:pPr>
        <w:spacing w:line="400" w:lineRule="exact"/>
        <w:ind w:left="54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）未确认递延所得税资产的可抵扣亏损将于以下年度到期</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45"/>
        <w:gridCol w:w="2771"/>
        <w:gridCol w:w="2940"/>
      </w:tblGrid>
      <w:tr w:rsidR="00851B9D" w:rsidRPr="000A5B5D" w:rsidTr="00851B9D">
        <w:trPr>
          <w:trHeight w:val="397"/>
          <w:tblHeader/>
          <w:jc w:val="center"/>
        </w:trPr>
        <w:tc>
          <w:tcPr>
            <w:tcW w:w="334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w:t>
            </w:r>
            <w:r w:rsidRPr="000A5B5D">
              <w:rPr>
                <w:rFonts w:ascii="Arial Narrow" w:hAnsi="Arial Narrow" w:cs="Arial"/>
                <w:kern w:val="0"/>
                <w:szCs w:val="21"/>
              </w:rPr>
              <w:t xml:space="preserve">  </w:t>
            </w:r>
            <w:r w:rsidRPr="000A5B5D">
              <w:rPr>
                <w:rFonts w:ascii="Arial Narrow" w:hAnsi="Arial Narrow" w:cs="Arial" w:hint="eastAsia"/>
                <w:kern w:val="0"/>
                <w:szCs w:val="21"/>
              </w:rPr>
              <w:t>份</w:t>
            </w:r>
          </w:p>
        </w:tc>
        <w:tc>
          <w:tcPr>
            <w:tcW w:w="277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94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2015</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11,035,662.22</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2016</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11,544,643.18 </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11,544,643.18</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2017</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214,551,144.08 </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135,836,644.36</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2018</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169,981,262.61 </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83,602,318.64</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2019</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250,415,762.25 </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123,148,211.59</w:t>
            </w:r>
          </w:p>
        </w:tc>
      </w:tr>
      <w:tr w:rsidR="00851B9D" w:rsidRPr="000A5B5D" w:rsidTr="00851B9D">
        <w:trPr>
          <w:trHeight w:val="397"/>
          <w:jc w:val="center"/>
        </w:trPr>
        <w:tc>
          <w:tcPr>
            <w:tcW w:w="334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szCs w:val="21"/>
              </w:rPr>
              <w:t>2020</w:t>
            </w:r>
            <w:r w:rsidRPr="000A5B5D">
              <w:rPr>
                <w:rFonts w:ascii="Arial Narrow" w:hAnsi="Arial Narrow" w:cs="Arial" w:hint="eastAsia"/>
                <w:szCs w:val="21"/>
              </w:rPr>
              <w:t>年</w:t>
            </w:r>
          </w:p>
        </w:tc>
        <w:tc>
          <w:tcPr>
            <w:tcW w:w="277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243,328,221.01  </w:t>
            </w:r>
          </w:p>
        </w:tc>
        <w:tc>
          <w:tcPr>
            <w:tcW w:w="294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r>
      <w:tr w:rsidR="00851B9D" w:rsidRPr="000A5B5D" w:rsidTr="00851B9D">
        <w:trPr>
          <w:trHeight w:val="397"/>
          <w:jc w:val="center"/>
        </w:trPr>
        <w:tc>
          <w:tcPr>
            <w:tcW w:w="3345" w:type="dxa"/>
            <w:tcBorders>
              <w:bottom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771"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889,821,033.13  </w:t>
            </w:r>
          </w:p>
        </w:tc>
        <w:tc>
          <w:tcPr>
            <w:tcW w:w="294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fldChar w:fldCharType="begin"/>
            </w:r>
            <w:r w:rsidRPr="000A5B5D">
              <w:rPr>
                <w:rFonts w:ascii="Arial Narrow" w:hAnsi="Arial Narrow" w:cs="Arial"/>
                <w:kern w:val="0"/>
                <w:szCs w:val="21"/>
              </w:rPr>
              <w:instrText xml:space="preserve"> =SUM(ABOVE) </w:instrText>
            </w:r>
            <w:r w:rsidRPr="000A5B5D">
              <w:rPr>
                <w:rFonts w:ascii="Arial Narrow" w:hAnsi="Arial Narrow" w:cs="Arial"/>
                <w:kern w:val="0"/>
                <w:szCs w:val="21"/>
              </w:rPr>
              <w:fldChar w:fldCharType="separate"/>
            </w:r>
            <w:r w:rsidRPr="000A5B5D">
              <w:rPr>
                <w:rFonts w:ascii="Arial Narrow" w:hAnsi="Arial Narrow" w:cs="Arial"/>
                <w:kern w:val="0"/>
                <w:szCs w:val="21"/>
              </w:rPr>
              <w:t>365,167,479.99</w:t>
            </w:r>
            <w:r w:rsidRPr="000A5B5D">
              <w:rPr>
                <w:rFonts w:ascii="Arial Narrow" w:hAnsi="Arial Narrow" w:cs="Arial"/>
                <w:kern w:val="0"/>
                <w:szCs w:val="21"/>
              </w:rPr>
              <w:fldChar w:fldCharType="end"/>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其他非流动资产</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60"/>
        <w:gridCol w:w="2757"/>
        <w:gridCol w:w="2983"/>
      </w:tblGrid>
      <w:tr w:rsidR="00851B9D" w:rsidRPr="000A5B5D" w:rsidTr="00851B9D">
        <w:trPr>
          <w:trHeight w:val="397"/>
          <w:tblHeader/>
        </w:trPr>
        <w:tc>
          <w:tcPr>
            <w:tcW w:w="336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75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98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336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预付工程设备款</w:t>
            </w:r>
          </w:p>
        </w:tc>
        <w:tc>
          <w:tcPr>
            <w:tcW w:w="275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7,050,818.59 </w:t>
            </w:r>
          </w:p>
        </w:tc>
        <w:tc>
          <w:tcPr>
            <w:tcW w:w="298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5,264,551.36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短期借款</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短期借款分类</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439"/>
        <w:gridCol w:w="2743"/>
        <w:gridCol w:w="3032"/>
      </w:tblGrid>
      <w:tr w:rsidR="00851B9D" w:rsidRPr="000A5B5D" w:rsidTr="00851B9D">
        <w:trPr>
          <w:trHeight w:val="397"/>
          <w:tblHeader/>
          <w:jc w:val="center"/>
        </w:trPr>
        <w:tc>
          <w:tcPr>
            <w:tcW w:w="343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74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3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质押借款</w:t>
            </w:r>
          </w:p>
        </w:tc>
        <w:tc>
          <w:tcPr>
            <w:tcW w:w="274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209,630,599.88 </w:t>
            </w:r>
          </w:p>
        </w:tc>
        <w:tc>
          <w:tcPr>
            <w:tcW w:w="303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1,338,306,913.75 </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抵押借款</w:t>
            </w:r>
          </w:p>
        </w:tc>
        <w:tc>
          <w:tcPr>
            <w:tcW w:w="274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1,912,364,320.00 </w:t>
            </w:r>
          </w:p>
        </w:tc>
        <w:tc>
          <w:tcPr>
            <w:tcW w:w="303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1,222,516,000.00 </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保证借款</w:t>
            </w:r>
          </w:p>
        </w:tc>
        <w:tc>
          <w:tcPr>
            <w:tcW w:w="274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6,547,569,292.73 </w:t>
            </w:r>
          </w:p>
        </w:tc>
        <w:tc>
          <w:tcPr>
            <w:tcW w:w="303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7,184,502,148.57 </w:t>
            </w:r>
          </w:p>
        </w:tc>
      </w:tr>
      <w:tr w:rsidR="00851B9D" w:rsidRPr="000A5B5D" w:rsidTr="00851B9D">
        <w:trPr>
          <w:trHeight w:val="397"/>
          <w:jc w:val="center"/>
        </w:trPr>
        <w:tc>
          <w:tcPr>
            <w:tcW w:w="343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信用借款</w:t>
            </w:r>
          </w:p>
        </w:tc>
        <w:tc>
          <w:tcPr>
            <w:tcW w:w="2743"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2,358,860,000.00  </w:t>
            </w:r>
          </w:p>
        </w:tc>
        <w:tc>
          <w:tcPr>
            <w:tcW w:w="303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971,263,759.65 </w:t>
            </w:r>
          </w:p>
        </w:tc>
      </w:tr>
      <w:tr w:rsidR="00851B9D" w:rsidRPr="000A5B5D" w:rsidTr="00851B9D">
        <w:trPr>
          <w:trHeight w:val="397"/>
          <w:jc w:val="center"/>
        </w:trPr>
        <w:tc>
          <w:tcPr>
            <w:tcW w:w="343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74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11,028,424,212.61  </w:t>
            </w:r>
          </w:p>
        </w:tc>
        <w:tc>
          <w:tcPr>
            <w:tcW w:w="3032"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10,716,588,821.97</w:t>
            </w:r>
          </w:p>
        </w:tc>
      </w:tr>
    </w:tbl>
    <w:p w:rsidR="00851B9D" w:rsidRPr="000A5B5D" w:rsidRDefault="00851B9D" w:rsidP="00851B9D">
      <w:pPr>
        <w:tabs>
          <w:tab w:val="left" w:pos="8973"/>
        </w:tabs>
        <w:spacing w:line="400" w:lineRule="exact"/>
        <w:ind w:firstLineChars="200" w:firstLine="480"/>
        <w:rPr>
          <w:rFonts w:ascii="Arial" w:hAnsi="Arial" w:cs="Arial"/>
          <w:sz w:val="24"/>
        </w:rPr>
      </w:pPr>
      <w:r w:rsidRPr="000A5B5D">
        <w:rPr>
          <w:rFonts w:ascii="Arial" w:hAnsi="Arial" w:cs="Arial" w:hint="eastAsia"/>
          <w:sz w:val="24"/>
        </w:rPr>
        <w:t>注</w:t>
      </w:r>
      <w:r w:rsidRPr="000A5B5D">
        <w:rPr>
          <w:rFonts w:ascii="Arial" w:hAnsi="Arial" w:cs="Arial"/>
          <w:sz w:val="24"/>
        </w:rPr>
        <w:t>1</w:t>
      </w:r>
      <w:r w:rsidRPr="000A5B5D">
        <w:rPr>
          <w:rFonts w:ascii="Arial" w:hAnsi="Arial" w:cs="Arial" w:hint="eastAsia"/>
          <w:sz w:val="24"/>
        </w:rPr>
        <w:t>：</w:t>
      </w:r>
    </w:p>
    <w:p w:rsidR="00851B9D" w:rsidRPr="000A5B5D" w:rsidRDefault="00851B9D" w:rsidP="00851B9D">
      <w:pPr>
        <w:spacing w:line="400" w:lineRule="exact"/>
        <w:ind w:firstLineChars="200" w:firstLine="480"/>
        <w:rPr>
          <w:rFonts w:ascii="Arial" w:hAnsi="Arial" w:cs="Arial"/>
          <w:bCs/>
          <w:sz w:val="24"/>
        </w:rPr>
      </w:pPr>
      <w:bookmarkStart w:id="42" w:name="OLE_LINK148"/>
      <w:bookmarkStart w:id="43" w:name="OLE_LINK149"/>
      <w:r w:rsidRPr="000A5B5D">
        <w:rPr>
          <w:rFonts w:ascii="Arial" w:hAnsi="Arial" w:cs="Arial" w:hint="eastAsia"/>
          <w:bCs/>
          <w:sz w:val="24"/>
        </w:rPr>
        <w:t>抵押借款的抵押资产类别以及金额，参见附注六、</w:t>
      </w:r>
      <w:r w:rsidRPr="000A5B5D">
        <w:rPr>
          <w:rFonts w:ascii="Arial" w:hAnsi="Arial" w:cs="Arial"/>
          <w:bCs/>
          <w:sz w:val="24"/>
        </w:rPr>
        <w:t>56</w:t>
      </w:r>
      <w:r w:rsidRPr="000A5B5D">
        <w:rPr>
          <w:rFonts w:ascii="Arial" w:hAnsi="Arial" w:cs="Arial" w:hint="eastAsia"/>
          <w:bCs/>
          <w:sz w:val="24"/>
        </w:rPr>
        <w:t>。</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质押借款的抵押资产类别以及金额，参见附注六、</w:t>
      </w:r>
      <w:r w:rsidRPr="000A5B5D">
        <w:rPr>
          <w:rFonts w:ascii="Arial" w:hAnsi="Arial" w:cs="Arial"/>
          <w:bCs/>
          <w:sz w:val="24"/>
        </w:rPr>
        <w:t>56</w:t>
      </w:r>
      <w:r w:rsidRPr="000A5B5D">
        <w:rPr>
          <w:rFonts w:ascii="Arial" w:hAnsi="Arial" w:cs="Arial" w:hint="eastAsia"/>
          <w:bCs/>
          <w:sz w:val="24"/>
        </w:rPr>
        <w:t>。</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lastRenderedPageBreak/>
        <w:t>注</w:t>
      </w:r>
      <w:r w:rsidRPr="000A5B5D">
        <w:rPr>
          <w:rFonts w:ascii="Arial" w:hAnsi="Arial" w:cs="Arial"/>
          <w:bCs/>
          <w:sz w:val="24"/>
        </w:rPr>
        <w:t>2</w:t>
      </w:r>
      <w:r w:rsidRPr="000A5B5D">
        <w:rPr>
          <w:rFonts w:ascii="Arial" w:hAnsi="Arial" w:cs="Arial" w:hint="eastAsia"/>
          <w:bCs/>
          <w:sz w:val="24"/>
        </w:rPr>
        <w:t>：本公司无已到期未偿付的短期借款</w:t>
      </w:r>
    </w:p>
    <w:bookmarkEnd w:id="42"/>
    <w:bookmarkEnd w:id="43"/>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以公允价值计量且其变动计入当期损益的金融负债</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99"/>
        <w:gridCol w:w="2883"/>
        <w:gridCol w:w="3032"/>
      </w:tblGrid>
      <w:tr w:rsidR="00851B9D" w:rsidRPr="000A5B5D" w:rsidTr="00851B9D">
        <w:trPr>
          <w:trHeight w:val="397"/>
          <w:tblHeader/>
          <w:jc w:val="center"/>
        </w:trPr>
        <w:tc>
          <w:tcPr>
            <w:tcW w:w="32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8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3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交易性金融负债</w:t>
            </w:r>
          </w:p>
        </w:tc>
        <w:tc>
          <w:tcPr>
            <w:tcW w:w="288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13,429,110.94 </w:t>
            </w:r>
          </w:p>
        </w:tc>
        <w:tc>
          <w:tcPr>
            <w:tcW w:w="303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12,916,407.35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其中：发行的交易性债券</w:t>
            </w:r>
          </w:p>
        </w:tc>
        <w:tc>
          <w:tcPr>
            <w:tcW w:w="288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303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0.00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衍生金融负债</w:t>
            </w:r>
          </w:p>
        </w:tc>
        <w:tc>
          <w:tcPr>
            <w:tcW w:w="288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13,429,110.94 </w:t>
            </w:r>
          </w:p>
        </w:tc>
        <w:tc>
          <w:tcPr>
            <w:tcW w:w="303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12,916,407.35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其他</w:t>
            </w:r>
          </w:p>
        </w:tc>
        <w:tc>
          <w:tcPr>
            <w:tcW w:w="288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c>
          <w:tcPr>
            <w:tcW w:w="303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299" w:type="dxa"/>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指定为以公允价值计量且其变动计入当期损益的金融负债</w:t>
            </w:r>
          </w:p>
        </w:tc>
        <w:tc>
          <w:tcPr>
            <w:tcW w:w="288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303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29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8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13,429,110.94 </w:t>
            </w:r>
          </w:p>
        </w:tc>
        <w:tc>
          <w:tcPr>
            <w:tcW w:w="3032"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12,916,407.35</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注：年末本公司衍生金融负债为远期外汇衍生工具。</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应付票据</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13"/>
        <w:gridCol w:w="2883"/>
        <w:gridCol w:w="3018"/>
      </w:tblGrid>
      <w:tr w:rsidR="00851B9D" w:rsidRPr="000A5B5D" w:rsidTr="00851B9D">
        <w:trPr>
          <w:trHeight w:val="397"/>
          <w:tblHeader/>
          <w:jc w:val="center"/>
        </w:trPr>
        <w:tc>
          <w:tcPr>
            <w:tcW w:w="331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种</w:t>
            </w:r>
            <w:r w:rsidRPr="000A5B5D">
              <w:rPr>
                <w:rFonts w:ascii="Arial Narrow" w:hAnsi="Arial Narrow" w:cs="Arial"/>
                <w:kern w:val="0"/>
                <w:szCs w:val="21"/>
              </w:rPr>
              <w:t xml:space="preserve">  </w:t>
            </w:r>
            <w:r w:rsidRPr="000A5B5D">
              <w:rPr>
                <w:rFonts w:ascii="Arial Narrow" w:hAnsi="Arial Narrow" w:cs="Arial" w:hint="eastAsia"/>
                <w:kern w:val="0"/>
                <w:szCs w:val="21"/>
              </w:rPr>
              <w:t>类</w:t>
            </w:r>
          </w:p>
        </w:tc>
        <w:tc>
          <w:tcPr>
            <w:tcW w:w="288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1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商业承兑汇票</w:t>
            </w:r>
          </w:p>
        </w:tc>
        <w:tc>
          <w:tcPr>
            <w:tcW w:w="2883"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301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860,000,000.00 </w:t>
            </w:r>
          </w:p>
        </w:tc>
      </w:tr>
      <w:tr w:rsidR="00851B9D" w:rsidRPr="000A5B5D" w:rsidTr="00851B9D">
        <w:trPr>
          <w:trHeight w:val="397"/>
          <w:jc w:val="center"/>
        </w:trPr>
        <w:tc>
          <w:tcPr>
            <w:tcW w:w="331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银行承兑汇票</w:t>
            </w:r>
          </w:p>
        </w:tc>
        <w:tc>
          <w:tcPr>
            <w:tcW w:w="2883"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2,108,387,038.50  </w:t>
            </w:r>
          </w:p>
        </w:tc>
        <w:tc>
          <w:tcPr>
            <w:tcW w:w="301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2,248,750,000.00  </w:t>
            </w:r>
          </w:p>
        </w:tc>
      </w:tr>
      <w:tr w:rsidR="00851B9D" w:rsidRPr="000A5B5D" w:rsidTr="00851B9D">
        <w:trPr>
          <w:trHeight w:val="397"/>
          <w:jc w:val="center"/>
        </w:trPr>
        <w:tc>
          <w:tcPr>
            <w:tcW w:w="331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国内信用证</w:t>
            </w:r>
          </w:p>
        </w:tc>
        <w:tc>
          <w:tcPr>
            <w:tcW w:w="288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465,000,000.00  </w:t>
            </w:r>
          </w:p>
        </w:tc>
        <w:tc>
          <w:tcPr>
            <w:tcW w:w="301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331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8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2,573,387,038.50  </w:t>
            </w:r>
          </w:p>
        </w:tc>
        <w:tc>
          <w:tcPr>
            <w:tcW w:w="301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3,108,750,000.00</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应付账款</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）应付账款列示</w:t>
      </w:r>
    </w:p>
    <w:tbl>
      <w:tblPr>
        <w:tblW w:w="9215"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14"/>
        <w:gridCol w:w="2897"/>
        <w:gridCol w:w="3004"/>
      </w:tblGrid>
      <w:tr w:rsidR="00851B9D" w:rsidRPr="000A5B5D" w:rsidTr="00851B9D">
        <w:trPr>
          <w:trHeight w:val="397"/>
          <w:tblHeader/>
          <w:jc w:val="center"/>
        </w:trPr>
        <w:tc>
          <w:tcPr>
            <w:tcW w:w="331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9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1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年以内</w:t>
            </w:r>
          </w:p>
        </w:tc>
        <w:tc>
          <w:tcPr>
            <w:tcW w:w="289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1,321,540,830.73 </w:t>
            </w:r>
          </w:p>
        </w:tc>
        <w:tc>
          <w:tcPr>
            <w:tcW w:w="30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3,761,995,672.25</w:t>
            </w:r>
          </w:p>
        </w:tc>
      </w:tr>
      <w:tr w:rsidR="00851B9D" w:rsidRPr="000A5B5D" w:rsidTr="00851B9D">
        <w:trPr>
          <w:trHeight w:val="397"/>
          <w:jc w:val="center"/>
        </w:trPr>
        <w:tc>
          <w:tcPr>
            <w:tcW w:w="331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89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66,047,638.72 </w:t>
            </w:r>
          </w:p>
        </w:tc>
        <w:tc>
          <w:tcPr>
            <w:tcW w:w="30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32,712,723.11</w:t>
            </w:r>
          </w:p>
        </w:tc>
      </w:tr>
      <w:tr w:rsidR="00851B9D" w:rsidRPr="000A5B5D" w:rsidTr="00851B9D">
        <w:trPr>
          <w:trHeight w:val="397"/>
          <w:jc w:val="center"/>
        </w:trPr>
        <w:tc>
          <w:tcPr>
            <w:tcW w:w="331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89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5,763,342.71 </w:t>
            </w:r>
          </w:p>
        </w:tc>
        <w:tc>
          <w:tcPr>
            <w:tcW w:w="30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4,695,343.30</w:t>
            </w:r>
          </w:p>
        </w:tc>
      </w:tr>
      <w:tr w:rsidR="00851B9D" w:rsidRPr="000A5B5D" w:rsidTr="00851B9D">
        <w:trPr>
          <w:trHeight w:val="397"/>
          <w:jc w:val="center"/>
        </w:trPr>
        <w:tc>
          <w:tcPr>
            <w:tcW w:w="331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89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4,449,975.82 </w:t>
            </w:r>
          </w:p>
        </w:tc>
        <w:tc>
          <w:tcPr>
            <w:tcW w:w="3004"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5,263,061.54</w:t>
            </w:r>
          </w:p>
        </w:tc>
      </w:tr>
      <w:tr w:rsidR="00851B9D" w:rsidRPr="000A5B5D" w:rsidTr="00851B9D">
        <w:trPr>
          <w:trHeight w:val="397"/>
          <w:jc w:val="center"/>
        </w:trPr>
        <w:tc>
          <w:tcPr>
            <w:tcW w:w="3314"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9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1,397,801,787.98 </w:t>
            </w:r>
          </w:p>
        </w:tc>
        <w:tc>
          <w:tcPr>
            <w:tcW w:w="300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3,804,666,800.20</w:t>
            </w:r>
          </w:p>
        </w:tc>
      </w:tr>
    </w:tbl>
    <w:p w:rsidR="00851B9D" w:rsidRPr="000A5B5D" w:rsidRDefault="00851B9D" w:rsidP="00851B9D">
      <w:pPr>
        <w:tabs>
          <w:tab w:val="left" w:pos="9000"/>
        </w:tabs>
        <w:spacing w:line="400" w:lineRule="exact"/>
        <w:ind w:left="54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）账龄超过</w:t>
      </w:r>
      <w:r w:rsidRPr="000A5B5D">
        <w:rPr>
          <w:rFonts w:ascii="Arial" w:hAnsi="Arial" w:cs="Arial"/>
          <w:sz w:val="24"/>
        </w:rPr>
        <w:t>1</w:t>
      </w:r>
      <w:r w:rsidRPr="000A5B5D">
        <w:rPr>
          <w:rFonts w:ascii="Arial" w:hAnsi="Arial" w:cs="Arial" w:hint="eastAsia"/>
          <w:sz w:val="24"/>
        </w:rPr>
        <w:t>年的重要应付账款</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48"/>
        <w:gridCol w:w="2897"/>
        <w:gridCol w:w="2969"/>
      </w:tblGrid>
      <w:tr w:rsidR="00851B9D" w:rsidRPr="000A5B5D" w:rsidTr="00851B9D">
        <w:trPr>
          <w:trHeight w:val="397"/>
        </w:trPr>
        <w:tc>
          <w:tcPr>
            <w:tcW w:w="334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9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96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未偿还或结转的原因</w:t>
            </w:r>
          </w:p>
        </w:tc>
      </w:tr>
      <w:tr w:rsidR="00851B9D" w:rsidRPr="000A5B5D" w:rsidTr="00851B9D">
        <w:trPr>
          <w:trHeight w:val="397"/>
        </w:trPr>
        <w:tc>
          <w:tcPr>
            <w:tcW w:w="334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无锡市兴盛环保设备有限公司</w:t>
            </w:r>
          </w:p>
        </w:tc>
        <w:tc>
          <w:tcPr>
            <w:tcW w:w="289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7,962,157.80 </w:t>
            </w:r>
          </w:p>
        </w:tc>
        <w:tc>
          <w:tcPr>
            <w:tcW w:w="296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尚未结算</w:t>
            </w:r>
          </w:p>
        </w:tc>
      </w:tr>
      <w:tr w:rsidR="00851B9D" w:rsidRPr="000A5B5D" w:rsidTr="00851B9D">
        <w:trPr>
          <w:trHeight w:val="397"/>
        </w:trPr>
        <w:tc>
          <w:tcPr>
            <w:tcW w:w="334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中石化宁波工程有限公司</w:t>
            </w:r>
          </w:p>
        </w:tc>
        <w:tc>
          <w:tcPr>
            <w:tcW w:w="289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6,610,000.00 </w:t>
            </w:r>
          </w:p>
        </w:tc>
        <w:tc>
          <w:tcPr>
            <w:tcW w:w="296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质保金</w:t>
            </w:r>
          </w:p>
        </w:tc>
      </w:tr>
      <w:tr w:rsidR="00851B9D" w:rsidRPr="000A5B5D" w:rsidTr="00851B9D">
        <w:trPr>
          <w:trHeight w:val="397"/>
        </w:trPr>
        <w:tc>
          <w:tcPr>
            <w:tcW w:w="334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江苏中圣高科技产业有限公司</w:t>
            </w:r>
          </w:p>
        </w:tc>
        <w:tc>
          <w:tcPr>
            <w:tcW w:w="289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3,078,750.00 </w:t>
            </w:r>
          </w:p>
        </w:tc>
        <w:tc>
          <w:tcPr>
            <w:tcW w:w="296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质保金</w:t>
            </w:r>
          </w:p>
        </w:tc>
      </w:tr>
      <w:tr w:rsidR="00851B9D" w:rsidRPr="000A5B5D" w:rsidTr="00851B9D">
        <w:trPr>
          <w:trHeight w:val="397"/>
        </w:trPr>
        <w:tc>
          <w:tcPr>
            <w:tcW w:w="334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大连苏尔寿泵及压缩机有限公司</w:t>
            </w:r>
          </w:p>
        </w:tc>
        <w:tc>
          <w:tcPr>
            <w:tcW w:w="289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2,707,100.00 </w:t>
            </w:r>
          </w:p>
        </w:tc>
        <w:tc>
          <w:tcPr>
            <w:tcW w:w="296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质保金</w:t>
            </w:r>
          </w:p>
        </w:tc>
      </w:tr>
      <w:tr w:rsidR="00851B9D" w:rsidRPr="000A5B5D" w:rsidTr="00851B9D">
        <w:trPr>
          <w:trHeight w:val="397"/>
        </w:trPr>
        <w:tc>
          <w:tcPr>
            <w:tcW w:w="334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哈尔滨兴达环保设备有限公司</w:t>
            </w:r>
          </w:p>
        </w:tc>
        <w:tc>
          <w:tcPr>
            <w:tcW w:w="289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4,178,800.00 </w:t>
            </w:r>
          </w:p>
        </w:tc>
        <w:tc>
          <w:tcPr>
            <w:tcW w:w="296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质保金及尚未结算款</w:t>
            </w:r>
          </w:p>
        </w:tc>
      </w:tr>
      <w:tr w:rsidR="00851B9D" w:rsidRPr="000A5B5D" w:rsidTr="00851B9D">
        <w:trPr>
          <w:trHeight w:val="397"/>
        </w:trPr>
        <w:tc>
          <w:tcPr>
            <w:tcW w:w="334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合</w:t>
            </w:r>
            <w:r w:rsidRPr="000A5B5D">
              <w:rPr>
                <w:rFonts w:ascii="Arial Narrow" w:hAnsi="Arial Narrow" w:cs="Arial"/>
                <w:szCs w:val="21"/>
              </w:rPr>
              <w:t xml:space="preserve">    </w:t>
            </w:r>
            <w:r w:rsidRPr="000A5B5D">
              <w:rPr>
                <w:rFonts w:ascii="Arial Narrow" w:hAnsi="Arial Narrow" w:cs="Arial" w:hint="eastAsia"/>
                <w:szCs w:val="21"/>
              </w:rPr>
              <w:t>计</w:t>
            </w:r>
          </w:p>
        </w:tc>
        <w:tc>
          <w:tcPr>
            <w:tcW w:w="289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24,536,807.80</w:t>
            </w:r>
          </w:p>
        </w:tc>
        <w:tc>
          <w:tcPr>
            <w:tcW w:w="296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lastRenderedPageBreak/>
        <w:t>预收款项</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299"/>
        <w:gridCol w:w="2911"/>
        <w:gridCol w:w="3004"/>
      </w:tblGrid>
      <w:tr w:rsidR="00851B9D" w:rsidRPr="000A5B5D" w:rsidTr="00851B9D">
        <w:trPr>
          <w:trHeight w:val="397"/>
          <w:tblHeader/>
          <w:jc w:val="center"/>
        </w:trPr>
        <w:tc>
          <w:tcPr>
            <w:tcW w:w="32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91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年以内</w:t>
            </w:r>
          </w:p>
        </w:tc>
        <w:tc>
          <w:tcPr>
            <w:tcW w:w="291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195,564,170.17 </w:t>
            </w:r>
          </w:p>
        </w:tc>
        <w:tc>
          <w:tcPr>
            <w:tcW w:w="30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224,263,215.72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91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3,606,600.36 </w:t>
            </w:r>
          </w:p>
        </w:tc>
        <w:tc>
          <w:tcPr>
            <w:tcW w:w="30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1,928,246.60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91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1,034,619.38 </w:t>
            </w:r>
          </w:p>
        </w:tc>
        <w:tc>
          <w:tcPr>
            <w:tcW w:w="30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1,430,442.64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911"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3,854,325.19 </w:t>
            </w:r>
          </w:p>
        </w:tc>
        <w:tc>
          <w:tcPr>
            <w:tcW w:w="30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2,782,895.27 </w:t>
            </w:r>
          </w:p>
        </w:tc>
      </w:tr>
      <w:tr w:rsidR="00851B9D" w:rsidRPr="000A5B5D" w:rsidTr="00851B9D">
        <w:trPr>
          <w:trHeight w:val="397"/>
          <w:jc w:val="center"/>
        </w:trPr>
        <w:tc>
          <w:tcPr>
            <w:tcW w:w="329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91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204,059,715.10 </w:t>
            </w:r>
          </w:p>
        </w:tc>
        <w:tc>
          <w:tcPr>
            <w:tcW w:w="300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230,404,800.23 </w:t>
            </w:r>
          </w:p>
        </w:tc>
      </w:tr>
    </w:tbl>
    <w:p w:rsidR="00851B9D" w:rsidRPr="000A5B5D" w:rsidRDefault="00851B9D" w:rsidP="00851B9D">
      <w:pPr>
        <w:pStyle w:val="10"/>
        <w:spacing w:line="400" w:lineRule="exact"/>
        <w:ind w:left="420" w:firstLineChars="0" w:firstLine="0"/>
        <w:outlineLvl w:val="1"/>
        <w:rPr>
          <w:rFonts w:ascii="Arial" w:hAnsi="Arial" w:cs="Arial"/>
          <w:sz w:val="24"/>
        </w:rPr>
      </w:pPr>
      <w:r w:rsidRPr="000A5B5D">
        <w:rPr>
          <w:rFonts w:ascii="Arial" w:hAnsi="Arial" w:cs="Arial" w:hint="eastAsia"/>
          <w:sz w:val="24"/>
        </w:rPr>
        <w:t>注：年末本公司无账龄超过</w:t>
      </w:r>
      <w:r w:rsidRPr="000A5B5D">
        <w:rPr>
          <w:rFonts w:ascii="Arial" w:hAnsi="Arial" w:cs="Arial"/>
          <w:sz w:val="24"/>
        </w:rPr>
        <w:t>1</w:t>
      </w:r>
      <w:r w:rsidRPr="000A5B5D">
        <w:rPr>
          <w:rFonts w:ascii="Arial" w:hAnsi="Arial" w:cs="Arial" w:hint="eastAsia"/>
          <w:sz w:val="24"/>
        </w:rPr>
        <w:t>年的重要预收款项。</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应付职工薪酬</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）应付职工薪酬列示</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99"/>
        <w:gridCol w:w="1274"/>
        <w:gridCol w:w="1630"/>
        <w:gridCol w:w="1575"/>
        <w:gridCol w:w="1436"/>
      </w:tblGrid>
      <w:tr w:rsidR="00851B9D" w:rsidRPr="000A5B5D" w:rsidTr="00851B9D">
        <w:trPr>
          <w:trHeight w:val="397"/>
          <w:tblHeader/>
          <w:jc w:val="center"/>
        </w:trPr>
        <w:tc>
          <w:tcPr>
            <w:tcW w:w="32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27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63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57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43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一、短期薪酬</w:t>
            </w:r>
          </w:p>
        </w:tc>
        <w:tc>
          <w:tcPr>
            <w:tcW w:w="127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36,276,313.33 </w:t>
            </w:r>
          </w:p>
        </w:tc>
        <w:tc>
          <w:tcPr>
            <w:tcW w:w="163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600,309,861.83 </w:t>
            </w:r>
          </w:p>
        </w:tc>
        <w:tc>
          <w:tcPr>
            <w:tcW w:w="15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594,344,629.57 </w:t>
            </w:r>
          </w:p>
        </w:tc>
        <w:tc>
          <w:tcPr>
            <w:tcW w:w="14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42,241,545.59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二、离职后福利</w:t>
            </w:r>
            <w:r w:rsidRPr="000A5B5D">
              <w:rPr>
                <w:rFonts w:ascii="Arial Narrow" w:hAnsi="Arial Narrow" w:cs="Arial"/>
                <w:kern w:val="0"/>
                <w:szCs w:val="21"/>
              </w:rPr>
              <w:t>-</w:t>
            </w:r>
            <w:r w:rsidRPr="000A5B5D">
              <w:rPr>
                <w:rFonts w:ascii="Arial Narrow" w:hAnsi="Arial Narrow" w:cs="Arial" w:hint="eastAsia"/>
                <w:kern w:val="0"/>
                <w:szCs w:val="21"/>
              </w:rPr>
              <w:t>设定提存计划</w:t>
            </w:r>
          </w:p>
        </w:tc>
        <w:tc>
          <w:tcPr>
            <w:tcW w:w="127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181,980.61 </w:t>
            </w:r>
          </w:p>
        </w:tc>
        <w:tc>
          <w:tcPr>
            <w:tcW w:w="163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36,616,662.54 </w:t>
            </w:r>
          </w:p>
        </w:tc>
        <w:tc>
          <w:tcPr>
            <w:tcW w:w="15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36,800,192.84 </w:t>
            </w:r>
          </w:p>
        </w:tc>
        <w:tc>
          <w:tcPr>
            <w:tcW w:w="14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-1,549.69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三、辞退福利</w:t>
            </w:r>
          </w:p>
        </w:tc>
        <w:tc>
          <w:tcPr>
            <w:tcW w:w="127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3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339,847.00 </w:t>
            </w:r>
          </w:p>
        </w:tc>
        <w:tc>
          <w:tcPr>
            <w:tcW w:w="15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339,847.00 </w:t>
            </w:r>
          </w:p>
        </w:tc>
        <w:tc>
          <w:tcPr>
            <w:tcW w:w="14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四、一年内到期的其他福利</w:t>
            </w:r>
          </w:p>
        </w:tc>
        <w:tc>
          <w:tcPr>
            <w:tcW w:w="127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3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5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43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29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27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36,458,293.94 </w:t>
            </w:r>
          </w:p>
        </w:tc>
        <w:tc>
          <w:tcPr>
            <w:tcW w:w="163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637,266,371.37 </w:t>
            </w:r>
          </w:p>
        </w:tc>
        <w:tc>
          <w:tcPr>
            <w:tcW w:w="157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631,484,669.41 </w:t>
            </w:r>
          </w:p>
        </w:tc>
        <w:tc>
          <w:tcPr>
            <w:tcW w:w="143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42,239,995.90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）短期薪酬列示</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99"/>
        <w:gridCol w:w="1288"/>
        <w:gridCol w:w="1616"/>
        <w:gridCol w:w="1559"/>
        <w:gridCol w:w="1452"/>
      </w:tblGrid>
      <w:tr w:rsidR="00851B9D" w:rsidRPr="000A5B5D" w:rsidTr="00851B9D">
        <w:trPr>
          <w:trHeight w:val="397"/>
          <w:tblHeader/>
          <w:jc w:val="center"/>
        </w:trPr>
        <w:tc>
          <w:tcPr>
            <w:tcW w:w="329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28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61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5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45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、工资、奖金、津贴和补贴</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33,931,338.94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544,329,905.37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536,660,328.21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41,600,916.10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、职工福利费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9,717,207.90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9,717,207.90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、社会保险费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142,249.12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31,225,837.63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31,365,283.13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2,803.62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其中：医疗保险费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120,583.25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25,539,661.04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25,658,359.23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1,885.06 </w:t>
            </w:r>
          </w:p>
        </w:tc>
      </w:tr>
      <w:tr w:rsidR="00851B9D" w:rsidRPr="000A5B5D" w:rsidTr="00851B9D">
        <w:trPr>
          <w:trHeight w:val="397"/>
          <w:jc w:val="center"/>
        </w:trPr>
        <w:tc>
          <w:tcPr>
            <w:tcW w:w="3299" w:type="dxa"/>
            <w:vAlign w:val="center"/>
          </w:tcPr>
          <w:p w:rsidR="00851B9D" w:rsidRPr="000A5B5D" w:rsidRDefault="00851B9D" w:rsidP="00851B9D">
            <w:pPr>
              <w:widowControl/>
              <w:ind w:firstLineChars="300" w:firstLine="540"/>
              <w:rPr>
                <w:rFonts w:ascii="Arial Narrow" w:hAnsi="Arial Narrow" w:cs="Arial"/>
                <w:kern w:val="0"/>
                <w:szCs w:val="21"/>
              </w:rPr>
            </w:pPr>
            <w:r w:rsidRPr="000A5B5D">
              <w:rPr>
                <w:rFonts w:ascii="Arial Narrow" w:hAnsi="Arial Narrow" w:cs="Arial" w:hint="eastAsia"/>
                <w:szCs w:val="21"/>
              </w:rPr>
              <w:t>工伤保险费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9,629.87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3,111,148.27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3,120,297.18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480.96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生育保险费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12,036.00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2,575,028.32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2,586,626.72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437.60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4</w:t>
            </w:r>
            <w:r w:rsidRPr="000A5B5D">
              <w:rPr>
                <w:rFonts w:ascii="Arial Narrow" w:hAnsi="Arial Narrow" w:cs="Arial" w:hint="eastAsia"/>
                <w:kern w:val="0"/>
                <w:szCs w:val="21"/>
              </w:rPr>
              <w:t>、住房公积金</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8,959,944.40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8,972,401.40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-12,457.00 </w:t>
            </w:r>
          </w:p>
        </w:tc>
      </w:tr>
      <w:tr w:rsidR="00851B9D" w:rsidRPr="000A5B5D" w:rsidTr="00851B9D">
        <w:trPr>
          <w:trHeight w:val="397"/>
          <w:jc w:val="center"/>
        </w:trPr>
        <w:tc>
          <w:tcPr>
            <w:tcW w:w="3299"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kern w:val="0"/>
                <w:szCs w:val="21"/>
              </w:rPr>
              <w:t>5</w:t>
            </w:r>
            <w:r w:rsidRPr="000A5B5D">
              <w:rPr>
                <w:rFonts w:ascii="Arial Narrow" w:hAnsi="Arial Narrow" w:cs="Arial" w:hint="eastAsia"/>
                <w:kern w:val="0"/>
                <w:szCs w:val="21"/>
              </w:rPr>
              <w:t>、工会经费和职工教育经费</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2,202,725.27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6,076,966.53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7,629,408.93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650,282.87 </w:t>
            </w:r>
          </w:p>
        </w:tc>
      </w:tr>
      <w:tr w:rsidR="00851B9D" w:rsidRPr="000A5B5D" w:rsidTr="00851B9D">
        <w:trPr>
          <w:trHeight w:val="397"/>
          <w:jc w:val="center"/>
        </w:trPr>
        <w:tc>
          <w:tcPr>
            <w:tcW w:w="3299" w:type="dxa"/>
            <w:vAlign w:val="center"/>
          </w:tcPr>
          <w:p w:rsidR="00851B9D" w:rsidRPr="000A5B5D" w:rsidRDefault="00851B9D" w:rsidP="00851B9D">
            <w:pPr>
              <w:ind w:left="562" w:hanging="568"/>
              <w:rPr>
                <w:rFonts w:ascii="Arial Narrow" w:hAnsi="Arial Narrow" w:cs="Arial"/>
                <w:kern w:val="0"/>
                <w:szCs w:val="21"/>
              </w:rPr>
            </w:pPr>
            <w:r w:rsidRPr="000A5B5D">
              <w:rPr>
                <w:rFonts w:ascii="Arial Narrow" w:hAnsi="Arial Narrow" w:cs="Arial"/>
                <w:kern w:val="0"/>
                <w:szCs w:val="21"/>
              </w:rPr>
              <w:t>6</w:t>
            </w:r>
            <w:r w:rsidRPr="000A5B5D">
              <w:rPr>
                <w:rFonts w:ascii="Arial Narrow" w:hAnsi="Arial Narrow" w:cs="Arial" w:hint="eastAsia"/>
                <w:kern w:val="0"/>
                <w:szCs w:val="21"/>
              </w:rPr>
              <w:t>、短期带薪缺勤</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29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7</w:t>
            </w:r>
            <w:r w:rsidRPr="000A5B5D">
              <w:rPr>
                <w:rFonts w:ascii="Arial Narrow" w:hAnsi="Arial Narrow" w:cs="Arial" w:hint="eastAsia"/>
                <w:kern w:val="0"/>
                <w:szCs w:val="21"/>
              </w:rPr>
              <w:t>、短期利润分享计划</w:t>
            </w:r>
          </w:p>
        </w:tc>
        <w:tc>
          <w:tcPr>
            <w:tcW w:w="128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29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28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36,276,313.33 </w:t>
            </w:r>
          </w:p>
        </w:tc>
        <w:tc>
          <w:tcPr>
            <w:tcW w:w="161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600,309,861.83 </w:t>
            </w:r>
          </w:p>
        </w:tc>
        <w:tc>
          <w:tcPr>
            <w:tcW w:w="1559"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594,344,629.57 </w:t>
            </w:r>
          </w:p>
        </w:tc>
        <w:tc>
          <w:tcPr>
            <w:tcW w:w="145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42,241,545.59 </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）设定提存计划列示</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41"/>
        <w:gridCol w:w="1246"/>
        <w:gridCol w:w="1616"/>
        <w:gridCol w:w="1559"/>
        <w:gridCol w:w="1452"/>
      </w:tblGrid>
      <w:tr w:rsidR="00851B9D" w:rsidRPr="000A5B5D" w:rsidTr="00851B9D">
        <w:trPr>
          <w:trHeight w:val="397"/>
          <w:tblHeader/>
          <w:jc w:val="center"/>
        </w:trPr>
        <w:tc>
          <w:tcPr>
            <w:tcW w:w="334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24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61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5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45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3341"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、基本养老保险</w:t>
            </w:r>
          </w:p>
        </w:tc>
        <w:tc>
          <w:tcPr>
            <w:tcW w:w="124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157,980.76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33,421,667.83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33,581,071.13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-1,422.54 </w:t>
            </w:r>
          </w:p>
        </w:tc>
      </w:tr>
      <w:tr w:rsidR="00851B9D" w:rsidRPr="000A5B5D" w:rsidTr="00851B9D">
        <w:trPr>
          <w:trHeight w:val="397"/>
          <w:jc w:val="center"/>
        </w:trPr>
        <w:tc>
          <w:tcPr>
            <w:tcW w:w="3341"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kern w:val="0"/>
                <w:szCs w:val="21"/>
              </w:rPr>
              <w:t>2</w:t>
            </w:r>
            <w:r w:rsidRPr="000A5B5D">
              <w:rPr>
                <w:rFonts w:ascii="Arial Narrow" w:hAnsi="Arial Narrow" w:cs="Arial" w:hint="eastAsia"/>
                <w:kern w:val="0"/>
                <w:szCs w:val="21"/>
              </w:rPr>
              <w:t>、失业保险费</w:t>
            </w:r>
          </w:p>
        </w:tc>
        <w:tc>
          <w:tcPr>
            <w:tcW w:w="124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23,999.85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3,194,994.71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3,219,121.71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-127.15 </w:t>
            </w:r>
          </w:p>
        </w:tc>
      </w:tr>
      <w:tr w:rsidR="00851B9D" w:rsidRPr="000A5B5D" w:rsidTr="00851B9D">
        <w:trPr>
          <w:trHeight w:val="397"/>
          <w:jc w:val="center"/>
        </w:trPr>
        <w:tc>
          <w:tcPr>
            <w:tcW w:w="3341"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kern w:val="0"/>
                <w:szCs w:val="21"/>
              </w:rPr>
              <w:lastRenderedPageBreak/>
              <w:t>3</w:t>
            </w:r>
            <w:r w:rsidRPr="000A5B5D">
              <w:rPr>
                <w:rFonts w:ascii="Arial Narrow" w:hAnsi="Arial Narrow" w:cs="Arial" w:hint="eastAsia"/>
                <w:kern w:val="0"/>
                <w:szCs w:val="21"/>
              </w:rPr>
              <w:t>、企业年金缴费</w:t>
            </w:r>
          </w:p>
        </w:tc>
        <w:tc>
          <w:tcPr>
            <w:tcW w:w="124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616"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559"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45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r>
      <w:tr w:rsidR="00851B9D" w:rsidRPr="000A5B5D" w:rsidTr="00851B9D">
        <w:trPr>
          <w:trHeight w:val="397"/>
          <w:jc w:val="center"/>
        </w:trPr>
        <w:tc>
          <w:tcPr>
            <w:tcW w:w="334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24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181,980.61 </w:t>
            </w:r>
          </w:p>
        </w:tc>
        <w:tc>
          <w:tcPr>
            <w:tcW w:w="1616"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36,616,662.54 </w:t>
            </w:r>
          </w:p>
        </w:tc>
        <w:tc>
          <w:tcPr>
            <w:tcW w:w="1559"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36,800,192.84 </w:t>
            </w:r>
          </w:p>
        </w:tc>
        <w:tc>
          <w:tcPr>
            <w:tcW w:w="145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-1,549.69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应交税费</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41"/>
        <w:gridCol w:w="2862"/>
        <w:gridCol w:w="3011"/>
      </w:tblGrid>
      <w:tr w:rsidR="00851B9D" w:rsidRPr="000A5B5D" w:rsidTr="00851B9D">
        <w:trPr>
          <w:trHeight w:val="397"/>
          <w:tblHeader/>
          <w:jc w:val="center"/>
        </w:trPr>
        <w:tc>
          <w:tcPr>
            <w:tcW w:w="334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6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1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增值税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38,143,898.86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19,153,644.64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营业税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620,371.90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241,996.36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企业所得税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881,594.55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25,026,309.53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城市维护建设税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10,131,400.45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617,883.74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教育费附加</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1,160,242.22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264,806.91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土地使用税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5,072,242.73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2,615,882.28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房产税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5,807,650.77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3,752,228.64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水利专项建设基金</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5,297,535.07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3,079,002.95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个人所得税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396,373.48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672,369.74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印花税</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2,337,563.01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3,011,228.96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地方教育费附加</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773,494.64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176,538.10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残疾人保障金</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10,640.00 </w:t>
            </w:r>
          </w:p>
        </w:tc>
        <w:tc>
          <w:tcPr>
            <w:tcW w:w="3011"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rPr>
              <w:t xml:space="preserve">8,128.00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2862" w:type="dxa"/>
            <w:vAlign w:val="center"/>
          </w:tcPr>
          <w:p w:rsidR="00851B9D" w:rsidRPr="000A5B5D" w:rsidRDefault="00851B9D" w:rsidP="00851B9D">
            <w:pPr>
              <w:widowControl/>
              <w:jc w:val="right"/>
              <w:outlineLvl w:val="0"/>
              <w:rPr>
                <w:rFonts w:ascii="Arial Narrow" w:hAnsi="Arial Narrow" w:cs="Arial"/>
              </w:rPr>
            </w:pPr>
            <w:r w:rsidRPr="000A5B5D">
              <w:rPr>
                <w:rFonts w:ascii="Arial Narrow" w:hAnsi="Arial Narrow" w:cs="Arial"/>
              </w:rPr>
              <w:t xml:space="preserve">171,595.21 </w:t>
            </w:r>
          </w:p>
        </w:tc>
        <w:tc>
          <w:tcPr>
            <w:tcW w:w="301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29,301.19 </w:t>
            </w:r>
          </w:p>
        </w:tc>
      </w:tr>
      <w:tr w:rsidR="00851B9D" w:rsidRPr="000A5B5D" w:rsidTr="00851B9D">
        <w:trPr>
          <w:trHeight w:val="397"/>
          <w:jc w:val="center"/>
        </w:trPr>
        <w:tc>
          <w:tcPr>
            <w:tcW w:w="334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6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70,804,602.89 </w:t>
            </w:r>
          </w:p>
        </w:tc>
        <w:tc>
          <w:tcPr>
            <w:tcW w:w="301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58,649,321.04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应付利息</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41"/>
        <w:gridCol w:w="2869"/>
        <w:gridCol w:w="3004"/>
      </w:tblGrid>
      <w:tr w:rsidR="00851B9D" w:rsidRPr="000A5B5D" w:rsidTr="00851B9D">
        <w:trPr>
          <w:trHeight w:val="397"/>
          <w:tblHeader/>
          <w:jc w:val="center"/>
        </w:trPr>
        <w:tc>
          <w:tcPr>
            <w:tcW w:w="334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6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分期付息到期还本的长期借款利息</w:t>
            </w:r>
          </w:p>
        </w:tc>
        <w:tc>
          <w:tcPr>
            <w:tcW w:w="286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2,252,483.26  </w:t>
            </w:r>
          </w:p>
        </w:tc>
        <w:tc>
          <w:tcPr>
            <w:tcW w:w="300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7,528,951.38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企业债券利息</w:t>
            </w:r>
          </w:p>
        </w:tc>
        <w:tc>
          <w:tcPr>
            <w:tcW w:w="286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300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0.00 </w:t>
            </w:r>
          </w:p>
        </w:tc>
      </w:tr>
      <w:tr w:rsidR="00851B9D" w:rsidRPr="000A5B5D" w:rsidTr="00851B9D">
        <w:trPr>
          <w:trHeight w:val="397"/>
          <w:jc w:val="center"/>
        </w:trPr>
        <w:tc>
          <w:tcPr>
            <w:tcW w:w="334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短期借款应付利息</w:t>
            </w:r>
          </w:p>
        </w:tc>
        <w:tc>
          <w:tcPr>
            <w:tcW w:w="286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16,402,954.75  </w:t>
            </w:r>
          </w:p>
        </w:tc>
        <w:tc>
          <w:tcPr>
            <w:tcW w:w="300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18,246,355.29 </w:t>
            </w:r>
          </w:p>
        </w:tc>
      </w:tr>
      <w:tr w:rsidR="00851B9D" w:rsidRPr="000A5B5D" w:rsidTr="00851B9D">
        <w:trPr>
          <w:trHeight w:val="397"/>
          <w:jc w:val="center"/>
        </w:trPr>
        <w:tc>
          <w:tcPr>
            <w:tcW w:w="334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6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18,655,438.01 </w:t>
            </w:r>
          </w:p>
        </w:tc>
        <w:tc>
          <w:tcPr>
            <w:tcW w:w="300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25,775,306.67</w:t>
            </w:r>
          </w:p>
        </w:tc>
      </w:tr>
    </w:tbl>
    <w:p w:rsidR="00851B9D" w:rsidRPr="000A5B5D" w:rsidRDefault="00851B9D" w:rsidP="00851B9D">
      <w:pPr>
        <w:spacing w:line="400" w:lineRule="exact"/>
        <w:ind w:firstLineChars="200" w:firstLine="482"/>
        <w:rPr>
          <w:rFonts w:ascii="Arial" w:hAnsi="Arial" w:cs="Arial"/>
          <w:b/>
          <w:sz w:val="24"/>
        </w:rPr>
      </w:pP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应付股利</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76"/>
        <w:gridCol w:w="2813"/>
        <w:gridCol w:w="3025"/>
      </w:tblGrid>
      <w:tr w:rsidR="00851B9D" w:rsidRPr="000A5B5D" w:rsidTr="00851B9D">
        <w:trPr>
          <w:trHeight w:val="397"/>
          <w:tblHeader/>
        </w:trPr>
        <w:tc>
          <w:tcPr>
            <w:tcW w:w="33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1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2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337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普通股股利</w:t>
            </w:r>
          </w:p>
        </w:tc>
        <w:tc>
          <w:tcPr>
            <w:tcW w:w="281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720.90 </w:t>
            </w:r>
          </w:p>
        </w:tc>
        <w:tc>
          <w:tcPr>
            <w:tcW w:w="302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720.90</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其他应付款</w:t>
      </w:r>
    </w:p>
    <w:p w:rsidR="00851B9D" w:rsidRPr="000A5B5D" w:rsidRDefault="00851B9D" w:rsidP="00851B9D">
      <w:pPr>
        <w:tabs>
          <w:tab w:val="left" w:pos="8945"/>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）按款项性质列示其他应付款</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27"/>
        <w:gridCol w:w="2827"/>
        <w:gridCol w:w="3060"/>
      </w:tblGrid>
      <w:tr w:rsidR="00851B9D" w:rsidRPr="000A5B5D" w:rsidTr="00851B9D">
        <w:trPr>
          <w:trHeight w:val="397"/>
          <w:tblHeader/>
          <w:jc w:val="center"/>
        </w:trPr>
        <w:tc>
          <w:tcPr>
            <w:tcW w:w="33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6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往来款</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3,487,849.74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6,813,233.21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押金及保证金</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16,650,560.09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19,003,231.82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未结算费用性质款项</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3,998,641.02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7,592,028.26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股权激励回购义务</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62,595,000.00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少数股东投入暂未注册资金</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73,428,000.00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5,378,406.46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5,262,033.65  </w:t>
            </w:r>
          </w:p>
        </w:tc>
      </w:tr>
      <w:tr w:rsidR="00851B9D" w:rsidRPr="000A5B5D" w:rsidTr="00851B9D">
        <w:trPr>
          <w:trHeight w:val="397"/>
          <w:jc w:val="center"/>
        </w:trPr>
        <w:tc>
          <w:tcPr>
            <w:tcW w:w="332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2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92,110,457.31  </w:t>
            </w:r>
          </w:p>
        </w:tc>
        <w:tc>
          <w:tcPr>
            <w:tcW w:w="306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112,098,526.94 </w:t>
            </w:r>
          </w:p>
        </w:tc>
      </w:tr>
    </w:tbl>
    <w:p w:rsidR="00851B9D" w:rsidRPr="000A5B5D" w:rsidRDefault="00851B9D" w:rsidP="00851B9D">
      <w:pPr>
        <w:tabs>
          <w:tab w:val="left" w:pos="8945"/>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）按账龄列示其他应付款</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27"/>
        <w:gridCol w:w="2827"/>
        <w:gridCol w:w="3060"/>
      </w:tblGrid>
      <w:tr w:rsidR="00851B9D" w:rsidRPr="000A5B5D" w:rsidTr="00851B9D">
        <w:trPr>
          <w:trHeight w:val="397"/>
          <w:tblHeader/>
          <w:jc w:val="center"/>
        </w:trPr>
        <w:tc>
          <w:tcPr>
            <w:tcW w:w="33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6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年以内</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80,489,598.14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92,052,893.20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1,079,005.94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9,131,745.75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348,346.94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687,309.86 </w:t>
            </w:r>
          </w:p>
        </w:tc>
      </w:tr>
      <w:tr w:rsidR="00851B9D" w:rsidRPr="000A5B5D" w:rsidTr="00851B9D">
        <w:trPr>
          <w:trHeight w:val="397"/>
          <w:jc w:val="center"/>
        </w:trPr>
        <w:tc>
          <w:tcPr>
            <w:tcW w:w="332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10,193,506.29 </w:t>
            </w:r>
          </w:p>
        </w:tc>
        <w:tc>
          <w:tcPr>
            <w:tcW w:w="306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10,226,578.13 </w:t>
            </w:r>
          </w:p>
        </w:tc>
      </w:tr>
      <w:tr w:rsidR="00851B9D" w:rsidRPr="000A5B5D" w:rsidTr="00851B9D">
        <w:trPr>
          <w:trHeight w:val="397"/>
          <w:jc w:val="center"/>
        </w:trPr>
        <w:tc>
          <w:tcPr>
            <w:tcW w:w="332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82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92,110,457.31  </w:t>
            </w:r>
          </w:p>
        </w:tc>
        <w:tc>
          <w:tcPr>
            <w:tcW w:w="306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112,098,526.94 </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）账龄超过</w:t>
      </w:r>
      <w:r w:rsidRPr="000A5B5D">
        <w:rPr>
          <w:rFonts w:ascii="Arial" w:hAnsi="Arial" w:cs="Arial"/>
          <w:sz w:val="24"/>
        </w:rPr>
        <w:t>1</w:t>
      </w:r>
      <w:r w:rsidRPr="000A5B5D">
        <w:rPr>
          <w:rFonts w:ascii="Arial" w:hAnsi="Arial" w:cs="Arial" w:hint="eastAsia"/>
          <w:sz w:val="24"/>
        </w:rPr>
        <w:t>年的重要其他应付款</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362"/>
        <w:gridCol w:w="2827"/>
        <w:gridCol w:w="3025"/>
      </w:tblGrid>
      <w:tr w:rsidR="00851B9D" w:rsidRPr="000A5B5D" w:rsidTr="00851B9D">
        <w:trPr>
          <w:trHeight w:val="397"/>
        </w:trPr>
        <w:tc>
          <w:tcPr>
            <w:tcW w:w="336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8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302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未偿还或结转的原因</w:t>
            </w:r>
          </w:p>
        </w:tc>
      </w:tr>
      <w:tr w:rsidR="00851B9D" w:rsidRPr="000A5B5D" w:rsidTr="00851B9D">
        <w:trPr>
          <w:trHeight w:val="397"/>
        </w:trPr>
        <w:tc>
          <w:tcPr>
            <w:tcW w:w="336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浙江亚厦装饰集团有限公司</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5,195,500.00 </w:t>
            </w:r>
          </w:p>
        </w:tc>
        <w:tc>
          <w:tcPr>
            <w:tcW w:w="30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尚未结算</w:t>
            </w:r>
          </w:p>
        </w:tc>
      </w:tr>
      <w:tr w:rsidR="00851B9D" w:rsidRPr="000A5B5D" w:rsidTr="00851B9D">
        <w:trPr>
          <w:trHeight w:val="397"/>
        </w:trPr>
        <w:tc>
          <w:tcPr>
            <w:tcW w:w="336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萧山市衙前镇优胜村</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2,136,825.00 </w:t>
            </w:r>
          </w:p>
        </w:tc>
        <w:tc>
          <w:tcPr>
            <w:tcW w:w="30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押金</w:t>
            </w:r>
          </w:p>
        </w:tc>
      </w:tr>
      <w:tr w:rsidR="00851B9D" w:rsidRPr="000A5B5D" w:rsidTr="00851B9D">
        <w:trPr>
          <w:trHeight w:val="397"/>
        </w:trPr>
        <w:tc>
          <w:tcPr>
            <w:tcW w:w="336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绍兴市越城区邵氏配载服务部</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600,000.00 </w:t>
            </w:r>
          </w:p>
        </w:tc>
        <w:tc>
          <w:tcPr>
            <w:tcW w:w="30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尚未结算</w:t>
            </w:r>
          </w:p>
        </w:tc>
      </w:tr>
      <w:tr w:rsidR="00851B9D" w:rsidRPr="000A5B5D" w:rsidTr="00851B9D">
        <w:trPr>
          <w:trHeight w:val="397"/>
        </w:trPr>
        <w:tc>
          <w:tcPr>
            <w:tcW w:w="336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杭州华蒙物流有限公司</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400,000.00 </w:t>
            </w:r>
          </w:p>
        </w:tc>
        <w:tc>
          <w:tcPr>
            <w:tcW w:w="30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尚未结算</w:t>
            </w:r>
          </w:p>
        </w:tc>
      </w:tr>
      <w:tr w:rsidR="00851B9D" w:rsidRPr="000A5B5D" w:rsidTr="00851B9D">
        <w:trPr>
          <w:trHeight w:val="397"/>
        </w:trPr>
        <w:tc>
          <w:tcPr>
            <w:tcW w:w="336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江西九江腾顺海运有限公司</w:t>
            </w:r>
          </w:p>
        </w:tc>
        <w:tc>
          <w:tcPr>
            <w:tcW w:w="2827"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170,000.00 </w:t>
            </w:r>
          </w:p>
        </w:tc>
        <w:tc>
          <w:tcPr>
            <w:tcW w:w="30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hint="eastAsia"/>
                <w:szCs w:val="21"/>
              </w:rPr>
              <w:t>押金</w:t>
            </w:r>
          </w:p>
        </w:tc>
      </w:tr>
      <w:tr w:rsidR="00851B9D" w:rsidRPr="000A5B5D" w:rsidTr="00851B9D">
        <w:trPr>
          <w:trHeight w:val="397"/>
        </w:trPr>
        <w:tc>
          <w:tcPr>
            <w:tcW w:w="3362"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r w:rsidRPr="000A5B5D">
              <w:rPr>
                <w:rFonts w:ascii="Arial Narrow" w:hAnsi="Arial Narrow" w:cs="Arial"/>
                <w:kern w:val="0"/>
                <w:szCs w:val="21"/>
              </w:rPr>
              <w:t xml:space="preserve"> </w:t>
            </w:r>
          </w:p>
        </w:tc>
        <w:tc>
          <w:tcPr>
            <w:tcW w:w="282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8,502,325.00</w:t>
            </w:r>
          </w:p>
        </w:tc>
        <w:tc>
          <w:tcPr>
            <w:tcW w:w="302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44" w:name="OLE_LINK50"/>
      <w:r w:rsidRPr="000A5B5D">
        <w:rPr>
          <w:rFonts w:ascii="Arial" w:hAnsi="Arial" w:cs="Arial" w:hint="eastAsia"/>
          <w:b/>
          <w:sz w:val="24"/>
        </w:rPr>
        <w:t>一年内到期的非流动负债</w:t>
      </w:r>
      <w:bookmarkEnd w:id="44"/>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076"/>
        <w:gridCol w:w="2694"/>
        <w:gridCol w:w="2444"/>
      </w:tblGrid>
      <w:tr w:rsidR="00851B9D" w:rsidRPr="000A5B5D" w:rsidTr="00851B9D">
        <w:trPr>
          <w:trHeight w:val="397"/>
          <w:jc w:val="center"/>
        </w:trPr>
        <w:tc>
          <w:tcPr>
            <w:tcW w:w="40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44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407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年内到期的长期借款（附注六、</w:t>
            </w:r>
            <w:r w:rsidRPr="000A5B5D">
              <w:rPr>
                <w:rFonts w:ascii="Arial Narrow" w:hAnsi="Arial Narrow" w:cs="Arial"/>
                <w:kern w:val="0"/>
                <w:szCs w:val="21"/>
              </w:rPr>
              <w:t>32</w:t>
            </w:r>
            <w:r w:rsidRPr="000A5B5D">
              <w:rPr>
                <w:rFonts w:ascii="Arial Narrow" w:hAnsi="Arial Narrow" w:cs="Arial" w:hint="eastAsia"/>
                <w:kern w:val="0"/>
                <w:szCs w:val="21"/>
              </w:rPr>
              <w:t>）</w:t>
            </w:r>
          </w:p>
        </w:tc>
        <w:tc>
          <w:tcPr>
            <w:tcW w:w="26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710,198,400.00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218,289,646.94 </w:t>
            </w:r>
          </w:p>
        </w:tc>
      </w:tr>
      <w:tr w:rsidR="00851B9D" w:rsidRPr="000A5B5D" w:rsidTr="00851B9D">
        <w:trPr>
          <w:trHeight w:val="397"/>
          <w:jc w:val="center"/>
        </w:trPr>
        <w:tc>
          <w:tcPr>
            <w:tcW w:w="407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w:t>
            </w:r>
            <w:r w:rsidRPr="000A5B5D">
              <w:rPr>
                <w:rFonts w:ascii="Arial Narrow" w:hAnsi="Arial Narrow" w:cs="Arial" w:hint="eastAsia"/>
                <w:kern w:val="0"/>
                <w:szCs w:val="21"/>
              </w:rPr>
              <w:t>年内到期的长期应付款（附注六、</w:t>
            </w:r>
            <w:r w:rsidRPr="000A5B5D">
              <w:rPr>
                <w:rFonts w:ascii="Arial Narrow" w:hAnsi="Arial Narrow" w:cs="Arial"/>
                <w:kern w:val="0"/>
                <w:szCs w:val="21"/>
              </w:rPr>
              <w:t>33</w:t>
            </w:r>
            <w:r w:rsidRPr="000A5B5D">
              <w:rPr>
                <w:rFonts w:ascii="Arial Narrow" w:hAnsi="Arial Narrow" w:cs="Arial" w:hint="eastAsia"/>
                <w:kern w:val="0"/>
                <w:szCs w:val="21"/>
              </w:rPr>
              <w:t>）</w:t>
            </w:r>
          </w:p>
        </w:tc>
        <w:tc>
          <w:tcPr>
            <w:tcW w:w="269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151,185.94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140,030.81 </w:t>
            </w:r>
          </w:p>
        </w:tc>
      </w:tr>
      <w:tr w:rsidR="00851B9D" w:rsidRPr="000A5B5D" w:rsidTr="00851B9D">
        <w:trPr>
          <w:trHeight w:val="397"/>
          <w:jc w:val="center"/>
        </w:trPr>
        <w:tc>
          <w:tcPr>
            <w:tcW w:w="407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9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710,349,585.94 </w:t>
            </w:r>
          </w:p>
        </w:tc>
        <w:tc>
          <w:tcPr>
            <w:tcW w:w="244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218,429,677.75</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45" w:name="OLE_LINK39"/>
      <w:r w:rsidRPr="000A5B5D">
        <w:rPr>
          <w:rFonts w:ascii="Arial" w:hAnsi="Arial" w:cs="Arial" w:hint="eastAsia"/>
          <w:b/>
          <w:sz w:val="24"/>
        </w:rPr>
        <w:t>长期借款</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111"/>
        <w:gridCol w:w="2659"/>
        <w:gridCol w:w="2444"/>
      </w:tblGrid>
      <w:tr w:rsidR="00851B9D" w:rsidRPr="000A5B5D" w:rsidTr="00851B9D">
        <w:trPr>
          <w:trHeight w:val="397"/>
          <w:tblHeader/>
          <w:jc w:val="center"/>
        </w:trPr>
        <w:tc>
          <w:tcPr>
            <w:tcW w:w="411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44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411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质押借款</w:t>
            </w:r>
          </w:p>
        </w:tc>
        <w:tc>
          <w:tcPr>
            <w:tcW w:w="26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411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抵押借款</w:t>
            </w:r>
          </w:p>
        </w:tc>
        <w:tc>
          <w:tcPr>
            <w:tcW w:w="26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454,552,000.00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81,677,293.91 </w:t>
            </w:r>
          </w:p>
        </w:tc>
      </w:tr>
      <w:tr w:rsidR="00851B9D" w:rsidRPr="000A5B5D" w:rsidTr="00851B9D">
        <w:trPr>
          <w:trHeight w:val="397"/>
          <w:jc w:val="center"/>
        </w:trPr>
        <w:tc>
          <w:tcPr>
            <w:tcW w:w="411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保证借款</w:t>
            </w:r>
          </w:p>
        </w:tc>
        <w:tc>
          <w:tcPr>
            <w:tcW w:w="26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787,991,440.00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1,347,664,100.00 </w:t>
            </w:r>
          </w:p>
        </w:tc>
      </w:tr>
      <w:tr w:rsidR="00851B9D" w:rsidRPr="000A5B5D" w:rsidTr="00851B9D">
        <w:trPr>
          <w:trHeight w:val="397"/>
          <w:jc w:val="center"/>
        </w:trPr>
        <w:tc>
          <w:tcPr>
            <w:tcW w:w="411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信用借款</w:t>
            </w:r>
          </w:p>
        </w:tc>
        <w:tc>
          <w:tcPr>
            <w:tcW w:w="26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411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减：一年内到期的长期借款（附注六、</w:t>
            </w:r>
            <w:r w:rsidRPr="000A5B5D">
              <w:rPr>
                <w:rFonts w:ascii="Arial Narrow" w:hAnsi="Arial Narrow" w:cs="Arial"/>
                <w:kern w:val="0"/>
                <w:szCs w:val="21"/>
              </w:rPr>
              <w:t>31</w:t>
            </w:r>
            <w:r w:rsidRPr="000A5B5D">
              <w:rPr>
                <w:rFonts w:ascii="Arial Narrow" w:hAnsi="Arial Narrow" w:cs="Arial" w:hint="eastAsia"/>
                <w:kern w:val="0"/>
                <w:szCs w:val="21"/>
              </w:rPr>
              <w:t>）</w:t>
            </w:r>
          </w:p>
        </w:tc>
        <w:tc>
          <w:tcPr>
            <w:tcW w:w="265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710,198,400.00  </w:t>
            </w:r>
          </w:p>
        </w:tc>
        <w:tc>
          <w:tcPr>
            <w:tcW w:w="244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218,289,646.94 </w:t>
            </w:r>
          </w:p>
        </w:tc>
      </w:tr>
      <w:tr w:rsidR="00851B9D" w:rsidRPr="000A5B5D" w:rsidTr="00851B9D">
        <w:trPr>
          <w:trHeight w:val="397"/>
          <w:jc w:val="center"/>
        </w:trPr>
        <w:tc>
          <w:tcPr>
            <w:tcW w:w="411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5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532,345,040.00 </w:t>
            </w:r>
          </w:p>
        </w:tc>
        <w:tc>
          <w:tcPr>
            <w:tcW w:w="244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1,211,051,746.97 </w:t>
            </w:r>
          </w:p>
        </w:tc>
      </w:tr>
    </w:tbl>
    <w:bookmarkEnd w:id="45"/>
    <w:p w:rsidR="00851B9D" w:rsidRPr="000A5B5D" w:rsidRDefault="00851B9D" w:rsidP="00851B9D">
      <w:pPr>
        <w:tabs>
          <w:tab w:val="left" w:pos="8973"/>
        </w:tabs>
        <w:spacing w:line="400" w:lineRule="exact"/>
        <w:ind w:firstLineChars="200" w:firstLine="480"/>
        <w:rPr>
          <w:rFonts w:ascii="Arial" w:hAnsi="Arial" w:cs="Arial"/>
          <w:sz w:val="24"/>
        </w:rPr>
      </w:pPr>
      <w:r w:rsidRPr="000A5B5D">
        <w:rPr>
          <w:rFonts w:ascii="Arial" w:hAnsi="Arial" w:cs="Arial" w:hint="eastAsia"/>
          <w:sz w:val="24"/>
        </w:rPr>
        <w:t>注</w:t>
      </w:r>
      <w:r w:rsidRPr="000A5B5D">
        <w:rPr>
          <w:rFonts w:ascii="Arial" w:hAnsi="Arial" w:cs="Arial"/>
          <w:sz w:val="24"/>
        </w:rPr>
        <w:t>1</w:t>
      </w:r>
      <w:r w:rsidRPr="000A5B5D">
        <w:rPr>
          <w:rFonts w:ascii="Arial" w:hAnsi="Arial" w:cs="Arial" w:hint="eastAsia"/>
          <w:sz w:val="24"/>
        </w:rPr>
        <w:t>：</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抵押借款的抵押资产类别以及金额，参见附注六、</w:t>
      </w:r>
      <w:r w:rsidRPr="000A5B5D">
        <w:rPr>
          <w:rFonts w:ascii="Arial" w:hAnsi="Arial" w:cs="Arial"/>
          <w:bCs/>
          <w:sz w:val="24"/>
        </w:rPr>
        <w:t>56</w:t>
      </w:r>
      <w:r w:rsidRPr="000A5B5D">
        <w:rPr>
          <w:rFonts w:ascii="Arial" w:hAnsi="Arial" w:cs="Arial" w:hint="eastAsia"/>
          <w:bCs/>
          <w:sz w:val="24"/>
        </w:rPr>
        <w:t>。</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质押借款的抵押资产类别以及金额，参见附注六、</w:t>
      </w:r>
      <w:r w:rsidRPr="000A5B5D">
        <w:rPr>
          <w:rFonts w:ascii="Arial" w:hAnsi="Arial" w:cs="Arial"/>
          <w:bCs/>
          <w:sz w:val="24"/>
        </w:rPr>
        <w:t>56</w:t>
      </w:r>
      <w:r w:rsidRPr="000A5B5D">
        <w:rPr>
          <w:rFonts w:ascii="Arial" w:hAnsi="Arial" w:cs="Arial" w:hint="eastAsia"/>
          <w:bCs/>
          <w:sz w:val="24"/>
        </w:rPr>
        <w:t>。</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注</w:t>
      </w:r>
      <w:r w:rsidRPr="000A5B5D">
        <w:rPr>
          <w:rFonts w:ascii="Arial" w:hAnsi="Arial" w:cs="Arial"/>
          <w:bCs/>
          <w:sz w:val="24"/>
        </w:rPr>
        <w:t>2</w:t>
      </w:r>
      <w:r w:rsidRPr="000A5B5D">
        <w:rPr>
          <w:rFonts w:ascii="Arial" w:hAnsi="Arial" w:cs="Arial" w:hint="eastAsia"/>
          <w:bCs/>
          <w:sz w:val="24"/>
        </w:rPr>
        <w:t>：本公司无已到期未偿付的长期借款</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长期应付款</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128"/>
        <w:gridCol w:w="2627"/>
        <w:gridCol w:w="2459"/>
      </w:tblGrid>
      <w:tr w:rsidR="00851B9D" w:rsidRPr="000A5B5D" w:rsidTr="00851B9D">
        <w:trPr>
          <w:trHeight w:val="397"/>
          <w:tblHeader/>
          <w:jc w:val="center"/>
        </w:trPr>
        <w:tc>
          <w:tcPr>
            <w:tcW w:w="412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6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4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4128" w:type="dxa"/>
            <w:vAlign w:val="center"/>
          </w:tcPr>
          <w:p w:rsidR="00851B9D" w:rsidRPr="000A5B5D" w:rsidRDefault="00851B9D" w:rsidP="00851B9D">
            <w:pPr>
              <w:ind w:right="-25"/>
              <w:rPr>
                <w:rFonts w:ascii="Arial Narrow" w:hAnsi="Arial Narrow" w:cs="Arial"/>
                <w:bCs/>
                <w:szCs w:val="21"/>
                <w:lang w:val="en-AU"/>
              </w:rPr>
            </w:pPr>
            <w:r w:rsidRPr="000A5B5D">
              <w:rPr>
                <w:rFonts w:ascii="Arial Narrow" w:hAnsi="Arial Narrow" w:cs="Arial" w:hint="eastAsia"/>
                <w:szCs w:val="21"/>
              </w:rPr>
              <w:t>应付融资租赁款</w:t>
            </w:r>
          </w:p>
        </w:tc>
        <w:tc>
          <w:tcPr>
            <w:tcW w:w="262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379,792.35 </w:t>
            </w:r>
          </w:p>
        </w:tc>
        <w:tc>
          <w:tcPr>
            <w:tcW w:w="24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529,997.49</w:t>
            </w:r>
          </w:p>
        </w:tc>
      </w:tr>
      <w:tr w:rsidR="00851B9D" w:rsidRPr="000A5B5D" w:rsidTr="00851B9D">
        <w:trPr>
          <w:trHeight w:val="397"/>
          <w:jc w:val="center"/>
        </w:trPr>
        <w:tc>
          <w:tcPr>
            <w:tcW w:w="412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减：一年内到期部分（附注六、</w:t>
            </w:r>
            <w:r w:rsidRPr="000A5B5D">
              <w:rPr>
                <w:rFonts w:ascii="Arial Narrow" w:hAnsi="Arial Narrow" w:cs="Arial"/>
                <w:kern w:val="0"/>
                <w:szCs w:val="21"/>
              </w:rPr>
              <w:t>31</w:t>
            </w:r>
            <w:r w:rsidRPr="000A5B5D">
              <w:rPr>
                <w:rFonts w:ascii="Arial Narrow" w:hAnsi="Arial Narrow" w:cs="Arial" w:hint="eastAsia"/>
                <w:kern w:val="0"/>
                <w:szCs w:val="21"/>
              </w:rPr>
              <w:t>）</w:t>
            </w:r>
          </w:p>
        </w:tc>
        <w:tc>
          <w:tcPr>
            <w:tcW w:w="262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151,185.94</w:t>
            </w:r>
          </w:p>
        </w:tc>
        <w:tc>
          <w:tcPr>
            <w:tcW w:w="24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140,030.81</w:t>
            </w:r>
          </w:p>
        </w:tc>
      </w:tr>
      <w:tr w:rsidR="00851B9D" w:rsidRPr="000A5B5D" w:rsidTr="00851B9D">
        <w:trPr>
          <w:trHeight w:val="397"/>
          <w:jc w:val="center"/>
        </w:trPr>
        <w:tc>
          <w:tcPr>
            <w:tcW w:w="4128"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2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228,606.41</w:t>
            </w:r>
          </w:p>
        </w:tc>
        <w:tc>
          <w:tcPr>
            <w:tcW w:w="245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389,966.68</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bCs/>
          <w:sz w:val="24"/>
        </w:rPr>
      </w:pPr>
      <w:r w:rsidRPr="000A5B5D">
        <w:rPr>
          <w:rFonts w:ascii="Arial" w:hAnsi="Arial" w:cs="Arial" w:hint="eastAsia"/>
          <w:b/>
          <w:bCs/>
          <w:sz w:val="24"/>
        </w:rPr>
        <w:t>递延收益</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711"/>
        <w:gridCol w:w="1414"/>
        <w:gridCol w:w="1358"/>
        <w:gridCol w:w="1287"/>
        <w:gridCol w:w="1274"/>
        <w:gridCol w:w="1170"/>
      </w:tblGrid>
      <w:tr w:rsidR="00851B9D" w:rsidRPr="000A5B5D" w:rsidTr="00851B9D">
        <w:trPr>
          <w:trHeight w:val="397"/>
          <w:jc w:val="center"/>
        </w:trPr>
        <w:tc>
          <w:tcPr>
            <w:tcW w:w="271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41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35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28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27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17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形成原因</w:t>
            </w:r>
          </w:p>
        </w:tc>
      </w:tr>
      <w:tr w:rsidR="00851B9D" w:rsidRPr="000A5B5D" w:rsidTr="00851B9D">
        <w:trPr>
          <w:trHeight w:val="397"/>
          <w:jc w:val="center"/>
        </w:trPr>
        <w:tc>
          <w:tcPr>
            <w:tcW w:w="271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政府补助</w:t>
            </w:r>
          </w:p>
        </w:tc>
        <w:tc>
          <w:tcPr>
            <w:tcW w:w="141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181,874,551.27</w:t>
            </w:r>
          </w:p>
        </w:tc>
        <w:tc>
          <w:tcPr>
            <w:tcW w:w="135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8,170,200.00 </w:t>
            </w:r>
          </w:p>
        </w:tc>
        <w:tc>
          <w:tcPr>
            <w:tcW w:w="1287"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7,180,878.38 </w:t>
            </w:r>
          </w:p>
        </w:tc>
        <w:tc>
          <w:tcPr>
            <w:tcW w:w="1274"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182,863,872.89 </w:t>
            </w:r>
          </w:p>
        </w:tc>
        <w:tc>
          <w:tcPr>
            <w:tcW w:w="117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hint="eastAsia"/>
              </w:rPr>
              <w:t>与资产相关</w:t>
            </w:r>
          </w:p>
        </w:tc>
      </w:tr>
    </w:tbl>
    <w:p w:rsidR="00851B9D" w:rsidRPr="000A5B5D" w:rsidRDefault="00851B9D" w:rsidP="00851B9D">
      <w:pPr>
        <w:tabs>
          <w:tab w:val="left" w:pos="9000"/>
        </w:tabs>
        <w:spacing w:line="400" w:lineRule="exact"/>
        <w:ind w:rightChars="171" w:right="308" w:firstLineChars="200" w:firstLine="480"/>
        <w:rPr>
          <w:rFonts w:ascii="Arial" w:hAnsi="Arial" w:cs="Arial"/>
          <w:bCs/>
          <w:sz w:val="24"/>
        </w:rPr>
      </w:pPr>
      <w:r w:rsidRPr="000A5B5D">
        <w:rPr>
          <w:rFonts w:ascii="Arial" w:hAnsi="Arial" w:cs="Arial" w:hint="eastAsia"/>
          <w:bCs/>
          <w:sz w:val="24"/>
        </w:rPr>
        <w:t>其中，涉及政府补助的项目：</w:t>
      </w:r>
    </w:p>
    <w:tbl>
      <w:tblPr>
        <w:tblW w:w="9102" w:type="dxa"/>
        <w:tblBorders>
          <w:top w:val="single" w:sz="12" w:space="0" w:color="auto"/>
          <w:bottom w:val="single" w:sz="12" w:space="0" w:color="auto"/>
          <w:insideH w:val="dotted" w:sz="4" w:space="0" w:color="auto"/>
          <w:insideV w:val="dotted" w:sz="4" w:space="0" w:color="auto"/>
        </w:tblBorders>
        <w:tblLayout w:type="fixed"/>
        <w:tblCellMar>
          <w:left w:w="30" w:type="dxa"/>
          <w:right w:w="30" w:type="dxa"/>
        </w:tblCellMar>
        <w:tblLook w:val="04A0" w:firstRow="1" w:lastRow="0" w:firstColumn="1" w:lastColumn="0" w:noHBand="0" w:noVBand="1"/>
      </w:tblPr>
      <w:tblGrid>
        <w:gridCol w:w="2634"/>
        <w:gridCol w:w="1365"/>
        <w:gridCol w:w="1029"/>
        <w:gridCol w:w="1147"/>
        <w:gridCol w:w="518"/>
        <w:gridCol w:w="1288"/>
        <w:gridCol w:w="1121"/>
      </w:tblGrid>
      <w:tr w:rsidR="00851B9D" w:rsidRPr="000A5B5D" w:rsidTr="00851B9D">
        <w:trPr>
          <w:trHeight w:val="397"/>
          <w:tblHeader/>
        </w:trPr>
        <w:tc>
          <w:tcPr>
            <w:tcW w:w="2634"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负债项目</w:t>
            </w:r>
          </w:p>
        </w:tc>
        <w:tc>
          <w:tcPr>
            <w:tcW w:w="1365"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年初余额</w:t>
            </w:r>
          </w:p>
        </w:tc>
        <w:tc>
          <w:tcPr>
            <w:tcW w:w="1029"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本年新增补助金额</w:t>
            </w:r>
          </w:p>
        </w:tc>
        <w:tc>
          <w:tcPr>
            <w:tcW w:w="1147"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本年计入营业外收入金额</w:t>
            </w:r>
          </w:p>
        </w:tc>
        <w:tc>
          <w:tcPr>
            <w:tcW w:w="518"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其他变动</w:t>
            </w:r>
          </w:p>
        </w:tc>
        <w:tc>
          <w:tcPr>
            <w:tcW w:w="1288"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年末余额</w:t>
            </w:r>
          </w:p>
        </w:tc>
        <w:tc>
          <w:tcPr>
            <w:tcW w:w="1121" w:type="dxa"/>
            <w:tcBorders>
              <w:top w:val="single" w:sz="12" w:space="0" w:color="auto"/>
            </w:tcBorders>
            <w:vAlign w:val="center"/>
          </w:tcPr>
          <w:p w:rsidR="00851B9D" w:rsidRPr="000A5B5D" w:rsidRDefault="00851B9D" w:rsidP="00851B9D">
            <w:pPr>
              <w:jc w:val="center"/>
              <w:textAlignment w:val="baseline"/>
              <w:rPr>
                <w:rFonts w:ascii="Arial Narrow" w:hAnsi="Arial Narrow" w:cs="Arial"/>
              </w:rPr>
            </w:pPr>
            <w:r w:rsidRPr="000A5B5D">
              <w:rPr>
                <w:rFonts w:ascii="Arial Narrow" w:hAnsi="Arial Narrow" w:cs="Arial" w:hint="eastAsia"/>
              </w:rPr>
              <w:t>与资产相关</w:t>
            </w:r>
            <w:r w:rsidRPr="000A5B5D">
              <w:rPr>
                <w:rFonts w:ascii="Arial Narrow" w:hAnsi="Arial Narrow" w:cs="Arial"/>
              </w:rPr>
              <w:t>/</w:t>
            </w:r>
            <w:r w:rsidRPr="000A5B5D">
              <w:rPr>
                <w:rFonts w:ascii="Arial Narrow" w:hAnsi="Arial Narrow" w:cs="Arial" w:hint="eastAsia"/>
              </w:rPr>
              <w:t>与收益相关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固定资产资产退税</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18,970,614.71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2,678,204.43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16,292,410.28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重点产业振兴和技术改造中央预算内基建资金</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5,150,000.00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600,000.00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4,550,000.00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2013</w:t>
            </w:r>
            <w:r w:rsidRPr="000A5B5D">
              <w:rPr>
                <w:rFonts w:ascii="Arial Narrow" w:hAnsi="Arial Narrow" w:cs="Arial" w:hint="eastAsia"/>
                <w:kern w:val="0"/>
              </w:rPr>
              <w:t>产业振兴和技术改造项目</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16,933,333.33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1,587,500.00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15,345,833.33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上海市</w:t>
            </w:r>
            <w:r w:rsidRPr="000A5B5D">
              <w:rPr>
                <w:rFonts w:ascii="Arial Narrow" w:hAnsi="Arial Narrow" w:cs="Arial"/>
                <w:kern w:val="0"/>
              </w:rPr>
              <w:t>2009</w:t>
            </w:r>
            <w:r w:rsidRPr="000A5B5D">
              <w:rPr>
                <w:rFonts w:ascii="Arial Narrow" w:hAnsi="Arial Narrow" w:cs="Arial" w:hint="eastAsia"/>
                <w:kern w:val="0"/>
              </w:rPr>
              <w:t>年市级重点技术改造项目补助</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2,767,916.67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365,000.00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2,402,916.67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聚酯新项目技术改造项目补助</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1,430,000.00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3,310,000.00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1,360,277.78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3,379,722.22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上海</w:t>
            </w:r>
            <w:r w:rsidRPr="000A5B5D">
              <w:rPr>
                <w:rFonts w:ascii="Arial Narrow" w:hAnsi="Arial Narrow" w:cs="Arial"/>
                <w:kern w:val="0"/>
              </w:rPr>
              <w:t>50</w:t>
            </w:r>
            <w:r w:rsidRPr="000A5B5D">
              <w:rPr>
                <w:rFonts w:ascii="Arial Narrow" w:hAnsi="Arial Narrow" w:cs="Arial" w:hint="eastAsia"/>
                <w:kern w:val="0"/>
              </w:rPr>
              <w:t>万吨二期聚酯项目补助</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4,462,686.56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514,925.37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3,947,761.19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基础建设补贴资金</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130,000,000.00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130,000,000.00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防洪基础设施配套补助资金</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2,160,000.00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2,160,000.00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年产</w:t>
            </w:r>
            <w:r w:rsidRPr="000A5B5D">
              <w:rPr>
                <w:rFonts w:ascii="Arial Narrow" w:hAnsi="Arial Narrow" w:cs="Arial"/>
                <w:kern w:val="0"/>
              </w:rPr>
              <w:t>2</w:t>
            </w:r>
            <w:r w:rsidRPr="000A5B5D">
              <w:rPr>
                <w:rFonts w:ascii="Arial Narrow" w:hAnsi="Arial Narrow" w:cs="Arial" w:hint="eastAsia"/>
                <w:kern w:val="0"/>
              </w:rPr>
              <w:t>万吨功能性纤维技术改造项目</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1,599,800.00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25,193.70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1,574,606.30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年产</w:t>
            </w:r>
            <w:r w:rsidRPr="000A5B5D">
              <w:rPr>
                <w:rFonts w:ascii="Arial Narrow" w:hAnsi="Arial Narrow" w:cs="Arial"/>
                <w:kern w:val="0"/>
              </w:rPr>
              <w:t>4.5</w:t>
            </w:r>
            <w:r w:rsidRPr="000A5B5D">
              <w:rPr>
                <w:rFonts w:ascii="Arial Narrow" w:hAnsi="Arial Narrow" w:cs="Arial" w:hint="eastAsia"/>
                <w:kern w:val="0"/>
              </w:rPr>
              <w:t>万吨功能性纤维技术改造项目</w:t>
            </w:r>
          </w:p>
        </w:tc>
        <w:tc>
          <w:tcPr>
            <w:tcW w:w="1365"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029"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3,260,400.00 </w:t>
            </w:r>
          </w:p>
        </w:tc>
        <w:tc>
          <w:tcPr>
            <w:tcW w:w="1147"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49,777.10 </w:t>
            </w:r>
          </w:p>
        </w:tc>
        <w:tc>
          <w:tcPr>
            <w:tcW w:w="518"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rPr>
              <w:t xml:space="preserve">0.00 </w:t>
            </w:r>
          </w:p>
        </w:tc>
        <w:tc>
          <w:tcPr>
            <w:tcW w:w="1288" w:type="dxa"/>
            <w:vAlign w:val="center"/>
          </w:tcPr>
          <w:p w:rsidR="00851B9D" w:rsidRPr="000A5B5D" w:rsidRDefault="00851B9D" w:rsidP="00851B9D">
            <w:pPr>
              <w:jc w:val="right"/>
              <w:outlineLvl w:val="0"/>
              <w:rPr>
                <w:rFonts w:ascii="Arial Narrow" w:hAnsi="Arial Narrow" w:cs="Arial"/>
              </w:rPr>
            </w:pPr>
            <w:r w:rsidRPr="000A5B5D">
              <w:rPr>
                <w:rFonts w:ascii="Arial Narrow" w:hAnsi="Arial Narrow" w:cs="Arial"/>
              </w:rPr>
              <w:t xml:space="preserve">3,210,622.90 </w:t>
            </w:r>
          </w:p>
        </w:tc>
        <w:tc>
          <w:tcPr>
            <w:tcW w:w="11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与资产相关</w:t>
            </w:r>
          </w:p>
        </w:tc>
      </w:tr>
      <w:tr w:rsidR="00851B9D" w:rsidRPr="000A5B5D" w:rsidTr="00851B9D">
        <w:trPr>
          <w:trHeight w:val="397"/>
        </w:trPr>
        <w:tc>
          <w:tcPr>
            <w:tcW w:w="2634" w:type="dxa"/>
            <w:tcBorders>
              <w:bottom w:val="single" w:sz="12" w:space="0" w:color="auto"/>
            </w:tcBorders>
            <w:vAlign w:val="center"/>
          </w:tcPr>
          <w:p w:rsidR="00851B9D" w:rsidRPr="000A5B5D" w:rsidRDefault="00851B9D" w:rsidP="00851B9D">
            <w:pPr>
              <w:textAlignment w:val="baseline"/>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136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181,874,551.27</w:t>
            </w:r>
          </w:p>
        </w:tc>
        <w:tc>
          <w:tcPr>
            <w:tcW w:w="1029"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8,170,200.00 </w:t>
            </w:r>
          </w:p>
        </w:tc>
        <w:tc>
          <w:tcPr>
            <w:tcW w:w="1147"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7,180,878.38 </w:t>
            </w:r>
          </w:p>
        </w:tc>
        <w:tc>
          <w:tcPr>
            <w:tcW w:w="51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28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182,863,872.89 </w:t>
            </w:r>
          </w:p>
        </w:tc>
        <w:tc>
          <w:tcPr>
            <w:tcW w:w="1121" w:type="dxa"/>
            <w:tcBorders>
              <w:bottom w:val="single" w:sz="12" w:space="0" w:color="auto"/>
            </w:tcBorders>
            <w:vAlign w:val="center"/>
          </w:tcPr>
          <w:p w:rsidR="00851B9D" w:rsidRPr="000A5B5D" w:rsidRDefault="00851B9D" w:rsidP="00851B9D">
            <w:pPr>
              <w:jc w:val="right"/>
              <w:textAlignment w:val="baseline"/>
              <w:rPr>
                <w:rFonts w:ascii="Arial Narrow" w:hAnsi="Arial Narrow" w:cs="Arial"/>
              </w:rPr>
            </w:pPr>
            <w:r w:rsidRPr="000A5B5D">
              <w:rPr>
                <w:rFonts w:ascii="Arial Narrow" w:hAnsi="Arial Narrow" w:cs="Arial"/>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股本</w:t>
      </w:r>
    </w:p>
    <w:tbl>
      <w:tblPr>
        <w:tblW w:w="9107"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120"/>
        <w:gridCol w:w="1470"/>
        <w:gridCol w:w="1428"/>
        <w:gridCol w:w="802"/>
        <w:gridCol w:w="850"/>
        <w:gridCol w:w="709"/>
        <w:gridCol w:w="1306"/>
        <w:gridCol w:w="1422"/>
      </w:tblGrid>
      <w:tr w:rsidR="00851B9D" w:rsidRPr="000A5B5D" w:rsidTr="00851B9D">
        <w:trPr>
          <w:trHeight w:val="397"/>
          <w:tblHeader/>
          <w:jc w:val="center"/>
        </w:trPr>
        <w:tc>
          <w:tcPr>
            <w:tcW w:w="1120"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lastRenderedPageBreak/>
              <w:t>项目</w:t>
            </w:r>
          </w:p>
        </w:tc>
        <w:tc>
          <w:tcPr>
            <w:tcW w:w="1470"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5095"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本年增减变动（</w:t>
            </w:r>
            <w:r w:rsidRPr="000A5B5D">
              <w:rPr>
                <w:rFonts w:ascii="Arial Narrow" w:hAnsi="Arial Narrow" w:cs="Arial"/>
                <w:kern w:val="0"/>
                <w:szCs w:val="21"/>
              </w:rPr>
              <w:t xml:space="preserve">+ </w:t>
            </w:r>
            <w:r w:rsidRPr="000A5B5D">
              <w:rPr>
                <w:rFonts w:ascii="Arial Narrow" w:hAnsi="Arial Narrow" w:cs="Arial" w:hint="eastAsia"/>
                <w:kern w:val="0"/>
                <w:szCs w:val="21"/>
              </w:rPr>
              <w:t>、</w:t>
            </w:r>
            <w:r w:rsidRPr="000A5B5D">
              <w:rPr>
                <w:rFonts w:ascii="Arial Narrow" w:hAnsi="Arial Narrow" w:cs="Arial"/>
                <w:kern w:val="0"/>
                <w:szCs w:val="21"/>
              </w:rPr>
              <w:t>-</w:t>
            </w:r>
            <w:r w:rsidRPr="000A5B5D">
              <w:rPr>
                <w:rFonts w:ascii="Arial Narrow" w:hAnsi="Arial Narrow" w:cs="Arial" w:hint="eastAsia"/>
                <w:kern w:val="0"/>
                <w:szCs w:val="21"/>
              </w:rPr>
              <w:t>）</w:t>
            </w:r>
          </w:p>
        </w:tc>
        <w:tc>
          <w:tcPr>
            <w:tcW w:w="1422"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jc w:val="center"/>
        </w:trPr>
        <w:tc>
          <w:tcPr>
            <w:tcW w:w="1120" w:type="dxa"/>
            <w:vMerge/>
            <w:vAlign w:val="center"/>
          </w:tcPr>
          <w:p w:rsidR="00851B9D" w:rsidRPr="000A5B5D" w:rsidRDefault="00851B9D" w:rsidP="00851B9D">
            <w:pPr>
              <w:widowControl/>
              <w:spacing w:line="400" w:lineRule="exact"/>
              <w:rPr>
                <w:rFonts w:ascii="Arial Narrow" w:hAnsi="Arial Narrow" w:cs="Arial"/>
                <w:kern w:val="0"/>
                <w:szCs w:val="21"/>
              </w:rPr>
            </w:pPr>
          </w:p>
        </w:tc>
        <w:tc>
          <w:tcPr>
            <w:tcW w:w="1470" w:type="dxa"/>
            <w:vMerge/>
            <w:vAlign w:val="center"/>
          </w:tcPr>
          <w:p w:rsidR="00851B9D" w:rsidRPr="000A5B5D" w:rsidRDefault="00851B9D" w:rsidP="00851B9D">
            <w:pPr>
              <w:widowControl/>
              <w:jc w:val="right"/>
              <w:rPr>
                <w:rFonts w:ascii="Arial Narrow" w:hAnsi="Arial Narrow" w:cs="Arial"/>
                <w:kern w:val="0"/>
                <w:szCs w:val="21"/>
              </w:rPr>
            </w:pPr>
          </w:p>
        </w:tc>
        <w:tc>
          <w:tcPr>
            <w:tcW w:w="142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发行</w:t>
            </w:r>
          </w:p>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新股</w:t>
            </w:r>
          </w:p>
        </w:tc>
        <w:tc>
          <w:tcPr>
            <w:tcW w:w="80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送股</w:t>
            </w:r>
          </w:p>
        </w:tc>
        <w:tc>
          <w:tcPr>
            <w:tcW w:w="85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公积金</w:t>
            </w:r>
          </w:p>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转股</w:t>
            </w:r>
          </w:p>
        </w:tc>
        <w:tc>
          <w:tcPr>
            <w:tcW w:w="709" w:type="dxa"/>
            <w:vAlign w:val="center"/>
          </w:tcPr>
          <w:p w:rsidR="00851B9D" w:rsidRPr="000A5B5D" w:rsidRDefault="00851B9D" w:rsidP="00851B9D">
            <w:pPr>
              <w:widowControl/>
              <w:ind w:rightChars="76" w:right="137"/>
              <w:jc w:val="center"/>
              <w:rPr>
                <w:rFonts w:ascii="Arial Narrow" w:hAnsi="Arial Narrow" w:cs="Arial"/>
                <w:kern w:val="0"/>
                <w:szCs w:val="21"/>
              </w:rPr>
            </w:pPr>
            <w:r w:rsidRPr="000A5B5D">
              <w:rPr>
                <w:rFonts w:ascii="Arial Narrow" w:hAnsi="Arial Narrow" w:cs="Arial" w:hint="eastAsia"/>
                <w:kern w:val="0"/>
                <w:szCs w:val="21"/>
              </w:rPr>
              <w:t>其他</w:t>
            </w:r>
          </w:p>
        </w:tc>
        <w:tc>
          <w:tcPr>
            <w:tcW w:w="1306" w:type="dxa"/>
            <w:vAlign w:val="center"/>
          </w:tcPr>
          <w:p w:rsidR="00851B9D" w:rsidRPr="000A5B5D" w:rsidRDefault="00851B9D" w:rsidP="00851B9D">
            <w:pPr>
              <w:widowControl/>
              <w:ind w:rightChars="76" w:right="137"/>
              <w:jc w:val="center"/>
              <w:rPr>
                <w:rFonts w:ascii="Arial Narrow" w:hAnsi="Arial Narrow" w:cs="Arial"/>
                <w:kern w:val="0"/>
                <w:szCs w:val="21"/>
              </w:rPr>
            </w:pPr>
            <w:r w:rsidRPr="000A5B5D">
              <w:rPr>
                <w:rFonts w:ascii="Arial Narrow" w:hAnsi="Arial Narrow" w:cs="Arial" w:hint="eastAsia"/>
                <w:kern w:val="0"/>
                <w:szCs w:val="21"/>
              </w:rPr>
              <w:t>小计</w:t>
            </w:r>
          </w:p>
        </w:tc>
        <w:tc>
          <w:tcPr>
            <w:tcW w:w="1422" w:type="dxa"/>
            <w:vMerge/>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jc w:val="center"/>
        </w:trPr>
        <w:tc>
          <w:tcPr>
            <w:tcW w:w="1120" w:type="dxa"/>
            <w:tcBorders>
              <w:bottom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股份总数</w:t>
            </w:r>
          </w:p>
        </w:tc>
        <w:tc>
          <w:tcPr>
            <w:tcW w:w="147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1,153,587,626.00 </w:t>
            </w:r>
          </w:p>
        </w:tc>
        <w:tc>
          <w:tcPr>
            <w:tcW w:w="142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152,545,070.00</w:t>
            </w:r>
          </w:p>
        </w:tc>
        <w:tc>
          <w:tcPr>
            <w:tcW w:w="80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 w:val="20"/>
              </w:rPr>
              <w:t xml:space="preserve">0.00 </w:t>
            </w:r>
          </w:p>
        </w:tc>
        <w:tc>
          <w:tcPr>
            <w:tcW w:w="85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 w:val="20"/>
              </w:rPr>
              <w:t xml:space="preserve">0.00 </w:t>
            </w:r>
          </w:p>
        </w:tc>
        <w:tc>
          <w:tcPr>
            <w:tcW w:w="709"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 w:val="20"/>
              </w:rPr>
              <w:t xml:space="preserve">0.00 </w:t>
            </w:r>
          </w:p>
        </w:tc>
        <w:tc>
          <w:tcPr>
            <w:tcW w:w="130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 w:val="20"/>
              </w:rPr>
              <w:t xml:space="preserve">152,545,070.00 </w:t>
            </w:r>
          </w:p>
        </w:tc>
        <w:tc>
          <w:tcPr>
            <w:tcW w:w="1422"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1,306,132,696.00</w:t>
            </w:r>
          </w:p>
        </w:tc>
      </w:tr>
    </w:tbl>
    <w:p w:rsidR="00851B9D" w:rsidRPr="000A5B5D" w:rsidRDefault="00851B9D" w:rsidP="00851B9D">
      <w:pPr>
        <w:tabs>
          <w:tab w:val="left" w:pos="8820"/>
          <w:tab w:val="left" w:pos="9000"/>
        </w:tabs>
        <w:spacing w:line="400" w:lineRule="exact"/>
        <w:ind w:firstLineChars="200" w:firstLine="480"/>
        <w:rPr>
          <w:rFonts w:ascii="Arial" w:hAnsi="Arial" w:cs="Arial"/>
          <w:sz w:val="24"/>
        </w:rPr>
      </w:pPr>
      <w:r w:rsidRPr="000A5B5D">
        <w:rPr>
          <w:rFonts w:ascii="Arial" w:hAnsi="Arial" w:cs="Arial" w:hint="eastAsia"/>
          <w:sz w:val="24"/>
        </w:rPr>
        <w:t>注</w:t>
      </w:r>
      <w:r w:rsidRPr="000A5B5D">
        <w:rPr>
          <w:rFonts w:ascii="Arial" w:hAnsi="Arial" w:cs="Arial"/>
          <w:sz w:val="24"/>
        </w:rPr>
        <w:t>1</w:t>
      </w:r>
      <w:r w:rsidRPr="000A5B5D">
        <w:rPr>
          <w:rFonts w:ascii="Arial" w:hAnsi="Arial" w:cs="Arial" w:hint="eastAsia"/>
          <w:sz w:val="24"/>
        </w:rPr>
        <w:t>：根据公司</w:t>
      </w:r>
      <w:r w:rsidRPr="000A5B5D">
        <w:rPr>
          <w:rFonts w:ascii="Arial" w:hAnsi="Arial" w:cs="Arial"/>
          <w:sz w:val="24"/>
        </w:rPr>
        <w:t>2015</w:t>
      </w:r>
      <w:r w:rsidRPr="000A5B5D">
        <w:rPr>
          <w:rFonts w:ascii="Arial" w:hAnsi="Arial" w:cs="Arial" w:hint="eastAsia"/>
          <w:sz w:val="24"/>
        </w:rPr>
        <w:t>年股东大会决议以及公司修改后章程的规定，公司</w:t>
      </w:r>
      <w:r w:rsidRPr="000A5B5D">
        <w:rPr>
          <w:rFonts w:ascii="Arial" w:hAnsi="Arial" w:cs="Arial"/>
          <w:sz w:val="24"/>
        </w:rPr>
        <w:t>2015</w:t>
      </w:r>
      <w:r w:rsidRPr="000A5B5D">
        <w:rPr>
          <w:rFonts w:ascii="Arial" w:hAnsi="Arial" w:cs="Arial" w:hint="eastAsia"/>
          <w:sz w:val="24"/>
        </w:rPr>
        <w:t>年实施了第一期限制性股票激励计划，以定向发行的方式向激励对象授予</w:t>
      </w:r>
      <w:r w:rsidRPr="000A5B5D">
        <w:rPr>
          <w:rFonts w:ascii="Arial" w:hAnsi="Arial" w:cs="Arial"/>
          <w:sz w:val="24"/>
        </w:rPr>
        <w:t>1,170</w:t>
      </w:r>
      <w:r w:rsidRPr="000A5B5D">
        <w:rPr>
          <w:rFonts w:ascii="Arial" w:hAnsi="Arial" w:cs="Arial" w:hint="eastAsia"/>
          <w:sz w:val="24"/>
        </w:rPr>
        <w:t>万股限制性股票，每股面值</w:t>
      </w:r>
      <w:r w:rsidRPr="000A5B5D">
        <w:rPr>
          <w:rFonts w:ascii="Arial" w:hAnsi="Arial" w:cs="Arial"/>
          <w:sz w:val="24"/>
        </w:rPr>
        <w:t>1</w:t>
      </w:r>
      <w:r w:rsidRPr="000A5B5D">
        <w:rPr>
          <w:rFonts w:ascii="Arial" w:hAnsi="Arial" w:cs="Arial" w:hint="eastAsia"/>
          <w:sz w:val="24"/>
        </w:rPr>
        <w:t>元，公司新增股本为</w:t>
      </w:r>
      <w:r w:rsidRPr="000A5B5D">
        <w:rPr>
          <w:rFonts w:ascii="Arial" w:hAnsi="Arial" w:cs="Arial"/>
          <w:sz w:val="24"/>
        </w:rPr>
        <w:t>11,700,000.00</w:t>
      </w:r>
      <w:r w:rsidRPr="000A5B5D">
        <w:rPr>
          <w:rFonts w:ascii="Arial" w:hAnsi="Arial" w:cs="Arial" w:hint="eastAsia"/>
          <w:sz w:val="24"/>
        </w:rPr>
        <w:t>元，股本溢价为</w:t>
      </w:r>
      <w:r w:rsidRPr="000A5B5D">
        <w:rPr>
          <w:rFonts w:ascii="Arial" w:hAnsi="Arial" w:cs="Arial"/>
          <w:sz w:val="24"/>
        </w:rPr>
        <w:t>50,895,000.00</w:t>
      </w:r>
      <w:r w:rsidRPr="000A5B5D">
        <w:rPr>
          <w:rFonts w:ascii="Arial" w:hAnsi="Arial" w:cs="Arial" w:hint="eastAsia"/>
          <w:sz w:val="24"/>
        </w:rPr>
        <w:t>元。此次增资已经瑞华会计师事务所（特殊普通合伙）审验，并于</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9</w:t>
      </w:r>
      <w:r w:rsidRPr="000A5B5D">
        <w:rPr>
          <w:rFonts w:ascii="Arial" w:hAnsi="Arial" w:cs="Arial" w:hint="eastAsia"/>
          <w:sz w:val="24"/>
        </w:rPr>
        <w:t>月</w:t>
      </w:r>
      <w:r w:rsidRPr="000A5B5D">
        <w:rPr>
          <w:rFonts w:ascii="Arial" w:hAnsi="Arial" w:cs="Arial"/>
          <w:sz w:val="24"/>
        </w:rPr>
        <w:t>6</w:t>
      </w:r>
      <w:r w:rsidRPr="000A5B5D">
        <w:rPr>
          <w:rFonts w:ascii="Arial" w:hAnsi="Arial" w:cs="Arial" w:hint="eastAsia"/>
          <w:sz w:val="24"/>
        </w:rPr>
        <w:t>日出具瑞华验字【</w:t>
      </w:r>
      <w:r w:rsidRPr="000A5B5D">
        <w:rPr>
          <w:rFonts w:ascii="Arial" w:hAnsi="Arial" w:cs="Arial"/>
          <w:sz w:val="24"/>
        </w:rPr>
        <w:t>2015</w:t>
      </w:r>
      <w:r w:rsidRPr="000A5B5D">
        <w:rPr>
          <w:rFonts w:ascii="Arial" w:hAnsi="Arial" w:cs="Arial" w:hint="eastAsia"/>
          <w:sz w:val="24"/>
        </w:rPr>
        <w:t>】</w:t>
      </w:r>
      <w:r w:rsidRPr="000A5B5D">
        <w:rPr>
          <w:rFonts w:ascii="Arial" w:hAnsi="Arial" w:cs="Arial"/>
          <w:sz w:val="24"/>
        </w:rPr>
        <w:t>01970012</w:t>
      </w:r>
      <w:r w:rsidRPr="000A5B5D">
        <w:rPr>
          <w:rFonts w:ascii="Arial" w:hAnsi="Arial" w:cs="Arial" w:hint="eastAsia"/>
          <w:sz w:val="24"/>
        </w:rPr>
        <w:t>号验资报告。</w:t>
      </w:r>
    </w:p>
    <w:p w:rsidR="00851B9D" w:rsidRPr="000A5B5D" w:rsidRDefault="00851B9D" w:rsidP="00851B9D">
      <w:pPr>
        <w:tabs>
          <w:tab w:val="left" w:pos="8820"/>
          <w:tab w:val="left" w:pos="9000"/>
        </w:tabs>
        <w:spacing w:line="400" w:lineRule="exact"/>
        <w:ind w:firstLineChars="200" w:firstLine="480"/>
        <w:rPr>
          <w:rFonts w:ascii="Arial" w:hAnsi="Arial" w:cs="Arial"/>
          <w:sz w:val="24"/>
        </w:rPr>
      </w:pPr>
      <w:r w:rsidRPr="000A5B5D">
        <w:rPr>
          <w:rFonts w:ascii="Arial" w:hAnsi="Arial" w:cs="Arial" w:hint="eastAsia"/>
          <w:sz w:val="24"/>
        </w:rPr>
        <w:t>注</w:t>
      </w:r>
      <w:r w:rsidRPr="000A5B5D">
        <w:rPr>
          <w:rFonts w:ascii="Arial" w:hAnsi="Arial" w:cs="Arial"/>
          <w:sz w:val="24"/>
        </w:rPr>
        <w:t>2</w:t>
      </w:r>
      <w:r w:rsidRPr="000A5B5D">
        <w:rPr>
          <w:rFonts w:ascii="Arial" w:hAnsi="Arial" w:cs="Arial" w:hint="eastAsia"/>
          <w:sz w:val="24"/>
        </w:rPr>
        <w:t>：根据本公司</w:t>
      </w:r>
      <w:r w:rsidRPr="000A5B5D">
        <w:rPr>
          <w:rFonts w:ascii="Arial" w:hAnsi="Arial" w:cs="Arial"/>
          <w:sz w:val="24"/>
        </w:rPr>
        <w:t>2014</w:t>
      </w:r>
      <w:r w:rsidRPr="000A5B5D">
        <w:rPr>
          <w:rFonts w:ascii="Arial" w:hAnsi="Arial" w:cs="Arial" w:hint="eastAsia"/>
          <w:sz w:val="24"/>
        </w:rPr>
        <w:t>年度股东大会决议和修改后的章程规定，经中国证券监督管理委员会《关于核准恒逸石化股份有限公司非公开发行股票的批复》（证监许可【</w:t>
      </w:r>
      <w:r w:rsidRPr="000A5B5D">
        <w:rPr>
          <w:rFonts w:ascii="Arial" w:hAnsi="Arial" w:cs="Arial"/>
          <w:sz w:val="24"/>
        </w:rPr>
        <w:t>2015</w:t>
      </w:r>
      <w:r w:rsidRPr="000A5B5D">
        <w:rPr>
          <w:rFonts w:ascii="Arial" w:hAnsi="Arial" w:cs="Arial" w:hint="eastAsia"/>
          <w:sz w:val="24"/>
        </w:rPr>
        <w:t>】</w:t>
      </w:r>
      <w:r w:rsidRPr="000A5B5D">
        <w:rPr>
          <w:rFonts w:ascii="Arial" w:hAnsi="Arial" w:cs="Arial"/>
          <w:sz w:val="24"/>
        </w:rPr>
        <w:t>2085</w:t>
      </w:r>
      <w:r w:rsidRPr="000A5B5D">
        <w:rPr>
          <w:rFonts w:ascii="Arial" w:hAnsi="Arial" w:cs="Arial" w:hint="eastAsia"/>
          <w:sz w:val="24"/>
        </w:rPr>
        <w:t>号）核准，本公司于</w:t>
      </w:r>
      <w:r w:rsidRPr="000A5B5D">
        <w:rPr>
          <w:rFonts w:ascii="Arial" w:hAnsi="Arial" w:cs="Arial"/>
          <w:sz w:val="24"/>
        </w:rPr>
        <w:t>2015</w:t>
      </w:r>
      <w:r w:rsidRPr="000A5B5D">
        <w:rPr>
          <w:rFonts w:ascii="Arial" w:hAnsi="Arial" w:cs="Arial" w:hint="eastAsia"/>
          <w:sz w:val="24"/>
        </w:rPr>
        <w:t>年非公开发生人民币普通股（</w:t>
      </w:r>
      <w:r w:rsidRPr="000A5B5D">
        <w:rPr>
          <w:rFonts w:ascii="Arial" w:hAnsi="Arial" w:cs="Arial"/>
          <w:sz w:val="24"/>
        </w:rPr>
        <w:t>A</w:t>
      </w:r>
      <w:r w:rsidRPr="000A5B5D">
        <w:rPr>
          <w:rFonts w:ascii="Arial" w:hAnsi="Arial" w:cs="Arial" w:hint="eastAsia"/>
          <w:sz w:val="24"/>
        </w:rPr>
        <w:t>股）</w:t>
      </w:r>
      <w:r w:rsidRPr="000A5B5D">
        <w:rPr>
          <w:rFonts w:ascii="Arial" w:hAnsi="Arial" w:cs="Arial"/>
          <w:sz w:val="24"/>
        </w:rPr>
        <w:t>140,845,070.00</w:t>
      </w:r>
      <w:r w:rsidRPr="000A5B5D">
        <w:rPr>
          <w:rFonts w:ascii="Arial" w:hAnsi="Arial" w:cs="Arial" w:hint="eastAsia"/>
          <w:sz w:val="24"/>
        </w:rPr>
        <w:t>股，每股面值</w:t>
      </w:r>
      <w:r w:rsidRPr="000A5B5D">
        <w:rPr>
          <w:rFonts w:ascii="Arial" w:hAnsi="Arial" w:cs="Arial"/>
          <w:sz w:val="24"/>
        </w:rPr>
        <w:t>1</w:t>
      </w:r>
      <w:r w:rsidRPr="000A5B5D">
        <w:rPr>
          <w:rFonts w:ascii="Arial" w:hAnsi="Arial" w:cs="Arial" w:hint="eastAsia"/>
          <w:sz w:val="24"/>
        </w:rPr>
        <w:t>元，公司新增股本为</w:t>
      </w:r>
      <w:r w:rsidRPr="000A5B5D">
        <w:rPr>
          <w:rFonts w:ascii="Arial" w:hAnsi="Arial" w:cs="Arial"/>
          <w:sz w:val="24"/>
        </w:rPr>
        <w:t>140,845,070.00</w:t>
      </w:r>
      <w:r w:rsidRPr="000A5B5D">
        <w:rPr>
          <w:rFonts w:ascii="Arial" w:hAnsi="Arial" w:cs="Arial" w:hint="eastAsia"/>
          <w:sz w:val="24"/>
        </w:rPr>
        <w:t>元，股本溢价为</w:t>
      </w:r>
      <w:r w:rsidRPr="000A5B5D">
        <w:rPr>
          <w:rFonts w:ascii="Arial" w:hAnsi="Arial" w:cs="Arial"/>
          <w:sz w:val="24"/>
        </w:rPr>
        <w:t>854,534,081.93</w:t>
      </w:r>
      <w:r w:rsidRPr="000A5B5D">
        <w:rPr>
          <w:rFonts w:ascii="Arial" w:hAnsi="Arial" w:cs="Arial" w:hint="eastAsia"/>
          <w:sz w:val="24"/>
        </w:rPr>
        <w:t>元（扣除发行费用后）。此次增资已经瑞华会计师事务所（特殊普通合伙）审验，并于</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10</w:t>
      </w:r>
      <w:r w:rsidRPr="000A5B5D">
        <w:rPr>
          <w:rFonts w:ascii="Arial" w:hAnsi="Arial" w:cs="Arial" w:hint="eastAsia"/>
          <w:sz w:val="24"/>
        </w:rPr>
        <w:t>月</w:t>
      </w:r>
      <w:r w:rsidRPr="000A5B5D">
        <w:rPr>
          <w:rFonts w:ascii="Arial" w:hAnsi="Arial" w:cs="Arial"/>
          <w:sz w:val="24"/>
        </w:rPr>
        <w:t>13</w:t>
      </w:r>
      <w:r w:rsidRPr="000A5B5D">
        <w:rPr>
          <w:rFonts w:ascii="Arial" w:hAnsi="Arial" w:cs="Arial" w:hint="eastAsia"/>
          <w:sz w:val="24"/>
        </w:rPr>
        <w:t>日出具瑞华验字【</w:t>
      </w:r>
      <w:r w:rsidRPr="000A5B5D">
        <w:rPr>
          <w:rFonts w:ascii="Arial" w:hAnsi="Arial" w:cs="Arial"/>
          <w:sz w:val="24"/>
        </w:rPr>
        <w:t>2015</w:t>
      </w:r>
      <w:r w:rsidRPr="000A5B5D">
        <w:rPr>
          <w:rFonts w:ascii="Arial" w:hAnsi="Arial" w:cs="Arial" w:hint="eastAsia"/>
          <w:sz w:val="24"/>
        </w:rPr>
        <w:t>】</w:t>
      </w:r>
      <w:r w:rsidRPr="000A5B5D">
        <w:rPr>
          <w:rFonts w:ascii="Arial" w:hAnsi="Arial" w:cs="Arial"/>
          <w:sz w:val="24"/>
        </w:rPr>
        <w:t>01970013</w:t>
      </w:r>
      <w:r w:rsidRPr="000A5B5D">
        <w:rPr>
          <w:rFonts w:ascii="Arial" w:hAnsi="Arial" w:cs="Arial" w:hint="eastAsia"/>
          <w:sz w:val="24"/>
        </w:rPr>
        <w:t>号验资报告。</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资本公积</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97"/>
        <w:gridCol w:w="2002"/>
        <w:gridCol w:w="1427"/>
        <w:gridCol w:w="1470"/>
        <w:gridCol w:w="1618"/>
      </w:tblGrid>
      <w:tr w:rsidR="00851B9D" w:rsidRPr="000A5B5D" w:rsidTr="00851B9D">
        <w:trPr>
          <w:trHeight w:val="397"/>
          <w:jc w:val="center"/>
        </w:trPr>
        <w:tc>
          <w:tcPr>
            <w:tcW w:w="269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0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4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47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6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2697"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资本溢价</w:t>
            </w:r>
          </w:p>
        </w:tc>
        <w:tc>
          <w:tcPr>
            <w:tcW w:w="200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2,260,916,460.14 </w:t>
            </w:r>
          </w:p>
        </w:tc>
        <w:tc>
          <w:tcPr>
            <w:tcW w:w="142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905,429,081.93 </w:t>
            </w:r>
          </w:p>
        </w:tc>
        <w:tc>
          <w:tcPr>
            <w:tcW w:w="1470"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6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3,166,345,542.07 </w:t>
            </w:r>
          </w:p>
        </w:tc>
      </w:tr>
      <w:tr w:rsidR="00851B9D" w:rsidRPr="000A5B5D" w:rsidTr="00851B9D">
        <w:trPr>
          <w:trHeight w:val="397"/>
          <w:jc w:val="center"/>
        </w:trPr>
        <w:tc>
          <w:tcPr>
            <w:tcW w:w="2697"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其他资本公积</w:t>
            </w:r>
          </w:p>
        </w:tc>
        <w:tc>
          <w:tcPr>
            <w:tcW w:w="200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109,056,454.06 </w:t>
            </w:r>
          </w:p>
        </w:tc>
        <w:tc>
          <w:tcPr>
            <w:tcW w:w="142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853,125.00 </w:t>
            </w:r>
          </w:p>
        </w:tc>
        <w:tc>
          <w:tcPr>
            <w:tcW w:w="1470"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6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109,909,579.06 </w:t>
            </w:r>
          </w:p>
        </w:tc>
      </w:tr>
      <w:tr w:rsidR="00851B9D" w:rsidRPr="000A5B5D" w:rsidTr="00851B9D">
        <w:trPr>
          <w:trHeight w:val="397"/>
          <w:jc w:val="center"/>
        </w:trPr>
        <w:tc>
          <w:tcPr>
            <w:tcW w:w="269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模拟股权结构及数量产生的资本公积</w:t>
            </w:r>
          </w:p>
        </w:tc>
        <w:tc>
          <w:tcPr>
            <w:tcW w:w="200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-2,329,301,104.61 </w:t>
            </w:r>
          </w:p>
        </w:tc>
        <w:tc>
          <w:tcPr>
            <w:tcW w:w="142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470"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61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-2,329,301,104.61 </w:t>
            </w:r>
          </w:p>
        </w:tc>
      </w:tr>
      <w:tr w:rsidR="00851B9D" w:rsidRPr="000A5B5D" w:rsidTr="00851B9D">
        <w:trPr>
          <w:trHeight w:val="397"/>
          <w:jc w:val="center"/>
        </w:trPr>
        <w:tc>
          <w:tcPr>
            <w:tcW w:w="269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0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40,671,809.59 </w:t>
            </w:r>
          </w:p>
        </w:tc>
        <w:tc>
          <w:tcPr>
            <w:tcW w:w="1427"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906,282,206.93 </w:t>
            </w:r>
          </w:p>
        </w:tc>
        <w:tc>
          <w:tcPr>
            <w:tcW w:w="147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61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946,954,016.52 </w:t>
            </w:r>
          </w:p>
        </w:tc>
      </w:tr>
    </w:tbl>
    <w:p w:rsidR="00851B9D" w:rsidRPr="000A5B5D" w:rsidRDefault="00851B9D" w:rsidP="00851B9D">
      <w:pPr>
        <w:tabs>
          <w:tab w:val="left" w:pos="8820"/>
          <w:tab w:val="left" w:pos="9000"/>
        </w:tabs>
        <w:spacing w:line="400" w:lineRule="exact"/>
        <w:ind w:firstLineChars="200" w:firstLine="480"/>
        <w:rPr>
          <w:rFonts w:ascii="Arial" w:hAnsi="Arial" w:cs="Arial"/>
          <w:bCs/>
          <w:sz w:val="24"/>
        </w:rPr>
      </w:pPr>
      <w:r w:rsidRPr="000A5B5D">
        <w:rPr>
          <w:rFonts w:ascii="Arial" w:hAnsi="Arial" w:cs="Arial" w:hint="eastAsia"/>
          <w:sz w:val="24"/>
        </w:rPr>
        <w:t>注</w:t>
      </w:r>
      <w:r w:rsidRPr="000A5B5D">
        <w:rPr>
          <w:rFonts w:ascii="Arial" w:hAnsi="Arial" w:cs="Arial"/>
          <w:sz w:val="24"/>
        </w:rPr>
        <w:t>1</w:t>
      </w:r>
      <w:r w:rsidRPr="000A5B5D">
        <w:rPr>
          <w:rFonts w:ascii="Arial" w:hAnsi="Arial" w:cs="Arial" w:hint="eastAsia"/>
          <w:sz w:val="24"/>
        </w:rPr>
        <w:t>：本年资本溢价具体情况</w:t>
      </w:r>
      <w:r w:rsidRPr="000A5B5D">
        <w:rPr>
          <w:rFonts w:ascii="Arial" w:hAnsi="Arial" w:cs="Arial" w:hint="eastAsia"/>
          <w:bCs/>
          <w:sz w:val="24"/>
        </w:rPr>
        <w:t>参见附注六、</w:t>
      </w:r>
      <w:r w:rsidRPr="000A5B5D">
        <w:rPr>
          <w:rFonts w:ascii="Arial" w:hAnsi="Arial" w:cs="Arial"/>
          <w:bCs/>
          <w:sz w:val="24"/>
        </w:rPr>
        <w:t>36</w:t>
      </w:r>
      <w:r w:rsidRPr="000A5B5D">
        <w:rPr>
          <w:rFonts w:ascii="Arial" w:hAnsi="Arial" w:cs="Arial" w:hint="eastAsia"/>
          <w:bCs/>
          <w:sz w:val="24"/>
        </w:rPr>
        <w:t>。</w:t>
      </w:r>
    </w:p>
    <w:p w:rsidR="00851B9D" w:rsidRPr="000A5B5D" w:rsidRDefault="00851B9D" w:rsidP="00851B9D">
      <w:pPr>
        <w:tabs>
          <w:tab w:val="left" w:pos="8820"/>
          <w:tab w:val="left" w:pos="9000"/>
        </w:tabs>
        <w:spacing w:line="400" w:lineRule="exact"/>
        <w:ind w:firstLineChars="200" w:firstLine="480"/>
        <w:rPr>
          <w:rFonts w:ascii="Arial" w:hAnsi="Arial" w:cs="Arial"/>
          <w:bCs/>
          <w:sz w:val="24"/>
        </w:rPr>
      </w:pPr>
      <w:r w:rsidRPr="000A5B5D">
        <w:rPr>
          <w:rFonts w:ascii="Arial" w:hAnsi="Arial" w:cs="Arial" w:hint="eastAsia"/>
          <w:bCs/>
          <w:sz w:val="24"/>
        </w:rPr>
        <w:t>注</w:t>
      </w:r>
      <w:r w:rsidRPr="000A5B5D">
        <w:rPr>
          <w:rFonts w:ascii="Arial" w:hAnsi="Arial" w:cs="Arial"/>
          <w:bCs/>
          <w:sz w:val="24"/>
        </w:rPr>
        <w:t>2</w:t>
      </w:r>
      <w:r w:rsidRPr="000A5B5D">
        <w:rPr>
          <w:rFonts w:ascii="Arial" w:hAnsi="Arial" w:cs="Arial" w:hint="eastAsia"/>
          <w:bCs/>
          <w:sz w:val="24"/>
        </w:rPr>
        <w:t>：</w:t>
      </w:r>
      <w:r w:rsidRPr="000A5B5D">
        <w:rPr>
          <w:rFonts w:ascii="Arial" w:hAnsi="Arial" w:cs="Arial"/>
          <w:bCs/>
          <w:sz w:val="24"/>
        </w:rPr>
        <w:t>2015</w:t>
      </w:r>
      <w:r w:rsidRPr="000A5B5D">
        <w:rPr>
          <w:rFonts w:ascii="Arial" w:hAnsi="Arial" w:cs="Arial" w:hint="eastAsia"/>
          <w:bCs/>
          <w:sz w:val="24"/>
        </w:rPr>
        <w:t>年</w:t>
      </w:r>
      <w:r w:rsidRPr="000A5B5D">
        <w:rPr>
          <w:rFonts w:ascii="Arial" w:hAnsi="Arial" w:cs="Arial"/>
          <w:bCs/>
          <w:sz w:val="24"/>
        </w:rPr>
        <w:t>12</w:t>
      </w:r>
      <w:r w:rsidRPr="000A5B5D">
        <w:rPr>
          <w:rFonts w:ascii="Arial" w:hAnsi="Arial" w:cs="Arial" w:hint="eastAsia"/>
          <w:bCs/>
          <w:sz w:val="24"/>
        </w:rPr>
        <w:t>月</w:t>
      </w:r>
      <w:r w:rsidRPr="000A5B5D">
        <w:rPr>
          <w:rFonts w:ascii="Arial" w:hAnsi="Arial" w:cs="Arial"/>
          <w:bCs/>
          <w:sz w:val="24"/>
        </w:rPr>
        <w:t>31</w:t>
      </w:r>
      <w:r w:rsidRPr="000A5B5D">
        <w:rPr>
          <w:rFonts w:ascii="Arial" w:hAnsi="Arial" w:cs="Arial" w:hint="eastAsia"/>
          <w:bCs/>
          <w:sz w:val="24"/>
        </w:rPr>
        <w:t>日，公司对第一期限制性股票激励计划的可行权权益工具数量作出了最佳估计，修正预计可行权的股票期权数量，并按照限制性股票授权日的公允价值，将当期取得的服务计入相关的费用和资本公积，经测算</w:t>
      </w:r>
      <w:r w:rsidRPr="000A5B5D">
        <w:rPr>
          <w:rFonts w:ascii="Arial" w:hAnsi="Arial" w:cs="Arial"/>
          <w:bCs/>
          <w:sz w:val="24"/>
        </w:rPr>
        <w:t>2015</w:t>
      </w:r>
      <w:r w:rsidRPr="000A5B5D">
        <w:rPr>
          <w:rFonts w:ascii="Arial" w:hAnsi="Arial" w:cs="Arial" w:hint="eastAsia"/>
          <w:bCs/>
          <w:sz w:val="24"/>
        </w:rPr>
        <w:t>年股份支付成本为</w:t>
      </w:r>
      <w:r w:rsidRPr="000A5B5D">
        <w:rPr>
          <w:rFonts w:ascii="Arial" w:hAnsi="Arial" w:cs="Arial"/>
          <w:bCs/>
          <w:sz w:val="24"/>
        </w:rPr>
        <w:t>853,125.00</w:t>
      </w:r>
      <w:r w:rsidRPr="000A5B5D">
        <w:rPr>
          <w:rFonts w:ascii="Arial" w:hAnsi="Arial" w:cs="Arial" w:hint="eastAsia"/>
          <w:bCs/>
          <w:sz w:val="24"/>
        </w:rPr>
        <w:t>元，对应增加“资本公积</w:t>
      </w:r>
      <w:r w:rsidRPr="000A5B5D">
        <w:rPr>
          <w:rFonts w:ascii="Arial" w:hAnsi="Arial" w:cs="Arial"/>
          <w:bCs/>
          <w:sz w:val="24"/>
        </w:rPr>
        <w:t>-</w:t>
      </w:r>
      <w:r w:rsidRPr="000A5B5D">
        <w:rPr>
          <w:rFonts w:ascii="Arial" w:hAnsi="Arial" w:cs="Arial" w:hint="eastAsia"/>
          <w:bCs/>
          <w:sz w:val="24"/>
        </w:rPr>
        <w:t>其他资本公积”</w:t>
      </w:r>
      <w:r w:rsidRPr="000A5B5D">
        <w:rPr>
          <w:rFonts w:ascii="Arial" w:hAnsi="Arial" w:cs="Arial"/>
          <w:bCs/>
          <w:sz w:val="24"/>
        </w:rPr>
        <w:t>853,125.00</w:t>
      </w:r>
      <w:r w:rsidRPr="000A5B5D">
        <w:rPr>
          <w:rFonts w:ascii="Arial" w:hAnsi="Arial" w:cs="Arial" w:hint="eastAsia"/>
          <w:bCs/>
          <w:sz w:val="24"/>
        </w:rPr>
        <w:t>元。</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库存股</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3845"/>
        <w:gridCol w:w="1365"/>
        <w:gridCol w:w="1418"/>
        <w:gridCol w:w="1276"/>
        <w:gridCol w:w="1310"/>
      </w:tblGrid>
      <w:tr w:rsidR="00851B9D" w:rsidRPr="000A5B5D" w:rsidTr="00851B9D">
        <w:trPr>
          <w:trHeight w:val="397"/>
          <w:tblHeader/>
          <w:jc w:val="center"/>
        </w:trPr>
        <w:tc>
          <w:tcPr>
            <w:tcW w:w="3845"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宋体" w:cs="Arial" w:hint="eastAsia"/>
                <w:kern w:val="0"/>
                <w:szCs w:val="21"/>
              </w:rPr>
              <w:t>项</w:t>
            </w:r>
            <w:r w:rsidRPr="000A5B5D">
              <w:rPr>
                <w:rFonts w:ascii="Arial" w:hAnsi="Arial" w:cs="Arial"/>
                <w:kern w:val="0"/>
                <w:szCs w:val="21"/>
              </w:rPr>
              <w:t xml:space="preserve">  </w:t>
            </w:r>
            <w:r w:rsidRPr="000A5B5D">
              <w:rPr>
                <w:rFonts w:ascii="Arial" w:hAnsi="宋体" w:cs="Arial" w:hint="eastAsia"/>
                <w:kern w:val="0"/>
                <w:szCs w:val="21"/>
              </w:rPr>
              <w:t>目</w:t>
            </w:r>
          </w:p>
        </w:tc>
        <w:tc>
          <w:tcPr>
            <w:tcW w:w="1365" w:type="dxa"/>
            <w:tcBorders>
              <w:top w:val="single" w:sz="12" w:space="0" w:color="auto"/>
            </w:tcBorders>
            <w:noWrap/>
            <w:vAlign w:val="center"/>
          </w:tcPr>
          <w:p w:rsidR="00851B9D" w:rsidRPr="000A5B5D" w:rsidRDefault="00851B9D" w:rsidP="00851B9D">
            <w:pPr>
              <w:widowControl/>
              <w:jc w:val="center"/>
              <w:rPr>
                <w:rFonts w:ascii="Arial" w:hAnsi="Arial" w:cs="Arial"/>
                <w:kern w:val="0"/>
                <w:szCs w:val="21"/>
              </w:rPr>
            </w:pPr>
            <w:r w:rsidRPr="000A5B5D">
              <w:rPr>
                <w:rFonts w:ascii="Arial" w:hAnsi="宋体" w:cs="Arial" w:hint="eastAsia"/>
                <w:kern w:val="0"/>
                <w:szCs w:val="21"/>
              </w:rPr>
              <w:t>年初余额</w:t>
            </w:r>
          </w:p>
        </w:tc>
        <w:tc>
          <w:tcPr>
            <w:tcW w:w="1418" w:type="dxa"/>
            <w:tcBorders>
              <w:top w:val="single" w:sz="12" w:space="0" w:color="auto"/>
            </w:tcBorders>
            <w:noWrap/>
            <w:vAlign w:val="center"/>
          </w:tcPr>
          <w:p w:rsidR="00851B9D" w:rsidRPr="000A5B5D" w:rsidRDefault="00851B9D" w:rsidP="00851B9D">
            <w:pPr>
              <w:widowControl/>
              <w:jc w:val="center"/>
              <w:rPr>
                <w:rFonts w:ascii="Arial" w:hAnsi="Arial" w:cs="Arial"/>
                <w:kern w:val="0"/>
                <w:szCs w:val="21"/>
              </w:rPr>
            </w:pPr>
            <w:r w:rsidRPr="000A5B5D">
              <w:rPr>
                <w:rFonts w:ascii="Arial" w:hAnsi="宋体" w:cs="Arial" w:hint="eastAsia"/>
                <w:kern w:val="0"/>
                <w:szCs w:val="21"/>
              </w:rPr>
              <w:t>本年增加</w:t>
            </w:r>
          </w:p>
        </w:tc>
        <w:tc>
          <w:tcPr>
            <w:tcW w:w="1276" w:type="dxa"/>
            <w:tcBorders>
              <w:top w:val="single" w:sz="12" w:space="0" w:color="auto"/>
            </w:tcBorders>
            <w:noWrap/>
            <w:vAlign w:val="center"/>
          </w:tcPr>
          <w:p w:rsidR="00851B9D" w:rsidRPr="000A5B5D" w:rsidRDefault="00851B9D" w:rsidP="00851B9D">
            <w:pPr>
              <w:widowControl/>
              <w:jc w:val="center"/>
              <w:rPr>
                <w:rFonts w:ascii="Arial" w:hAnsi="Arial" w:cs="Arial"/>
                <w:kern w:val="0"/>
                <w:szCs w:val="21"/>
              </w:rPr>
            </w:pPr>
            <w:r w:rsidRPr="000A5B5D">
              <w:rPr>
                <w:rFonts w:ascii="Arial" w:hAnsi="宋体" w:cs="Arial" w:hint="eastAsia"/>
                <w:kern w:val="0"/>
                <w:szCs w:val="21"/>
              </w:rPr>
              <w:t>本年减少</w:t>
            </w:r>
          </w:p>
        </w:tc>
        <w:tc>
          <w:tcPr>
            <w:tcW w:w="1310" w:type="dxa"/>
            <w:tcBorders>
              <w:top w:val="single" w:sz="12" w:space="0" w:color="auto"/>
            </w:tcBorders>
            <w:noWrap/>
            <w:vAlign w:val="center"/>
          </w:tcPr>
          <w:p w:rsidR="00851B9D" w:rsidRPr="000A5B5D" w:rsidRDefault="00851B9D" w:rsidP="00851B9D">
            <w:pPr>
              <w:widowControl/>
              <w:jc w:val="center"/>
              <w:rPr>
                <w:rFonts w:ascii="Arial" w:hAnsi="Arial" w:cs="Arial"/>
                <w:kern w:val="0"/>
                <w:szCs w:val="21"/>
              </w:rPr>
            </w:pPr>
            <w:r w:rsidRPr="000A5B5D">
              <w:rPr>
                <w:rFonts w:ascii="Arial" w:hAnsi="宋体" w:cs="Arial" w:hint="eastAsia"/>
                <w:kern w:val="0"/>
                <w:szCs w:val="21"/>
              </w:rPr>
              <w:t>年末余额</w:t>
            </w:r>
          </w:p>
        </w:tc>
      </w:tr>
      <w:tr w:rsidR="00851B9D" w:rsidRPr="000A5B5D" w:rsidTr="00851B9D">
        <w:trPr>
          <w:trHeight w:val="397"/>
          <w:jc w:val="center"/>
        </w:trPr>
        <w:tc>
          <w:tcPr>
            <w:tcW w:w="3845" w:type="dxa"/>
            <w:tcBorders>
              <w:bottom w:val="single" w:sz="12" w:space="0" w:color="auto"/>
            </w:tcBorders>
            <w:vAlign w:val="center"/>
          </w:tcPr>
          <w:p w:rsidR="00851B9D" w:rsidRPr="000A5B5D" w:rsidRDefault="00851B9D" w:rsidP="00851B9D">
            <w:pPr>
              <w:widowControl/>
              <w:jc w:val="left"/>
              <w:rPr>
                <w:rFonts w:ascii="Arial" w:hAnsi="Arial" w:cs="Arial"/>
                <w:kern w:val="0"/>
                <w:szCs w:val="21"/>
              </w:rPr>
            </w:pPr>
            <w:r w:rsidRPr="000A5B5D">
              <w:rPr>
                <w:rFonts w:ascii="Arial" w:hAnsi="宋体" w:cs="Arial" w:hint="eastAsia"/>
                <w:kern w:val="0"/>
                <w:szCs w:val="21"/>
              </w:rPr>
              <w:t>限制性股票义务回购相关的库存股</w:t>
            </w:r>
          </w:p>
        </w:tc>
        <w:tc>
          <w:tcPr>
            <w:tcW w:w="1365" w:type="dxa"/>
            <w:tcBorders>
              <w:bottom w:val="single" w:sz="12" w:space="0" w:color="auto"/>
            </w:tcBorders>
            <w:noWrap/>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418" w:type="dxa"/>
            <w:tcBorders>
              <w:bottom w:val="single" w:sz="12" w:space="0" w:color="auto"/>
            </w:tcBorders>
            <w:noWrap/>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62,595,000.00</w:t>
            </w:r>
          </w:p>
        </w:tc>
        <w:tc>
          <w:tcPr>
            <w:tcW w:w="1276" w:type="dxa"/>
            <w:tcBorders>
              <w:bottom w:val="single" w:sz="12" w:space="0" w:color="auto"/>
            </w:tcBorders>
            <w:noWrap/>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310" w:type="dxa"/>
            <w:tcBorders>
              <w:bottom w:val="single" w:sz="12" w:space="0" w:color="auto"/>
            </w:tcBorders>
            <w:noWrap/>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62,595,000.00</w:t>
            </w:r>
          </w:p>
        </w:tc>
      </w:tr>
    </w:tbl>
    <w:p w:rsidR="00851B9D" w:rsidRPr="000A5B5D" w:rsidRDefault="00851B9D" w:rsidP="00851B9D">
      <w:pPr>
        <w:tabs>
          <w:tab w:val="left" w:pos="8820"/>
          <w:tab w:val="left" w:pos="9000"/>
        </w:tabs>
        <w:spacing w:line="400" w:lineRule="exact"/>
        <w:ind w:firstLineChars="200" w:firstLine="480"/>
        <w:rPr>
          <w:rFonts w:ascii="Arial" w:hAnsi="Arial" w:cs="Arial"/>
          <w:bCs/>
          <w:sz w:val="24"/>
        </w:rPr>
      </w:pPr>
      <w:r w:rsidRPr="000A5B5D">
        <w:rPr>
          <w:rFonts w:ascii="Arial" w:hAnsi="Arial" w:cs="Arial" w:hint="eastAsia"/>
          <w:bCs/>
          <w:sz w:val="24"/>
        </w:rPr>
        <w:t>本报告期公司对</w:t>
      </w:r>
      <w:r w:rsidRPr="000A5B5D">
        <w:rPr>
          <w:rFonts w:ascii="Arial" w:hAnsi="Arial" w:cs="Arial"/>
          <w:bCs/>
          <w:sz w:val="24"/>
        </w:rPr>
        <w:t>15</w:t>
      </w:r>
      <w:r w:rsidRPr="000A5B5D">
        <w:rPr>
          <w:rFonts w:ascii="Arial" w:hAnsi="Arial" w:cs="Arial" w:hint="eastAsia"/>
          <w:bCs/>
          <w:sz w:val="24"/>
        </w:rPr>
        <w:t>名激励对象授予限制性股票</w:t>
      </w:r>
      <w:r w:rsidRPr="000A5B5D">
        <w:rPr>
          <w:rFonts w:ascii="Arial" w:hAnsi="Arial" w:cs="Arial"/>
          <w:bCs/>
          <w:sz w:val="24"/>
        </w:rPr>
        <w:t xml:space="preserve"> 1,170</w:t>
      </w:r>
      <w:r w:rsidRPr="000A5B5D">
        <w:rPr>
          <w:rFonts w:ascii="Arial" w:hAnsi="Arial" w:cs="Arial" w:hint="eastAsia"/>
          <w:bCs/>
          <w:sz w:val="24"/>
        </w:rPr>
        <w:t>万股，每股授予价格为</w:t>
      </w:r>
      <w:r w:rsidRPr="000A5B5D">
        <w:rPr>
          <w:rFonts w:ascii="Arial" w:hAnsi="Arial" w:cs="Arial"/>
          <w:bCs/>
          <w:sz w:val="24"/>
        </w:rPr>
        <w:t xml:space="preserve"> 5.35</w:t>
      </w:r>
      <w:r w:rsidRPr="000A5B5D">
        <w:rPr>
          <w:rFonts w:ascii="Arial" w:hAnsi="Arial" w:cs="Arial" w:hint="eastAsia"/>
          <w:bCs/>
          <w:sz w:val="24"/>
        </w:rPr>
        <w:t>元，</w:t>
      </w:r>
      <w:r w:rsidRPr="000A5B5D">
        <w:rPr>
          <w:rFonts w:ascii="Arial" w:hAnsi="Arial" w:cs="Arial"/>
          <w:bCs/>
          <w:sz w:val="24"/>
        </w:rPr>
        <w:t xml:space="preserve"> </w:t>
      </w:r>
      <w:r w:rsidRPr="000A5B5D">
        <w:rPr>
          <w:rFonts w:ascii="Arial" w:hAnsi="Arial" w:cs="Arial" w:hint="eastAsia"/>
          <w:bCs/>
          <w:sz w:val="24"/>
        </w:rPr>
        <w:t>公司对可能发生的对限制性股票的回购义务按约定回购价格</w:t>
      </w:r>
      <w:r w:rsidRPr="000A5B5D">
        <w:rPr>
          <w:rFonts w:ascii="Arial" w:hAnsi="Arial" w:cs="Arial"/>
          <w:bCs/>
          <w:sz w:val="24"/>
        </w:rPr>
        <w:t>5.35</w:t>
      </w:r>
      <w:r w:rsidRPr="000A5B5D">
        <w:rPr>
          <w:rFonts w:ascii="Arial" w:hAnsi="Arial" w:cs="Arial" w:hint="eastAsia"/>
          <w:bCs/>
          <w:sz w:val="24"/>
        </w:rPr>
        <w:t>元</w:t>
      </w:r>
      <w:r w:rsidRPr="000A5B5D">
        <w:rPr>
          <w:rFonts w:ascii="Arial" w:hAnsi="Arial" w:cs="Arial"/>
          <w:bCs/>
          <w:sz w:val="24"/>
        </w:rPr>
        <w:t>/</w:t>
      </w:r>
      <w:r w:rsidRPr="000A5B5D">
        <w:rPr>
          <w:rFonts w:ascii="Arial" w:hAnsi="Arial" w:cs="Arial" w:hint="eastAsia"/>
          <w:bCs/>
          <w:sz w:val="24"/>
        </w:rPr>
        <w:t>股及发行的数量</w:t>
      </w:r>
      <w:r w:rsidRPr="000A5B5D">
        <w:rPr>
          <w:rFonts w:ascii="Arial" w:hAnsi="Arial" w:cs="Arial"/>
          <w:bCs/>
          <w:sz w:val="24"/>
        </w:rPr>
        <w:t xml:space="preserve"> 1,170</w:t>
      </w:r>
      <w:r w:rsidRPr="000A5B5D">
        <w:rPr>
          <w:rFonts w:ascii="Arial" w:hAnsi="Arial" w:cs="Arial" w:hint="eastAsia"/>
          <w:bCs/>
          <w:sz w:val="24"/>
        </w:rPr>
        <w:t>万股分别确认库存股</w:t>
      </w:r>
      <w:r w:rsidRPr="000A5B5D">
        <w:rPr>
          <w:rFonts w:ascii="Arial" w:hAnsi="Arial" w:cs="Arial"/>
          <w:bCs/>
          <w:sz w:val="24"/>
        </w:rPr>
        <w:t xml:space="preserve"> 62,595,000.00 </w:t>
      </w:r>
      <w:r w:rsidRPr="000A5B5D">
        <w:rPr>
          <w:rFonts w:ascii="Arial" w:hAnsi="Arial" w:cs="Arial" w:hint="eastAsia"/>
          <w:bCs/>
          <w:sz w:val="24"/>
        </w:rPr>
        <w:t>元和其他应付款</w:t>
      </w:r>
      <w:r w:rsidRPr="000A5B5D">
        <w:rPr>
          <w:rFonts w:ascii="Arial" w:hAnsi="Arial" w:cs="Arial"/>
          <w:bCs/>
          <w:sz w:val="24"/>
        </w:rPr>
        <w:t>62,595,000.00</w:t>
      </w:r>
      <w:r w:rsidRPr="000A5B5D">
        <w:rPr>
          <w:rFonts w:ascii="Arial" w:hAnsi="Arial" w:cs="Arial" w:hint="eastAsia"/>
          <w:bCs/>
          <w:sz w:val="24"/>
        </w:rPr>
        <w:t>元。</w:t>
      </w:r>
    </w:p>
    <w:p w:rsidR="00851B9D" w:rsidRPr="000A5B5D" w:rsidRDefault="00851B9D" w:rsidP="00851B9D">
      <w:pPr>
        <w:tabs>
          <w:tab w:val="left" w:pos="8820"/>
          <w:tab w:val="left" w:pos="9000"/>
        </w:tabs>
        <w:spacing w:line="400" w:lineRule="exact"/>
        <w:ind w:firstLineChars="200" w:firstLine="480"/>
        <w:rPr>
          <w:rFonts w:ascii="Arial" w:hAnsi="Arial" w:cs="Arial"/>
          <w:bCs/>
          <w:sz w:val="24"/>
        </w:rPr>
      </w:pP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其他综合收益</w:t>
      </w:r>
    </w:p>
    <w:tbl>
      <w:tblPr>
        <w:tblW w:w="9216" w:type="dxa"/>
        <w:tblBorders>
          <w:top w:val="single" w:sz="12" w:space="0" w:color="000000"/>
          <w:bottom w:val="single" w:sz="12" w:space="0" w:color="000000"/>
          <w:insideH w:val="dotted" w:sz="4" w:space="0" w:color="auto"/>
          <w:insideV w:val="dotted" w:sz="4" w:space="0" w:color="auto"/>
        </w:tblBorders>
        <w:tblLayout w:type="fixed"/>
        <w:tblLook w:val="04A0" w:firstRow="1" w:lastRow="0" w:firstColumn="1" w:lastColumn="0" w:noHBand="0" w:noVBand="1"/>
      </w:tblPr>
      <w:tblGrid>
        <w:gridCol w:w="1951"/>
        <w:gridCol w:w="1134"/>
        <w:gridCol w:w="1134"/>
        <w:gridCol w:w="992"/>
        <w:gridCol w:w="650"/>
        <w:gridCol w:w="1134"/>
        <w:gridCol w:w="1134"/>
        <w:gridCol w:w="1087"/>
      </w:tblGrid>
      <w:tr w:rsidR="00851B9D" w:rsidRPr="000A5B5D" w:rsidTr="00851B9D">
        <w:trPr>
          <w:trHeight w:val="397"/>
          <w:tblHeader/>
        </w:trPr>
        <w:tc>
          <w:tcPr>
            <w:tcW w:w="1951" w:type="dxa"/>
            <w:vMerge w:val="restart"/>
            <w:tcBorders>
              <w:top w:val="single" w:sz="12" w:space="0" w:color="000000"/>
            </w:tcBorders>
            <w:vAlign w:val="center"/>
          </w:tcPr>
          <w:p w:rsidR="00851B9D" w:rsidRPr="000A5B5D" w:rsidRDefault="00851B9D" w:rsidP="00851B9D">
            <w:pPr>
              <w:ind w:leftChars="-26" w:left="-47" w:rightChars="-23" w:right="-41"/>
              <w:jc w:val="center"/>
              <w:rPr>
                <w:rFonts w:ascii="Arial Narrow" w:hAnsi="Arial Narrow" w:cs="Arial"/>
              </w:rPr>
            </w:pPr>
            <w:r w:rsidRPr="000A5B5D">
              <w:rPr>
                <w:rFonts w:ascii="Arial Narrow" w:hAnsi="Arial Narrow" w:cs="Arial" w:hint="eastAsia"/>
              </w:rPr>
              <w:t>项目</w:t>
            </w:r>
          </w:p>
        </w:tc>
        <w:tc>
          <w:tcPr>
            <w:tcW w:w="1134" w:type="dxa"/>
            <w:vMerge w:val="restart"/>
            <w:tcBorders>
              <w:top w:val="single" w:sz="12" w:space="0" w:color="000000"/>
            </w:tcBorders>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年初</w:t>
            </w:r>
          </w:p>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余额</w:t>
            </w:r>
          </w:p>
        </w:tc>
        <w:tc>
          <w:tcPr>
            <w:tcW w:w="5044" w:type="dxa"/>
            <w:gridSpan w:val="5"/>
            <w:tcBorders>
              <w:top w:val="single" w:sz="12" w:space="0" w:color="000000"/>
            </w:tcBorders>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本年发生金额</w:t>
            </w:r>
          </w:p>
        </w:tc>
        <w:tc>
          <w:tcPr>
            <w:tcW w:w="1087" w:type="dxa"/>
            <w:vMerge w:val="restart"/>
            <w:tcBorders>
              <w:top w:val="single" w:sz="12" w:space="0" w:color="000000"/>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年末</w:t>
            </w:r>
          </w:p>
          <w:p w:rsidR="00851B9D" w:rsidRPr="000A5B5D" w:rsidRDefault="00851B9D" w:rsidP="00851B9D">
            <w:pPr>
              <w:jc w:val="center"/>
              <w:rPr>
                <w:rFonts w:ascii="Arial Narrow" w:hAnsi="Arial Narrow" w:cs="Arial"/>
              </w:rPr>
            </w:pPr>
            <w:r w:rsidRPr="000A5B5D">
              <w:rPr>
                <w:rFonts w:ascii="Arial Narrow" w:hAnsi="Arial Narrow" w:cs="Arial" w:hint="eastAsia"/>
              </w:rPr>
              <w:t>余额</w:t>
            </w:r>
          </w:p>
        </w:tc>
      </w:tr>
      <w:tr w:rsidR="00851B9D" w:rsidRPr="000A5B5D" w:rsidTr="00851B9D">
        <w:trPr>
          <w:trHeight w:val="397"/>
          <w:tblHeader/>
        </w:trPr>
        <w:tc>
          <w:tcPr>
            <w:tcW w:w="1951" w:type="dxa"/>
            <w:vMerge/>
            <w:vAlign w:val="center"/>
          </w:tcPr>
          <w:p w:rsidR="00851B9D" w:rsidRPr="000A5B5D" w:rsidRDefault="00851B9D" w:rsidP="00851B9D">
            <w:pPr>
              <w:ind w:leftChars="-26" w:left="-47" w:rightChars="-23" w:right="-41"/>
              <w:jc w:val="center"/>
              <w:rPr>
                <w:rFonts w:ascii="Arial Narrow" w:hAnsi="Arial Narrow" w:cs="Arial"/>
              </w:rPr>
            </w:pPr>
          </w:p>
        </w:tc>
        <w:tc>
          <w:tcPr>
            <w:tcW w:w="1134" w:type="dxa"/>
            <w:vMerge/>
            <w:vAlign w:val="center"/>
          </w:tcPr>
          <w:p w:rsidR="00851B9D" w:rsidRPr="000A5B5D" w:rsidRDefault="00851B9D" w:rsidP="00851B9D">
            <w:pPr>
              <w:ind w:leftChars="-26" w:left="-47" w:rightChars="-40" w:right="-72"/>
              <w:jc w:val="center"/>
              <w:rPr>
                <w:rFonts w:ascii="Arial Narrow" w:hAnsi="Arial Narrow" w:cs="Arial"/>
              </w:rPr>
            </w:pPr>
          </w:p>
        </w:tc>
        <w:tc>
          <w:tcPr>
            <w:tcW w:w="1134" w:type="dxa"/>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本年所得税前发生额</w:t>
            </w:r>
          </w:p>
        </w:tc>
        <w:tc>
          <w:tcPr>
            <w:tcW w:w="992" w:type="dxa"/>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减：前期计入其他综合收益当期转入损益</w:t>
            </w:r>
          </w:p>
        </w:tc>
        <w:tc>
          <w:tcPr>
            <w:tcW w:w="650" w:type="dxa"/>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减：所得税费用</w:t>
            </w:r>
          </w:p>
        </w:tc>
        <w:tc>
          <w:tcPr>
            <w:tcW w:w="1134" w:type="dxa"/>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税后归属于母公司</w:t>
            </w:r>
          </w:p>
        </w:tc>
        <w:tc>
          <w:tcPr>
            <w:tcW w:w="1134" w:type="dxa"/>
            <w:vAlign w:val="center"/>
          </w:tcPr>
          <w:p w:rsidR="00851B9D" w:rsidRPr="000A5B5D" w:rsidRDefault="00851B9D" w:rsidP="00851B9D">
            <w:pPr>
              <w:ind w:leftChars="-26" w:left="-47" w:rightChars="-40" w:right="-72"/>
              <w:jc w:val="center"/>
              <w:rPr>
                <w:rFonts w:ascii="Arial Narrow" w:hAnsi="Arial Narrow" w:cs="Arial"/>
              </w:rPr>
            </w:pPr>
            <w:r w:rsidRPr="000A5B5D">
              <w:rPr>
                <w:rFonts w:ascii="Arial Narrow" w:hAnsi="Arial Narrow" w:cs="Arial" w:hint="eastAsia"/>
              </w:rPr>
              <w:t>税后归属于少数股东</w:t>
            </w:r>
          </w:p>
        </w:tc>
        <w:tc>
          <w:tcPr>
            <w:tcW w:w="1087" w:type="dxa"/>
            <w:vMerge/>
            <w:vAlign w:val="center"/>
          </w:tcPr>
          <w:p w:rsidR="00851B9D" w:rsidRPr="000A5B5D" w:rsidRDefault="00851B9D" w:rsidP="00851B9D">
            <w:pPr>
              <w:jc w:val="center"/>
              <w:rPr>
                <w:rFonts w:ascii="Arial Narrow" w:hAnsi="Arial Narrow" w:cs="Arial"/>
              </w:rPr>
            </w:pP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rPr>
                <w:rFonts w:ascii="Arial Narrow" w:hAnsi="Arial Narrow" w:cs="Arial"/>
              </w:rPr>
            </w:pPr>
            <w:r w:rsidRPr="000A5B5D">
              <w:rPr>
                <w:rFonts w:ascii="Arial Narrow" w:hAnsi="Arial Narrow" w:cs="Arial" w:hint="eastAsia"/>
              </w:rPr>
              <w:t>一、以后不能重分类进损益的其他综合收益</w:t>
            </w:r>
            <w:r w:rsidRPr="000A5B5D">
              <w:rPr>
                <w:rFonts w:ascii="Arial Narrow" w:hAnsi="Arial Narrow" w:cs="Arial"/>
              </w:rPr>
              <w:t xml:space="preserve">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0.00</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rPr>
                <w:rFonts w:ascii="Arial Narrow" w:hAnsi="Arial Narrow" w:cs="Arial"/>
              </w:rPr>
            </w:pPr>
            <w:r w:rsidRPr="000A5B5D">
              <w:rPr>
                <w:rFonts w:ascii="Arial Narrow" w:hAnsi="Arial Narrow" w:cs="Arial" w:hint="eastAsia"/>
              </w:rPr>
              <w:t>其中：重新计量设定受益计划净负债或净资产的变动</w:t>
            </w:r>
            <w:r w:rsidRPr="000A5B5D">
              <w:rPr>
                <w:rFonts w:ascii="Arial Narrow" w:hAnsi="Arial Narrow" w:cs="Arial"/>
              </w:rPr>
              <w:t xml:space="preserve">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0.00</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firstLineChars="209" w:firstLine="376"/>
              <w:rPr>
                <w:rFonts w:ascii="Arial Narrow" w:hAnsi="Arial Narrow" w:cs="Arial"/>
              </w:rPr>
            </w:pPr>
            <w:r w:rsidRPr="000A5B5D">
              <w:rPr>
                <w:rFonts w:ascii="Arial Narrow" w:hAnsi="Arial Narrow" w:cs="Arial" w:hint="eastAsia"/>
              </w:rPr>
              <w:t>权益法下在被投资单位不能重分类进损益的其他综合收益中享有的份额</w:t>
            </w:r>
            <w:r w:rsidRPr="000A5B5D">
              <w:rPr>
                <w:rFonts w:ascii="Arial Narrow" w:hAnsi="Arial Narrow" w:cs="Arial"/>
              </w:rPr>
              <w:t xml:space="preserve">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0.00</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rPr>
                <w:rFonts w:ascii="Arial Narrow" w:hAnsi="Arial Narrow" w:cs="Arial"/>
              </w:rPr>
            </w:pPr>
            <w:r w:rsidRPr="000A5B5D">
              <w:rPr>
                <w:rFonts w:ascii="Arial Narrow" w:hAnsi="Arial Narrow" w:cs="Arial" w:hint="eastAsia"/>
              </w:rPr>
              <w:t>二、以后将重分类进损益的其他综合收益</w:t>
            </w:r>
            <w:r w:rsidRPr="000A5B5D">
              <w:rPr>
                <w:rFonts w:ascii="Arial Narrow" w:hAnsi="Arial Narrow" w:cs="Arial"/>
              </w:rPr>
              <w:t xml:space="preserve">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45,942,466.04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55,895,928.21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-434,475.00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43,749,921.68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12,580,481.53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89,692,387.72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rPr>
                <w:rFonts w:ascii="Arial Narrow" w:hAnsi="Arial Narrow" w:cs="Arial"/>
              </w:rPr>
            </w:pPr>
            <w:r w:rsidRPr="000A5B5D">
              <w:rPr>
                <w:rFonts w:ascii="Arial Narrow" w:hAnsi="Arial Narrow" w:cs="Arial" w:hint="eastAsia"/>
              </w:rPr>
              <w:t>其中：权益法下在被投资单位以后将重分类进损益的其他综合收益中享有的份额</w:t>
            </w:r>
            <w:r w:rsidRPr="000A5B5D">
              <w:rPr>
                <w:rFonts w:ascii="Arial Narrow" w:hAnsi="Arial Narrow" w:cs="Arial"/>
              </w:rPr>
              <w:t xml:space="preserve">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-171,674.56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32,130,631.46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32,100,862.94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29,768.52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31,929,188.38</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firstLineChars="209" w:firstLine="376"/>
              <w:rPr>
                <w:rFonts w:ascii="Arial Narrow" w:hAnsi="Arial Narrow" w:cs="Arial"/>
              </w:rPr>
            </w:pPr>
            <w:r w:rsidRPr="000A5B5D">
              <w:rPr>
                <w:rFonts w:ascii="Arial Narrow" w:hAnsi="Arial Narrow" w:cs="Arial" w:hint="eastAsia"/>
              </w:rPr>
              <w:t>可供出售金融资产公允价值变动损益</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firstLineChars="209" w:firstLine="376"/>
              <w:rPr>
                <w:rFonts w:ascii="Arial Narrow" w:hAnsi="Arial Narrow" w:cs="Arial"/>
              </w:rPr>
            </w:pPr>
            <w:r w:rsidRPr="000A5B5D">
              <w:rPr>
                <w:rFonts w:ascii="Arial Narrow" w:hAnsi="Arial Narrow" w:cs="Arial" w:hint="eastAsia"/>
              </w:rPr>
              <w:t>持有至到期投资重分类为可供出售金融资产损益</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firstLineChars="209" w:firstLine="376"/>
              <w:rPr>
                <w:rFonts w:ascii="Arial Narrow" w:hAnsi="Arial Narrow" w:cs="Arial"/>
              </w:rPr>
            </w:pPr>
            <w:r w:rsidRPr="000A5B5D">
              <w:rPr>
                <w:rFonts w:ascii="Arial Narrow" w:hAnsi="Arial Narrow" w:cs="Arial" w:hint="eastAsia"/>
              </w:rPr>
              <w:t>现金流量套期损益的有效部分</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-434,475.00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-434,475.00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434,475.00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r>
      <w:tr w:rsidR="00851B9D" w:rsidRPr="000A5B5D" w:rsidTr="00851B9D">
        <w:trPr>
          <w:trHeight w:val="397"/>
        </w:trPr>
        <w:tc>
          <w:tcPr>
            <w:tcW w:w="1951" w:type="dxa"/>
            <w:vAlign w:val="center"/>
          </w:tcPr>
          <w:p w:rsidR="00851B9D" w:rsidRPr="000A5B5D" w:rsidRDefault="00851B9D" w:rsidP="00851B9D">
            <w:pPr>
              <w:widowControl/>
              <w:ind w:leftChars="-26" w:left="-47" w:rightChars="-23" w:right="-41" w:firstLineChars="209" w:firstLine="376"/>
              <w:rPr>
                <w:rFonts w:ascii="Arial Narrow" w:hAnsi="Arial Narrow" w:cs="Arial"/>
              </w:rPr>
            </w:pPr>
            <w:r w:rsidRPr="000A5B5D">
              <w:rPr>
                <w:rFonts w:ascii="Arial Narrow" w:hAnsi="Arial Narrow" w:cs="Arial" w:hint="eastAsia"/>
              </w:rPr>
              <w:t>外币财务报表折算差额</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46,548,615.60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23,765,296.75 </w:t>
            </w:r>
          </w:p>
        </w:tc>
        <w:tc>
          <w:tcPr>
            <w:tcW w:w="992"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650"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11,214,583.74 </w:t>
            </w:r>
          </w:p>
        </w:tc>
        <w:tc>
          <w:tcPr>
            <w:tcW w:w="1134"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12,550,713.01 </w:t>
            </w:r>
          </w:p>
        </w:tc>
        <w:tc>
          <w:tcPr>
            <w:tcW w:w="1087" w:type="dxa"/>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57,763,199.34 </w:t>
            </w:r>
          </w:p>
        </w:tc>
      </w:tr>
      <w:tr w:rsidR="00851B9D" w:rsidRPr="000A5B5D" w:rsidTr="00851B9D">
        <w:trPr>
          <w:trHeight w:val="397"/>
        </w:trPr>
        <w:tc>
          <w:tcPr>
            <w:tcW w:w="1951" w:type="dxa"/>
            <w:tcBorders>
              <w:bottom w:val="single" w:sz="12" w:space="0" w:color="000000"/>
            </w:tcBorders>
            <w:vAlign w:val="center"/>
          </w:tcPr>
          <w:p w:rsidR="00851B9D" w:rsidRPr="000A5B5D" w:rsidRDefault="00851B9D" w:rsidP="00851B9D">
            <w:pPr>
              <w:ind w:leftChars="-26" w:left="-47" w:rightChars="-23" w:right="-41"/>
              <w:rPr>
                <w:rFonts w:ascii="Arial Narrow" w:hAnsi="Arial Narrow" w:cs="Arial"/>
              </w:rPr>
            </w:pPr>
            <w:r w:rsidRPr="000A5B5D">
              <w:rPr>
                <w:rFonts w:ascii="Arial Narrow" w:hAnsi="Arial Narrow" w:cs="Arial" w:hint="eastAsia"/>
              </w:rPr>
              <w:t>其他综合收益合计</w:t>
            </w:r>
          </w:p>
        </w:tc>
        <w:tc>
          <w:tcPr>
            <w:tcW w:w="1134"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45,942,466.04 </w:t>
            </w:r>
          </w:p>
        </w:tc>
        <w:tc>
          <w:tcPr>
            <w:tcW w:w="1134"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55,895,928.21 </w:t>
            </w:r>
          </w:p>
        </w:tc>
        <w:tc>
          <w:tcPr>
            <w:tcW w:w="992"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-434,475.00 </w:t>
            </w:r>
          </w:p>
        </w:tc>
        <w:tc>
          <w:tcPr>
            <w:tcW w:w="650"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0.00 </w:t>
            </w:r>
          </w:p>
        </w:tc>
        <w:tc>
          <w:tcPr>
            <w:tcW w:w="1134"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43,749,921.68</w:t>
            </w:r>
          </w:p>
        </w:tc>
        <w:tc>
          <w:tcPr>
            <w:tcW w:w="1134"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 xml:space="preserve">12,580,481.53  </w:t>
            </w:r>
          </w:p>
        </w:tc>
        <w:tc>
          <w:tcPr>
            <w:tcW w:w="1087" w:type="dxa"/>
            <w:tcBorders>
              <w:bottom w:val="single" w:sz="12" w:space="0" w:color="000000"/>
            </w:tcBorders>
            <w:vAlign w:val="center"/>
          </w:tcPr>
          <w:p w:rsidR="00851B9D" w:rsidRPr="000A5B5D" w:rsidRDefault="00851B9D" w:rsidP="00851B9D">
            <w:pPr>
              <w:ind w:rightChars="-38" w:right="-68"/>
              <w:jc w:val="right"/>
              <w:outlineLvl w:val="0"/>
              <w:rPr>
                <w:rFonts w:ascii="Arial Narrow" w:hAnsi="Arial Narrow" w:cs="Arial"/>
              </w:rPr>
            </w:pPr>
            <w:r w:rsidRPr="000A5B5D">
              <w:rPr>
                <w:rFonts w:ascii="Arial Narrow" w:hAnsi="Arial Narrow" w:cs="Arial"/>
              </w:rPr>
              <w:t>89,692,387.72</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46" w:name="OLE_LINK28"/>
      <w:bookmarkStart w:id="47" w:name="OLE_LINK25"/>
      <w:r w:rsidRPr="000A5B5D">
        <w:rPr>
          <w:rFonts w:ascii="Arial" w:hAnsi="Arial" w:cs="Arial" w:hint="eastAsia"/>
          <w:b/>
          <w:sz w:val="24"/>
        </w:rPr>
        <w:t>专项储备</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613"/>
        <w:gridCol w:w="1605"/>
        <w:gridCol w:w="1642"/>
        <w:gridCol w:w="1760"/>
        <w:gridCol w:w="1594"/>
      </w:tblGrid>
      <w:tr w:rsidR="00851B9D" w:rsidRPr="000A5B5D" w:rsidTr="00851B9D">
        <w:trPr>
          <w:trHeight w:val="330"/>
          <w:tblHeader/>
          <w:jc w:val="center"/>
        </w:trPr>
        <w:tc>
          <w:tcPr>
            <w:tcW w:w="2613" w:type="dxa"/>
            <w:tcBorders>
              <w:top w:val="single" w:sz="12" w:space="0" w:color="auto"/>
            </w:tcBorders>
            <w:noWrap/>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宋体" w:cs="Arial" w:hint="eastAsia"/>
                <w:kern w:val="0"/>
                <w:szCs w:val="21"/>
              </w:rPr>
              <w:t>项</w:t>
            </w:r>
            <w:r w:rsidRPr="000A5B5D">
              <w:rPr>
                <w:rFonts w:ascii="Arial" w:hAnsi="Arial" w:cs="Arial"/>
                <w:kern w:val="0"/>
                <w:szCs w:val="21"/>
              </w:rPr>
              <w:t xml:space="preserve">  </w:t>
            </w:r>
            <w:r w:rsidRPr="000A5B5D">
              <w:rPr>
                <w:rFonts w:ascii="Arial" w:hAnsi="宋体" w:cs="Arial" w:hint="eastAsia"/>
                <w:kern w:val="0"/>
                <w:szCs w:val="21"/>
              </w:rPr>
              <w:t>目</w:t>
            </w:r>
          </w:p>
        </w:tc>
        <w:tc>
          <w:tcPr>
            <w:tcW w:w="1605" w:type="dxa"/>
            <w:tcBorders>
              <w:top w:val="single" w:sz="12" w:space="0" w:color="auto"/>
            </w:tcBorders>
            <w:noWrap/>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宋体" w:cs="Arial" w:hint="eastAsia"/>
                <w:kern w:val="0"/>
                <w:szCs w:val="21"/>
              </w:rPr>
              <w:t>年初余额</w:t>
            </w:r>
          </w:p>
        </w:tc>
        <w:tc>
          <w:tcPr>
            <w:tcW w:w="1642" w:type="dxa"/>
            <w:tcBorders>
              <w:top w:val="single" w:sz="12" w:space="0" w:color="auto"/>
            </w:tcBorders>
            <w:noWrap/>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宋体" w:cs="Arial" w:hint="eastAsia"/>
                <w:kern w:val="0"/>
                <w:szCs w:val="21"/>
              </w:rPr>
              <w:t>本年增加</w:t>
            </w:r>
          </w:p>
        </w:tc>
        <w:tc>
          <w:tcPr>
            <w:tcW w:w="1760" w:type="dxa"/>
            <w:tcBorders>
              <w:top w:val="single" w:sz="12" w:space="0" w:color="auto"/>
            </w:tcBorders>
            <w:noWrap/>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宋体" w:cs="Arial" w:hint="eastAsia"/>
                <w:kern w:val="0"/>
                <w:szCs w:val="21"/>
              </w:rPr>
              <w:t>本年减少</w:t>
            </w:r>
          </w:p>
        </w:tc>
        <w:tc>
          <w:tcPr>
            <w:tcW w:w="1594" w:type="dxa"/>
            <w:tcBorders>
              <w:top w:val="single" w:sz="12" w:space="0" w:color="auto"/>
            </w:tcBorders>
            <w:noWrap/>
            <w:vAlign w:val="center"/>
          </w:tcPr>
          <w:p w:rsidR="00851B9D" w:rsidRPr="000A5B5D" w:rsidRDefault="00851B9D" w:rsidP="00851B9D">
            <w:pPr>
              <w:widowControl/>
              <w:spacing w:line="400" w:lineRule="exact"/>
              <w:jc w:val="center"/>
              <w:rPr>
                <w:rFonts w:ascii="Arial" w:hAnsi="Arial" w:cs="Arial"/>
                <w:kern w:val="0"/>
                <w:szCs w:val="21"/>
              </w:rPr>
            </w:pPr>
            <w:r w:rsidRPr="000A5B5D">
              <w:rPr>
                <w:rFonts w:ascii="Arial" w:hAnsi="宋体" w:cs="Arial" w:hint="eastAsia"/>
                <w:kern w:val="0"/>
                <w:szCs w:val="21"/>
              </w:rPr>
              <w:t>年末余额</w:t>
            </w:r>
          </w:p>
        </w:tc>
      </w:tr>
      <w:tr w:rsidR="00851B9D" w:rsidRPr="000A5B5D" w:rsidTr="00851B9D">
        <w:trPr>
          <w:trHeight w:val="330"/>
          <w:jc w:val="center"/>
        </w:trPr>
        <w:tc>
          <w:tcPr>
            <w:tcW w:w="2613" w:type="dxa"/>
            <w:tcBorders>
              <w:bottom w:val="single" w:sz="12" w:space="0" w:color="auto"/>
            </w:tcBorders>
            <w:noWrap/>
            <w:vAlign w:val="center"/>
          </w:tcPr>
          <w:p w:rsidR="00851B9D" w:rsidRPr="000A5B5D" w:rsidRDefault="00851B9D" w:rsidP="00851B9D">
            <w:pPr>
              <w:tabs>
                <w:tab w:val="left" w:pos="573"/>
              </w:tabs>
              <w:spacing w:line="400" w:lineRule="exact"/>
              <w:ind w:left="573" w:hanging="573"/>
              <w:jc w:val="left"/>
              <w:rPr>
                <w:rFonts w:ascii="Arial" w:hAnsi="Arial" w:cs="Arial"/>
                <w:szCs w:val="21"/>
              </w:rPr>
            </w:pPr>
            <w:r w:rsidRPr="000A5B5D">
              <w:rPr>
                <w:rFonts w:ascii="Arial" w:hAnsi="Arial" w:cs="Arial" w:hint="eastAsia"/>
                <w:szCs w:val="21"/>
              </w:rPr>
              <w:t>安全生产费</w:t>
            </w:r>
          </w:p>
        </w:tc>
        <w:tc>
          <w:tcPr>
            <w:tcW w:w="1605" w:type="dxa"/>
            <w:tcBorders>
              <w:bottom w:val="single" w:sz="12" w:space="0" w:color="auto"/>
            </w:tcBorders>
            <w:noWrap/>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642" w:type="dxa"/>
            <w:tcBorders>
              <w:bottom w:val="single" w:sz="12" w:space="0" w:color="auto"/>
            </w:tcBorders>
            <w:noWrap/>
            <w:vAlign w:val="center"/>
          </w:tcPr>
          <w:p w:rsidR="00851B9D" w:rsidRPr="000A5B5D" w:rsidRDefault="00851B9D" w:rsidP="00851B9D">
            <w:pPr>
              <w:jc w:val="right"/>
              <w:rPr>
                <w:rFonts w:ascii="Arial Narrow" w:hAnsi="Arial Narrow" w:cs="Arial"/>
              </w:rPr>
            </w:pPr>
            <w:r w:rsidRPr="000A5B5D">
              <w:rPr>
                <w:rFonts w:ascii="Arial Narrow" w:hAnsi="Arial Narrow" w:cs="Arial"/>
              </w:rPr>
              <w:t>42,176,663.58</w:t>
            </w:r>
          </w:p>
        </w:tc>
        <w:tc>
          <w:tcPr>
            <w:tcW w:w="1760" w:type="dxa"/>
            <w:tcBorders>
              <w:bottom w:val="single" w:sz="12" w:space="0" w:color="auto"/>
            </w:tcBorders>
            <w:noWrap/>
            <w:vAlign w:val="center"/>
          </w:tcPr>
          <w:p w:rsidR="00851B9D" w:rsidRPr="000A5B5D" w:rsidRDefault="00851B9D" w:rsidP="00851B9D">
            <w:pPr>
              <w:jc w:val="right"/>
              <w:rPr>
                <w:rFonts w:ascii="Arial Narrow" w:hAnsi="Arial Narrow" w:cs="Arial"/>
              </w:rPr>
            </w:pPr>
            <w:r w:rsidRPr="000A5B5D">
              <w:rPr>
                <w:rFonts w:ascii="Arial Narrow" w:hAnsi="Arial Narrow" w:cs="Arial"/>
              </w:rPr>
              <w:t>42,176,663.58</w:t>
            </w:r>
          </w:p>
        </w:tc>
        <w:tc>
          <w:tcPr>
            <w:tcW w:w="1594" w:type="dxa"/>
            <w:tcBorders>
              <w:bottom w:val="single" w:sz="12" w:space="0" w:color="auto"/>
            </w:tcBorders>
            <w:noWrap/>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bl>
    <w:p w:rsidR="00851B9D" w:rsidRPr="000A5B5D" w:rsidRDefault="00851B9D" w:rsidP="00851B9D">
      <w:pPr>
        <w:pStyle w:val="10"/>
        <w:spacing w:line="400" w:lineRule="exact"/>
        <w:ind w:left="420" w:firstLineChars="0" w:firstLine="0"/>
        <w:outlineLvl w:val="1"/>
        <w:rPr>
          <w:rFonts w:ascii="Arial" w:hAnsi="Arial" w:cs="Arial"/>
          <w:sz w:val="24"/>
        </w:rPr>
      </w:pPr>
      <w:r w:rsidRPr="000A5B5D">
        <w:rPr>
          <w:rFonts w:ascii="Arial" w:hAnsi="Arial" w:cs="Arial" w:hint="eastAsia"/>
          <w:sz w:val="24"/>
        </w:rPr>
        <w:t>注：本报告期专项储备增减变化均系计提及使用的安全生产费用。</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lastRenderedPageBreak/>
        <w:t>盈余公积</w:t>
      </w:r>
      <w:bookmarkEnd w:id="46"/>
      <w:bookmarkEnd w:id="47"/>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13"/>
        <w:gridCol w:w="1605"/>
        <w:gridCol w:w="1628"/>
        <w:gridCol w:w="1774"/>
        <w:gridCol w:w="1594"/>
      </w:tblGrid>
      <w:tr w:rsidR="00851B9D" w:rsidRPr="000A5B5D" w:rsidTr="00851B9D">
        <w:trPr>
          <w:trHeight w:val="397"/>
          <w:tblHeader/>
          <w:jc w:val="center"/>
        </w:trPr>
        <w:tc>
          <w:tcPr>
            <w:tcW w:w="261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60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c>
          <w:tcPr>
            <w:tcW w:w="162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本年增加</w:t>
            </w:r>
          </w:p>
        </w:tc>
        <w:tc>
          <w:tcPr>
            <w:tcW w:w="177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本年减少</w:t>
            </w:r>
          </w:p>
        </w:tc>
        <w:tc>
          <w:tcPr>
            <w:tcW w:w="15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261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法定盈余公积</w:t>
            </w:r>
            <w:r w:rsidRPr="000A5B5D">
              <w:rPr>
                <w:rFonts w:ascii="Arial Narrow" w:hAnsi="Arial Narrow" w:cs="Arial"/>
                <w:kern w:val="0"/>
                <w:szCs w:val="21"/>
              </w:rPr>
              <w:t xml:space="preserve"> </w:t>
            </w:r>
          </w:p>
        </w:tc>
        <w:tc>
          <w:tcPr>
            <w:tcW w:w="160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299,933,292.36</w:t>
            </w:r>
          </w:p>
        </w:tc>
        <w:tc>
          <w:tcPr>
            <w:tcW w:w="162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77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59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299,933,292.36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未分配利润</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592"/>
        <w:gridCol w:w="2379"/>
        <w:gridCol w:w="2129"/>
      </w:tblGrid>
      <w:tr w:rsidR="00851B9D" w:rsidRPr="000A5B5D" w:rsidTr="00851B9D">
        <w:trPr>
          <w:trHeight w:val="397"/>
          <w:tblHeader/>
        </w:trPr>
        <w:tc>
          <w:tcPr>
            <w:tcW w:w="459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37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w:t>
            </w:r>
            <w:r w:rsidRPr="000A5B5D">
              <w:rPr>
                <w:rFonts w:ascii="Arial Narrow" w:hAnsi="Arial Narrow" w:cs="Arial"/>
                <w:kern w:val="0"/>
                <w:szCs w:val="21"/>
              </w:rPr>
              <w:t xml:space="preserve">  </w:t>
            </w:r>
            <w:r w:rsidRPr="000A5B5D">
              <w:rPr>
                <w:rFonts w:ascii="Arial Narrow" w:hAnsi="Arial Narrow" w:cs="Arial" w:hint="eastAsia"/>
                <w:kern w:val="0"/>
                <w:szCs w:val="21"/>
              </w:rPr>
              <w:t>年</w:t>
            </w:r>
          </w:p>
        </w:tc>
        <w:tc>
          <w:tcPr>
            <w:tcW w:w="212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w:t>
            </w:r>
            <w:r w:rsidRPr="000A5B5D">
              <w:rPr>
                <w:rFonts w:ascii="Arial Narrow" w:hAnsi="Arial Narrow" w:cs="Arial"/>
                <w:kern w:val="0"/>
                <w:szCs w:val="21"/>
              </w:rPr>
              <w:t xml:space="preserve">  </w:t>
            </w:r>
            <w:r w:rsidRPr="000A5B5D">
              <w:rPr>
                <w:rFonts w:ascii="Arial Narrow" w:hAnsi="Arial Narrow" w:cs="Arial" w:hint="eastAsia"/>
                <w:kern w:val="0"/>
                <w:szCs w:val="21"/>
              </w:rPr>
              <w:t>年</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调整前上年末未分配利润</w:t>
            </w:r>
          </w:p>
        </w:tc>
        <w:tc>
          <w:tcPr>
            <w:tcW w:w="237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3,488,689,718.18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3,985,352,761.18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调整年初未分配利润合计数（调增</w:t>
            </w:r>
            <w:r w:rsidRPr="000A5B5D">
              <w:rPr>
                <w:rFonts w:ascii="Arial Narrow" w:hAnsi="Arial Narrow" w:cs="Arial"/>
                <w:kern w:val="0"/>
                <w:szCs w:val="21"/>
              </w:rPr>
              <w:t>+</w:t>
            </w:r>
            <w:r w:rsidRPr="000A5B5D">
              <w:rPr>
                <w:rFonts w:ascii="Arial Narrow" w:hAnsi="Arial Narrow" w:cs="Arial" w:hint="eastAsia"/>
                <w:kern w:val="0"/>
                <w:szCs w:val="21"/>
              </w:rPr>
              <w:t>，调减</w:t>
            </w:r>
            <w:r w:rsidRPr="000A5B5D">
              <w:rPr>
                <w:rFonts w:ascii="Arial Narrow" w:hAnsi="Arial Narrow" w:cs="Arial"/>
                <w:kern w:val="0"/>
                <w:szCs w:val="21"/>
              </w:rPr>
              <w:t>-</w:t>
            </w:r>
            <w:r w:rsidRPr="000A5B5D">
              <w:rPr>
                <w:rFonts w:ascii="Arial Narrow" w:hAnsi="Arial Narrow" w:cs="Arial" w:hint="eastAsia"/>
                <w:kern w:val="0"/>
                <w:szCs w:val="21"/>
              </w:rPr>
              <w:t>）</w:t>
            </w:r>
          </w:p>
        </w:tc>
        <w:tc>
          <w:tcPr>
            <w:tcW w:w="237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0.00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调整后年初未分配利润</w:t>
            </w:r>
          </w:p>
        </w:tc>
        <w:tc>
          <w:tcPr>
            <w:tcW w:w="237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3,488,689,718.18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3,985,352,761.18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加：本年归属于母公司股东的净利润</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184,605,841.36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-352,682,419.34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盈余公积弥补亏损</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其他转入</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-1,045,481.49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kern w:val="0"/>
                <w:szCs w:val="21"/>
              </w:rPr>
              <w:t>5,645,211.44</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减：提取法定盈余公积</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34,267,072.50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提取任意盈余公积</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提取一般风险准备</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2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应付普通股股利</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115,358,762.60 </w:t>
            </w:r>
          </w:p>
        </w:tc>
      </w:tr>
      <w:tr w:rsidR="00851B9D" w:rsidRPr="000A5B5D" w:rsidTr="00851B9D">
        <w:trPr>
          <w:trHeight w:val="397"/>
        </w:trPr>
        <w:tc>
          <w:tcPr>
            <w:tcW w:w="459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转作股本的普通股股利</w:t>
            </w:r>
            <w:r w:rsidRPr="000A5B5D">
              <w:rPr>
                <w:rFonts w:ascii="Arial Narrow" w:hAnsi="Arial Narrow" w:cs="Arial"/>
                <w:kern w:val="0"/>
                <w:szCs w:val="21"/>
              </w:rPr>
              <w:t xml:space="preserve"> </w:t>
            </w:r>
          </w:p>
        </w:tc>
        <w:tc>
          <w:tcPr>
            <w:tcW w:w="237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1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4592"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年末未分配利润</w:t>
            </w:r>
            <w:r w:rsidRPr="000A5B5D">
              <w:rPr>
                <w:rFonts w:ascii="Arial Narrow" w:hAnsi="Arial Narrow" w:cs="Arial"/>
                <w:kern w:val="0"/>
                <w:szCs w:val="21"/>
              </w:rPr>
              <w:t xml:space="preserve"> </w:t>
            </w:r>
          </w:p>
        </w:tc>
        <w:tc>
          <w:tcPr>
            <w:tcW w:w="237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3,672,250,078.05   </w:t>
            </w:r>
          </w:p>
        </w:tc>
        <w:tc>
          <w:tcPr>
            <w:tcW w:w="212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3,488,689,718.18</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营业收入和营业成本</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383"/>
        <w:gridCol w:w="1860"/>
        <w:gridCol w:w="1918"/>
        <w:gridCol w:w="1889"/>
        <w:gridCol w:w="2164"/>
      </w:tblGrid>
      <w:tr w:rsidR="00851B9D" w:rsidRPr="000A5B5D" w:rsidTr="00851B9D">
        <w:trPr>
          <w:trHeight w:val="397"/>
          <w:tblHeader/>
          <w:jc w:val="center"/>
        </w:trPr>
        <w:tc>
          <w:tcPr>
            <w:tcW w:w="1383"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bookmarkStart w:id="48" w:name="OLE_LINK185"/>
            <w:bookmarkStart w:id="49" w:name="OLE_LINK184"/>
            <w:bookmarkStart w:id="50" w:name="OLE_LINK40"/>
            <w:bookmarkStart w:id="51" w:name="OLE_LINK99"/>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778"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4053"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tblHeader/>
          <w:jc w:val="center"/>
        </w:trPr>
        <w:tc>
          <w:tcPr>
            <w:tcW w:w="1383" w:type="dxa"/>
            <w:vMerge/>
            <w:vAlign w:val="center"/>
          </w:tcPr>
          <w:p w:rsidR="00851B9D" w:rsidRPr="000A5B5D" w:rsidRDefault="00851B9D" w:rsidP="00851B9D">
            <w:pPr>
              <w:widowControl/>
              <w:jc w:val="center"/>
              <w:rPr>
                <w:rFonts w:ascii="Arial Narrow" w:hAnsi="Arial Narrow" w:cs="Arial"/>
                <w:kern w:val="0"/>
                <w:szCs w:val="21"/>
              </w:rPr>
            </w:pPr>
          </w:p>
        </w:tc>
        <w:tc>
          <w:tcPr>
            <w:tcW w:w="186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收入</w:t>
            </w:r>
          </w:p>
        </w:tc>
        <w:tc>
          <w:tcPr>
            <w:tcW w:w="1918"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成本</w:t>
            </w:r>
          </w:p>
        </w:tc>
        <w:tc>
          <w:tcPr>
            <w:tcW w:w="1889"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收入</w:t>
            </w:r>
          </w:p>
        </w:tc>
        <w:tc>
          <w:tcPr>
            <w:tcW w:w="216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成本</w:t>
            </w:r>
          </w:p>
        </w:tc>
      </w:tr>
      <w:tr w:rsidR="00851B9D" w:rsidRPr="000A5B5D" w:rsidTr="00851B9D">
        <w:trPr>
          <w:trHeight w:val="397"/>
          <w:jc w:val="center"/>
        </w:trPr>
        <w:tc>
          <w:tcPr>
            <w:tcW w:w="138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主营业务</w:t>
            </w:r>
          </w:p>
        </w:tc>
        <w:tc>
          <w:tcPr>
            <w:tcW w:w="1860"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25,722,239,833.22 </w:t>
            </w:r>
          </w:p>
        </w:tc>
        <w:tc>
          <w:tcPr>
            <w:tcW w:w="191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24,378,812,667.28 </w:t>
            </w:r>
          </w:p>
        </w:tc>
        <w:tc>
          <w:tcPr>
            <w:tcW w:w="188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25,610,419,675.41 </w:t>
            </w:r>
          </w:p>
        </w:tc>
        <w:tc>
          <w:tcPr>
            <w:tcW w:w="216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24,402,524,039.26 </w:t>
            </w:r>
          </w:p>
        </w:tc>
      </w:tr>
      <w:tr w:rsidR="00851B9D" w:rsidRPr="000A5B5D" w:rsidTr="00851B9D">
        <w:trPr>
          <w:trHeight w:val="397"/>
          <w:jc w:val="center"/>
        </w:trPr>
        <w:tc>
          <w:tcPr>
            <w:tcW w:w="138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其他业务</w:t>
            </w:r>
          </w:p>
        </w:tc>
        <w:tc>
          <w:tcPr>
            <w:tcW w:w="1860"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4,595,466,841.95 </w:t>
            </w:r>
          </w:p>
        </w:tc>
        <w:tc>
          <w:tcPr>
            <w:tcW w:w="191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4,616,970,940.34 </w:t>
            </w:r>
          </w:p>
        </w:tc>
        <w:tc>
          <w:tcPr>
            <w:tcW w:w="188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2,452,123,251.66 </w:t>
            </w:r>
          </w:p>
        </w:tc>
        <w:tc>
          <w:tcPr>
            <w:tcW w:w="216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2,502,213,618.96 </w:t>
            </w:r>
          </w:p>
        </w:tc>
      </w:tr>
      <w:tr w:rsidR="00851B9D" w:rsidRPr="000A5B5D" w:rsidTr="00851B9D">
        <w:trPr>
          <w:trHeight w:val="397"/>
          <w:jc w:val="center"/>
        </w:trPr>
        <w:tc>
          <w:tcPr>
            <w:tcW w:w="138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860"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30,317,706,675.17 </w:t>
            </w:r>
          </w:p>
        </w:tc>
        <w:tc>
          <w:tcPr>
            <w:tcW w:w="1918"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28,995,783,607.62 </w:t>
            </w:r>
          </w:p>
        </w:tc>
        <w:tc>
          <w:tcPr>
            <w:tcW w:w="188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28,062,542,927.07 </w:t>
            </w:r>
          </w:p>
        </w:tc>
        <w:tc>
          <w:tcPr>
            <w:tcW w:w="216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26,904,737,658.22 </w:t>
            </w:r>
          </w:p>
        </w:tc>
      </w:tr>
    </w:tbl>
    <w:bookmarkEnd w:id="48"/>
    <w:bookmarkEnd w:id="49"/>
    <w:bookmarkEnd w:id="50"/>
    <w:bookmarkEnd w:id="51"/>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营业税金及附加</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56"/>
        <w:gridCol w:w="3276"/>
        <w:gridCol w:w="2682"/>
      </w:tblGrid>
      <w:tr w:rsidR="00851B9D" w:rsidRPr="000A5B5D" w:rsidTr="00851B9D">
        <w:trPr>
          <w:trHeight w:val="397"/>
          <w:tblHeader/>
          <w:jc w:val="center"/>
        </w:trPr>
        <w:tc>
          <w:tcPr>
            <w:tcW w:w="325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68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营业税</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2,613,134.49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306,458.66 </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城市维护建设税</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13,601,758.44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7,782,919.52 </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教育费附加</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6,199,649.68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3,689,761.11 </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地方教育费附加</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4,132,908.98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2,459,840.76 </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水利建设资金</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14,313,121.16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9,742,210.45 </w:t>
            </w:r>
          </w:p>
        </w:tc>
      </w:tr>
      <w:tr w:rsidR="00851B9D" w:rsidRPr="000A5B5D" w:rsidTr="00851B9D">
        <w:trPr>
          <w:trHeight w:val="397"/>
          <w:jc w:val="center"/>
        </w:trPr>
        <w:tc>
          <w:tcPr>
            <w:tcW w:w="3256"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河道管理费</w:t>
            </w:r>
          </w:p>
        </w:tc>
        <w:tc>
          <w:tcPr>
            <w:tcW w:w="3276"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143,970.43 </w:t>
            </w:r>
          </w:p>
        </w:tc>
        <w:tc>
          <w:tcPr>
            <w:tcW w:w="2682"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137,753.84 </w:t>
            </w:r>
          </w:p>
        </w:tc>
      </w:tr>
      <w:tr w:rsidR="00851B9D" w:rsidRPr="000A5B5D" w:rsidTr="00851B9D">
        <w:trPr>
          <w:trHeight w:val="397"/>
          <w:jc w:val="center"/>
        </w:trPr>
        <w:tc>
          <w:tcPr>
            <w:tcW w:w="3256"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276" w:type="dxa"/>
            <w:tcBorders>
              <w:bottom w:val="single" w:sz="12" w:space="0" w:color="auto"/>
            </w:tcBorders>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41,004,543.18 </w:t>
            </w:r>
          </w:p>
        </w:tc>
        <w:tc>
          <w:tcPr>
            <w:tcW w:w="2682"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24,118,944.34 </w:t>
            </w:r>
          </w:p>
        </w:tc>
      </w:tr>
    </w:tbl>
    <w:p w:rsidR="00851B9D" w:rsidRPr="000A5B5D" w:rsidRDefault="00851B9D" w:rsidP="00851B9D">
      <w:pPr>
        <w:tabs>
          <w:tab w:val="left" w:pos="8820"/>
          <w:tab w:val="left" w:pos="9000"/>
        </w:tabs>
        <w:spacing w:line="400" w:lineRule="exact"/>
        <w:ind w:firstLineChars="200" w:firstLine="480"/>
        <w:rPr>
          <w:rFonts w:ascii="Arial" w:hAnsi="Arial" w:cs="Arial"/>
          <w:sz w:val="24"/>
          <w:szCs w:val="22"/>
        </w:rPr>
      </w:pPr>
      <w:r w:rsidRPr="000A5B5D">
        <w:rPr>
          <w:rFonts w:ascii="Arial" w:hAnsi="Arial" w:cs="Arial" w:hint="eastAsia"/>
          <w:sz w:val="24"/>
          <w:szCs w:val="22"/>
        </w:rPr>
        <w:t>注：各项营业税金及附加的计缴标准详见附注五、税项。</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lastRenderedPageBreak/>
        <w:t>销售费用</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56"/>
        <w:gridCol w:w="3276"/>
        <w:gridCol w:w="2682"/>
      </w:tblGrid>
      <w:tr w:rsidR="00851B9D" w:rsidRPr="000A5B5D" w:rsidTr="00851B9D">
        <w:trPr>
          <w:trHeight w:val="397"/>
          <w:tblHeader/>
          <w:jc w:val="center"/>
        </w:trPr>
        <w:tc>
          <w:tcPr>
            <w:tcW w:w="325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68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运输费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263,324,727.00 </w:t>
            </w:r>
          </w:p>
        </w:tc>
        <w:tc>
          <w:tcPr>
            <w:tcW w:w="2682" w:type="dxa"/>
            <w:vAlign w:val="center"/>
          </w:tcPr>
          <w:p w:rsidR="00851B9D" w:rsidRPr="000A5B5D" w:rsidRDefault="00851B9D" w:rsidP="00851B9D">
            <w:pPr>
              <w:widowControl/>
              <w:tabs>
                <w:tab w:val="left" w:pos="2290"/>
              </w:tabs>
              <w:ind w:firstLine="420"/>
              <w:jc w:val="right"/>
              <w:rPr>
                <w:rFonts w:ascii="Arial Narrow" w:hAnsi="Arial Narrow" w:cs="Arial"/>
                <w:kern w:val="0"/>
                <w:szCs w:val="21"/>
              </w:rPr>
            </w:pPr>
            <w:r w:rsidRPr="000A5B5D">
              <w:rPr>
                <w:rFonts w:ascii="Arial Narrow" w:eastAsia="Arial Unicode MS" w:hAnsi="Arial Narrow" w:cs="Arial"/>
                <w:szCs w:val="21"/>
              </w:rPr>
              <w:t xml:space="preserve">         264,312,103.49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进出口费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20,896,408.60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26,292,692.47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职工薪酬</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17,801,757.37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17,084,080.41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运输保险费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3,836,559.53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5,107,177.48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仓储费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1,254,124.17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726,334.82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业务招待费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2,327,329.64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1,724,654.05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差旅费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1,740,371.95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1,116,032.63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车辆费用</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1,222,499.17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757,432.11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租赁费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409,597.96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491,076.29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办公费</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767,601.37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604,859.57 </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3276" w:type="dxa"/>
            <w:vAlign w:val="center"/>
          </w:tcPr>
          <w:p w:rsidR="00851B9D" w:rsidRPr="000A5B5D" w:rsidRDefault="00851B9D" w:rsidP="00851B9D">
            <w:pPr>
              <w:widowControl/>
              <w:tabs>
                <w:tab w:val="left" w:pos="2290"/>
              </w:tabs>
              <w:ind w:firstLine="420"/>
              <w:jc w:val="right"/>
              <w:rPr>
                <w:rFonts w:ascii="Arial Narrow" w:eastAsia="Arial Unicode MS" w:hAnsi="Arial Narrow" w:cs="Arial"/>
                <w:szCs w:val="21"/>
              </w:rPr>
            </w:pPr>
            <w:r w:rsidRPr="000A5B5D">
              <w:rPr>
                <w:rFonts w:ascii="Arial Narrow" w:eastAsia="Arial Unicode MS" w:hAnsi="Arial Narrow" w:cs="Arial"/>
                <w:szCs w:val="21"/>
              </w:rPr>
              <w:t xml:space="preserve">14,463,609.17 </w:t>
            </w:r>
          </w:p>
        </w:tc>
        <w:tc>
          <w:tcPr>
            <w:tcW w:w="2682"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 xml:space="preserve">             7,256,197.70 </w:t>
            </w:r>
          </w:p>
        </w:tc>
      </w:tr>
      <w:tr w:rsidR="00851B9D" w:rsidRPr="000A5B5D" w:rsidTr="00851B9D">
        <w:trPr>
          <w:trHeight w:val="397"/>
          <w:jc w:val="center"/>
        </w:trPr>
        <w:tc>
          <w:tcPr>
            <w:tcW w:w="325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276" w:type="dxa"/>
            <w:tcBorders>
              <w:bottom w:val="single" w:sz="12" w:space="0" w:color="auto"/>
            </w:tcBorders>
            <w:vAlign w:val="center"/>
          </w:tcPr>
          <w:p w:rsidR="00851B9D" w:rsidRPr="000A5B5D" w:rsidRDefault="00851B9D" w:rsidP="00851B9D">
            <w:pPr>
              <w:jc w:val="right"/>
              <w:rPr>
                <w:rFonts w:ascii="Arial Narrow" w:eastAsia="Arial Unicode MS" w:hAnsi="Arial Narrow" w:cs="Arial"/>
                <w:szCs w:val="21"/>
              </w:rPr>
            </w:pPr>
            <w:r w:rsidRPr="000A5B5D">
              <w:rPr>
                <w:rFonts w:ascii="Arial Narrow" w:hAnsi="Arial Narrow" w:cs="Arial"/>
                <w:szCs w:val="21"/>
              </w:rPr>
              <w:t xml:space="preserve">328,044,585.93  </w:t>
            </w:r>
          </w:p>
        </w:tc>
        <w:tc>
          <w:tcPr>
            <w:tcW w:w="2682" w:type="dxa"/>
            <w:tcBorders>
              <w:bottom w:val="single" w:sz="12" w:space="0" w:color="auto"/>
            </w:tcBorders>
            <w:vAlign w:val="center"/>
          </w:tcPr>
          <w:p w:rsidR="00851B9D" w:rsidRPr="000A5B5D" w:rsidRDefault="00851B9D" w:rsidP="00851B9D">
            <w:pPr>
              <w:widowControl/>
              <w:ind w:firstLine="420"/>
              <w:jc w:val="right"/>
              <w:rPr>
                <w:rFonts w:ascii="Arial Narrow" w:hAnsi="Arial Narrow" w:cs="Arial"/>
                <w:kern w:val="0"/>
                <w:szCs w:val="21"/>
              </w:rPr>
            </w:pPr>
            <w:r w:rsidRPr="000A5B5D">
              <w:rPr>
                <w:rFonts w:ascii="Arial Narrow" w:eastAsia="Arial Unicode MS" w:hAnsi="Arial Narrow" w:cs="Arial"/>
                <w:szCs w:val="21"/>
              </w:rPr>
              <w:t xml:space="preserve">         325,472,641.02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管理费用</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56"/>
        <w:gridCol w:w="3290"/>
        <w:gridCol w:w="2668"/>
      </w:tblGrid>
      <w:tr w:rsidR="00851B9D" w:rsidRPr="000A5B5D" w:rsidTr="00851B9D">
        <w:trPr>
          <w:trHeight w:val="397"/>
          <w:tblHeader/>
          <w:jc w:val="center"/>
        </w:trPr>
        <w:tc>
          <w:tcPr>
            <w:tcW w:w="325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29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66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职工薪酬</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138,893,644.90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135,445,246.43</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无形资产摊销费用</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31,508,515.43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42,252,446.88</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固定资产折旧费用</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27,399,570.80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26,544,425.09</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房产税</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6,415,087.17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8,400,559.13</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印花税</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15,609,086.79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12,823,961.96</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土地使用税</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9,191,578.17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5,465,313.60</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业务招待费</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2,536,313.56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4,820,740.55</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车辆费用</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5,136,947.67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4,535,871.82</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环境保护费</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6,084,761.25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5,327,337.77</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办公费</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3,092,488.73 </w:t>
            </w:r>
          </w:p>
        </w:tc>
        <w:tc>
          <w:tcPr>
            <w:tcW w:w="266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2,671,276.31</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中介机构费用</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15,992,701.13</w:t>
            </w:r>
          </w:p>
        </w:tc>
        <w:tc>
          <w:tcPr>
            <w:tcW w:w="2668"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10,532,572.86</w:t>
            </w:r>
          </w:p>
        </w:tc>
      </w:tr>
      <w:tr w:rsidR="00851B9D" w:rsidRPr="000A5B5D" w:rsidTr="00851B9D">
        <w:trPr>
          <w:trHeight w:val="397"/>
          <w:jc w:val="center"/>
        </w:trPr>
        <w:tc>
          <w:tcPr>
            <w:tcW w:w="3256"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停工损失</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24,282,037.17 </w:t>
            </w:r>
          </w:p>
        </w:tc>
        <w:tc>
          <w:tcPr>
            <w:tcW w:w="2668"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721,194.07 </w:t>
            </w:r>
          </w:p>
        </w:tc>
      </w:tr>
      <w:tr w:rsidR="00851B9D" w:rsidRPr="000A5B5D" w:rsidTr="00851B9D">
        <w:trPr>
          <w:trHeight w:val="397"/>
          <w:jc w:val="center"/>
        </w:trPr>
        <w:tc>
          <w:tcPr>
            <w:tcW w:w="3256"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其他</w:t>
            </w:r>
          </w:p>
        </w:tc>
        <w:tc>
          <w:tcPr>
            <w:tcW w:w="3290"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61,383,634.09 </w:t>
            </w:r>
          </w:p>
        </w:tc>
        <w:tc>
          <w:tcPr>
            <w:tcW w:w="2668"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64,943,660.18 </w:t>
            </w:r>
          </w:p>
        </w:tc>
      </w:tr>
      <w:tr w:rsidR="00851B9D" w:rsidRPr="000A5B5D" w:rsidTr="00851B9D">
        <w:trPr>
          <w:trHeight w:val="397"/>
          <w:jc w:val="center"/>
        </w:trPr>
        <w:tc>
          <w:tcPr>
            <w:tcW w:w="3256"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290" w:type="dxa"/>
            <w:tcBorders>
              <w:bottom w:val="single" w:sz="12" w:space="0" w:color="auto"/>
            </w:tcBorders>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347,526,366.86  </w:t>
            </w:r>
          </w:p>
        </w:tc>
        <w:tc>
          <w:tcPr>
            <w:tcW w:w="266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fldChar w:fldCharType="begin"/>
            </w:r>
            <w:r w:rsidRPr="000A5B5D">
              <w:rPr>
                <w:rFonts w:ascii="Arial Narrow" w:eastAsia="Arial Unicode MS" w:hAnsi="Arial Narrow" w:cs="Arial"/>
                <w:szCs w:val="21"/>
              </w:rPr>
              <w:instrText xml:space="preserve"> =SUM(ABOVE) </w:instrText>
            </w:r>
            <w:r w:rsidRPr="000A5B5D">
              <w:rPr>
                <w:rFonts w:ascii="Arial Narrow" w:eastAsia="Arial Unicode MS" w:hAnsi="Arial Narrow" w:cs="Arial"/>
                <w:szCs w:val="21"/>
              </w:rPr>
              <w:fldChar w:fldCharType="separate"/>
            </w:r>
            <w:r w:rsidRPr="000A5B5D">
              <w:rPr>
                <w:rFonts w:ascii="Arial Narrow" w:eastAsia="Arial Unicode MS" w:hAnsi="Arial Narrow" w:cs="Arial"/>
                <w:szCs w:val="21"/>
              </w:rPr>
              <w:t>324,484,606.65</w:t>
            </w:r>
            <w:r w:rsidRPr="000A5B5D">
              <w:rPr>
                <w:rFonts w:ascii="Arial Narrow" w:eastAsia="Arial Unicode MS" w:hAnsi="Arial Narrow" w:cs="Arial"/>
                <w:szCs w:val="21"/>
              </w:rPr>
              <w:fldChar w:fldCharType="end"/>
            </w:r>
            <w:r w:rsidRPr="000A5B5D">
              <w:rPr>
                <w:rFonts w:ascii="Arial Narrow" w:eastAsia="Arial Unicode MS" w:hAnsi="Arial Narrow" w:cs="Arial"/>
                <w:szCs w:val="21"/>
              </w:rPr>
              <w:t xml:space="preserve">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财务费用</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56"/>
        <w:gridCol w:w="3290"/>
        <w:gridCol w:w="2668"/>
      </w:tblGrid>
      <w:tr w:rsidR="00851B9D" w:rsidRPr="000A5B5D" w:rsidTr="00851B9D">
        <w:trPr>
          <w:trHeight w:val="397"/>
          <w:tblHeader/>
          <w:jc w:val="center"/>
        </w:trPr>
        <w:tc>
          <w:tcPr>
            <w:tcW w:w="325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29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66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利息支出</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474,307,176.05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488,437,926.09</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减：利息收入</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53,941,656.86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54,504,417.18</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减：利息资本化金额</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208,471.09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52,183,161.36</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汇兑损益</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459,076,014.24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44,916,922.18</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减：汇兑损益资本化金额</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0.00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-2,834,061.29</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银行手续费</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60,938,401.91 </w:t>
            </w:r>
          </w:p>
        </w:tc>
        <w:tc>
          <w:tcPr>
            <w:tcW w:w="266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70,119,185.10</w:t>
            </w:r>
          </w:p>
        </w:tc>
      </w:tr>
      <w:tr w:rsidR="00851B9D" w:rsidRPr="000A5B5D" w:rsidTr="00851B9D">
        <w:trPr>
          <w:trHeight w:val="397"/>
          <w:jc w:val="center"/>
        </w:trPr>
        <w:tc>
          <w:tcPr>
            <w:tcW w:w="325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3290"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0.00 </w:t>
            </w:r>
          </w:p>
        </w:tc>
        <w:tc>
          <w:tcPr>
            <w:tcW w:w="266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jc w:val="center"/>
        </w:trPr>
        <w:tc>
          <w:tcPr>
            <w:tcW w:w="325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290" w:type="dxa"/>
            <w:tcBorders>
              <w:bottom w:val="single" w:sz="12" w:space="0" w:color="auto"/>
            </w:tcBorders>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940,171,464.25 </w:t>
            </w:r>
          </w:p>
        </w:tc>
        <w:tc>
          <w:tcPr>
            <w:tcW w:w="266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499,620,516.12</w:t>
            </w:r>
          </w:p>
        </w:tc>
      </w:tr>
    </w:tbl>
    <w:p w:rsidR="00851B9D" w:rsidRPr="000A5B5D" w:rsidRDefault="00851B9D" w:rsidP="00851B9D">
      <w:pPr>
        <w:tabs>
          <w:tab w:val="left" w:pos="8820"/>
          <w:tab w:val="left" w:pos="9000"/>
        </w:tabs>
        <w:spacing w:line="400" w:lineRule="exact"/>
        <w:ind w:firstLineChars="200" w:firstLine="482"/>
        <w:rPr>
          <w:rFonts w:ascii="Arial" w:hAnsi="Arial" w:cs="Arial"/>
          <w:b/>
          <w:sz w:val="24"/>
        </w:rPr>
      </w:pP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资产减值损失</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71"/>
        <w:gridCol w:w="3289"/>
        <w:gridCol w:w="2654"/>
      </w:tblGrid>
      <w:tr w:rsidR="00851B9D" w:rsidRPr="000A5B5D" w:rsidTr="00851B9D">
        <w:trPr>
          <w:trHeight w:val="397"/>
          <w:tblHeader/>
          <w:jc w:val="center"/>
        </w:trPr>
        <w:tc>
          <w:tcPr>
            <w:tcW w:w="327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28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65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27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坏账损失</w:t>
            </w:r>
          </w:p>
        </w:tc>
        <w:tc>
          <w:tcPr>
            <w:tcW w:w="3289"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-2,251,024.55 </w:t>
            </w:r>
          </w:p>
        </w:tc>
        <w:tc>
          <w:tcPr>
            <w:tcW w:w="265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2,043,530.41 </w:t>
            </w:r>
          </w:p>
        </w:tc>
      </w:tr>
      <w:tr w:rsidR="00851B9D" w:rsidRPr="000A5B5D" w:rsidTr="00851B9D">
        <w:trPr>
          <w:trHeight w:val="397"/>
          <w:jc w:val="center"/>
        </w:trPr>
        <w:tc>
          <w:tcPr>
            <w:tcW w:w="327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存货跌价损失</w:t>
            </w:r>
          </w:p>
        </w:tc>
        <w:tc>
          <w:tcPr>
            <w:tcW w:w="3289" w:type="dxa"/>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 xml:space="preserve">32,193,511.66 </w:t>
            </w:r>
          </w:p>
        </w:tc>
        <w:tc>
          <w:tcPr>
            <w:tcW w:w="265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26,219,759.53 </w:t>
            </w:r>
          </w:p>
        </w:tc>
      </w:tr>
      <w:tr w:rsidR="00851B9D" w:rsidRPr="000A5B5D" w:rsidTr="00851B9D">
        <w:trPr>
          <w:trHeight w:val="397"/>
          <w:jc w:val="center"/>
        </w:trPr>
        <w:tc>
          <w:tcPr>
            <w:tcW w:w="327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289" w:type="dxa"/>
            <w:tcBorders>
              <w:bottom w:val="single" w:sz="12" w:space="0" w:color="auto"/>
            </w:tcBorders>
            <w:vAlign w:val="center"/>
          </w:tcPr>
          <w:p w:rsidR="00851B9D" w:rsidRPr="000A5B5D" w:rsidRDefault="00851B9D" w:rsidP="00851B9D">
            <w:pPr>
              <w:widowControl/>
              <w:jc w:val="right"/>
              <w:rPr>
                <w:rFonts w:ascii="Arial Narrow" w:hAnsi="Arial Narrow" w:cs="Arial"/>
              </w:rPr>
            </w:pPr>
            <w:r w:rsidRPr="000A5B5D">
              <w:rPr>
                <w:rFonts w:ascii="Arial Narrow" w:hAnsi="Arial Narrow" w:cs="Arial"/>
              </w:rPr>
              <w:t>29,942,487.11</w:t>
            </w:r>
          </w:p>
        </w:tc>
        <w:tc>
          <w:tcPr>
            <w:tcW w:w="265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28,263,289.94</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公允价值变动收益</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287"/>
        <w:gridCol w:w="2029"/>
        <w:gridCol w:w="1898"/>
      </w:tblGrid>
      <w:tr w:rsidR="00851B9D" w:rsidRPr="000A5B5D" w:rsidTr="00851B9D">
        <w:trPr>
          <w:trHeight w:val="397"/>
          <w:tblHeader/>
          <w:jc w:val="center"/>
        </w:trPr>
        <w:tc>
          <w:tcPr>
            <w:tcW w:w="528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产生公允价值变动收益的来源</w:t>
            </w:r>
          </w:p>
        </w:tc>
        <w:tc>
          <w:tcPr>
            <w:tcW w:w="202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89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28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以公允价值计量且其变动计入当期损益的金融资产</w:t>
            </w:r>
          </w:p>
        </w:tc>
        <w:tc>
          <w:tcPr>
            <w:tcW w:w="202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25,757,225.29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-17,617,037.30</w:t>
            </w:r>
          </w:p>
        </w:tc>
      </w:tr>
      <w:tr w:rsidR="00851B9D" w:rsidRPr="000A5B5D" w:rsidTr="00851B9D">
        <w:trPr>
          <w:trHeight w:val="397"/>
          <w:jc w:val="center"/>
        </w:trPr>
        <w:tc>
          <w:tcPr>
            <w:tcW w:w="528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其中：衍生金融工具产生的公允价值变动收益</w:t>
            </w:r>
          </w:p>
        </w:tc>
        <w:tc>
          <w:tcPr>
            <w:tcW w:w="202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25,757,225.29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-17,617,037.30</w:t>
            </w:r>
          </w:p>
        </w:tc>
      </w:tr>
      <w:tr w:rsidR="00851B9D" w:rsidRPr="000A5B5D" w:rsidTr="00851B9D">
        <w:trPr>
          <w:trHeight w:val="397"/>
          <w:jc w:val="center"/>
        </w:trPr>
        <w:tc>
          <w:tcPr>
            <w:tcW w:w="528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以公允价值计量且其变动计入当期损益的金融负债</w:t>
            </w:r>
          </w:p>
        </w:tc>
        <w:tc>
          <w:tcPr>
            <w:tcW w:w="202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-512,703.59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-12,916,407.35</w:t>
            </w:r>
          </w:p>
        </w:tc>
      </w:tr>
      <w:tr w:rsidR="00851B9D" w:rsidRPr="000A5B5D" w:rsidTr="00851B9D">
        <w:trPr>
          <w:trHeight w:val="397"/>
          <w:jc w:val="center"/>
        </w:trPr>
        <w:tc>
          <w:tcPr>
            <w:tcW w:w="528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按公允价值计量的投资性房地产</w:t>
            </w:r>
          </w:p>
        </w:tc>
        <w:tc>
          <w:tcPr>
            <w:tcW w:w="202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28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套期保值业务</w:t>
            </w:r>
          </w:p>
        </w:tc>
        <w:tc>
          <w:tcPr>
            <w:tcW w:w="2029"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3,834,481.95 </w:t>
            </w:r>
          </w:p>
        </w:tc>
        <w:tc>
          <w:tcPr>
            <w:tcW w:w="189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jc w:val="center"/>
        </w:trPr>
        <w:tc>
          <w:tcPr>
            <w:tcW w:w="528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29"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29,079,003.65 </w:t>
            </w:r>
          </w:p>
        </w:tc>
        <w:tc>
          <w:tcPr>
            <w:tcW w:w="189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-30,533,444.65</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投资收益</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301"/>
        <w:gridCol w:w="2015"/>
        <w:gridCol w:w="1898"/>
      </w:tblGrid>
      <w:tr w:rsidR="00851B9D" w:rsidRPr="000A5B5D" w:rsidTr="00851B9D">
        <w:trPr>
          <w:trHeight w:val="397"/>
          <w:tblHeader/>
          <w:jc w:val="center"/>
        </w:trPr>
        <w:tc>
          <w:tcPr>
            <w:tcW w:w="530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1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89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成本法核算的长期股权投资收益</w:t>
            </w:r>
          </w:p>
        </w:tc>
        <w:tc>
          <w:tcPr>
            <w:tcW w:w="201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89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权益法核算的长期股权投资收益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-46,591,829.48</w:t>
            </w:r>
          </w:p>
        </w:tc>
        <w:tc>
          <w:tcPr>
            <w:tcW w:w="189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-295,093,243.98</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处置长期股权投资产生的投资收益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以公允价值计量且其变动计入当期损益的金融资产在持有期间的投资收益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处置以公允价值计量且其变动计入当期损益的金融资产取得的投资收益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28,369,971.02</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-84,128,734.66</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持有至到期投资在持有期间的投资收益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可供出售金融资产在持有期间的投资收益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处置可供出售金融资产取得的投资收益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丧失控制权后，剩余股权按公允价值重新计量产生的利得</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0.00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长期股权投资核算方法转换产生的投资收益</w:t>
            </w:r>
          </w:p>
        </w:tc>
        <w:tc>
          <w:tcPr>
            <w:tcW w:w="2015"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520,827,713.20 </w:t>
            </w:r>
          </w:p>
        </w:tc>
        <w:tc>
          <w:tcPr>
            <w:tcW w:w="189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301"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15" w:type="dxa"/>
            <w:tcBorders>
              <w:bottom w:val="single" w:sz="12" w:space="0" w:color="auto"/>
            </w:tcBorders>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 xml:space="preserve">502,605,854.74  </w:t>
            </w:r>
          </w:p>
        </w:tc>
        <w:tc>
          <w:tcPr>
            <w:tcW w:w="189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-379,221,978.64</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sz w:val="24"/>
        </w:rPr>
      </w:pPr>
      <w:r w:rsidRPr="000A5B5D">
        <w:rPr>
          <w:rFonts w:ascii="Arial" w:hAnsi="Arial" w:cs="Arial" w:hint="eastAsia"/>
          <w:b/>
          <w:sz w:val="24"/>
        </w:rPr>
        <w:t>营业外收入</w:t>
      </w:r>
    </w:p>
    <w:tbl>
      <w:tblPr>
        <w:tblW w:w="92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405"/>
        <w:gridCol w:w="1729"/>
        <w:gridCol w:w="1491"/>
        <w:gridCol w:w="1589"/>
      </w:tblGrid>
      <w:tr w:rsidR="00851B9D" w:rsidRPr="000A5B5D" w:rsidTr="00851B9D">
        <w:trPr>
          <w:trHeight w:val="369"/>
          <w:tblHeader/>
        </w:trPr>
        <w:tc>
          <w:tcPr>
            <w:tcW w:w="440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72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49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c>
          <w:tcPr>
            <w:tcW w:w="158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计入当期非经常性损益的金额</w:t>
            </w:r>
          </w:p>
        </w:tc>
      </w:tr>
      <w:tr w:rsidR="00851B9D" w:rsidRPr="000A5B5D" w:rsidTr="00851B9D">
        <w:trPr>
          <w:trHeight w:val="369"/>
        </w:trPr>
        <w:tc>
          <w:tcPr>
            <w:tcW w:w="44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非流动资产处置利得合计</w:t>
            </w:r>
          </w:p>
        </w:tc>
        <w:tc>
          <w:tcPr>
            <w:tcW w:w="172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1,012,281.54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1,859,586.99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1,012,281.54 </w:t>
            </w:r>
          </w:p>
        </w:tc>
      </w:tr>
      <w:tr w:rsidR="00851B9D" w:rsidRPr="000A5B5D" w:rsidTr="00851B9D">
        <w:trPr>
          <w:trHeight w:val="369"/>
        </w:trPr>
        <w:tc>
          <w:tcPr>
            <w:tcW w:w="44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其中：固定资产处置利得</w:t>
            </w:r>
          </w:p>
        </w:tc>
        <w:tc>
          <w:tcPr>
            <w:tcW w:w="172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1,012,281.54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1,859,586.99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1,012,281.54 </w:t>
            </w:r>
          </w:p>
        </w:tc>
      </w:tr>
      <w:tr w:rsidR="00851B9D" w:rsidRPr="000A5B5D" w:rsidTr="00851B9D">
        <w:trPr>
          <w:trHeight w:val="369"/>
        </w:trPr>
        <w:tc>
          <w:tcPr>
            <w:tcW w:w="44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无形资产处置利得</w:t>
            </w:r>
          </w:p>
        </w:tc>
        <w:tc>
          <w:tcPr>
            <w:tcW w:w="17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0.00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0.00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69"/>
        </w:trPr>
        <w:tc>
          <w:tcPr>
            <w:tcW w:w="44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政府补助（详见下表：政府补助明细表）</w:t>
            </w:r>
          </w:p>
        </w:tc>
        <w:tc>
          <w:tcPr>
            <w:tcW w:w="17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49,911,424.04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51,088,817.02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28,794,757.38  </w:t>
            </w:r>
          </w:p>
        </w:tc>
      </w:tr>
      <w:tr w:rsidR="00851B9D" w:rsidRPr="000A5B5D" w:rsidTr="00851B9D">
        <w:trPr>
          <w:trHeight w:val="369"/>
        </w:trPr>
        <w:tc>
          <w:tcPr>
            <w:tcW w:w="4405"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罚款收入</w:t>
            </w:r>
          </w:p>
        </w:tc>
        <w:tc>
          <w:tcPr>
            <w:tcW w:w="17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147,795.96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961,758.91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147,795.96 </w:t>
            </w:r>
          </w:p>
        </w:tc>
      </w:tr>
      <w:tr w:rsidR="00851B9D" w:rsidRPr="000A5B5D" w:rsidTr="00851B9D">
        <w:trPr>
          <w:trHeight w:val="369"/>
        </w:trPr>
        <w:tc>
          <w:tcPr>
            <w:tcW w:w="4405"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其他</w:t>
            </w:r>
          </w:p>
        </w:tc>
        <w:tc>
          <w:tcPr>
            <w:tcW w:w="172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955,022.01 </w:t>
            </w:r>
          </w:p>
        </w:tc>
        <w:tc>
          <w:tcPr>
            <w:tcW w:w="149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rPr>
              <w:t xml:space="preserve">2,477,417.56 </w:t>
            </w:r>
          </w:p>
        </w:tc>
        <w:tc>
          <w:tcPr>
            <w:tcW w:w="1589"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955,022.01 </w:t>
            </w:r>
          </w:p>
        </w:tc>
      </w:tr>
      <w:tr w:rsidR="00851B9D" w:rsidRPr="000A5B5D" w:rsidTr="00851B9D">
        <w:trPr>
          <w:trHeight w:val="369"/>
        </w:trPr>
        <w:tc>
          <w:tcPr>
            <w:tcW w:w="4405"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729"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52,026,523.55</w:t>
            </w:r>
          </w:p>
        </w:tc>
        <w:tc>
          <w:tcPr>
            <w:tcW w:w="1491" w:type="dxa"/>
            <w:tcBorders>
              <w:bottom w:val="single" w:sz="12" w:space="0" w:color="auto"/>
            </w:tcBorders>
            <w:vAlign w:val="center"/>
          </w:tcPr>
          <w:p w:rsidR="00851B9D" w:rsidRPr="000A5B5D" w:rsidRDefault="00851B9D" w:rsidP="00851B9D">
            <w:pPr>
              <w:jc w:val="right"/>
              <w:rPr>
                <w:rFonts w:ascii="Arial Narrow" w:hAnsi="Arial Narrow" w:cs="Arial"/>
                <w:bCs/>
                <w:szCs w:val="21"/>
              </w:rPr>
            </w:pPr>
            <w:r w:rsidRPr="000A5B5D">
              <w:rPr>
                <w:rFonts w:ascii="Arial Narrow" w:hAnsi="Arial Narrow" w:cs="Arial"/>
                <w:bCs/>
                <w:szCs w:val="21"/>
              </w:rPr>
              <w:t>56,387,580.48</w:t>
            </w:r>
          </w:p>
        </w:tc>
        <w:tc>
          <w:tcPr>
            <w:tcW w:w="1589" w:type="dxa"/>
            <w:tcBorders>
              <w:bottom w:val="single" w:sz="12" w:space="0" w:color="auto"/>
            </w:tcBorders>
            <w:vAlign w:val="center"/>
          </w:tcPr>
          <w:p w:rsidR="00851B9D" w:rsidRPr="000A5B5D" w:rsidRDefault="00851B9D" w:rsidP="00851B9D">
            <w:pPr>
              <w:jc w:val="right"/>
              <w:rPr>
                <w:rFonts w:ascii="Arial Narrow" w:hAnsi="Arial Narrow" w:cs="Arial"/>
                <w:bCs/>
                <w:szCs w:val="21"/>
              </w:rPr>
            </w:pPr>
            <w:r w:rsidRPr="000A5B5D">
              <w:rPr>
                <w:rFonts w:ascii="Arial Narrow" w:hAnsi="Arial Narrow" w:cs="Arial"/>
                <w:bCs/>
                <w:szCs w:val="21"/>
              </w:rPr>
              <w:t>30,909,856.89</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其中，计入当期损益的政府补助：</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785"/>
        <w:gridCol w:w="1425"/>
        <w:gridCol w:w="1498"/>
        <w:gridCol w:w="1506"/>
      </w:tblGrid>
      <w:tr w:rsidR="00851B9D" w:rsidRPr="000A5B5D" w:rsidTr="00851B9D">
        <w:trPr>
          <w:trHeight w:val="345"/>
          <w:tblHeader/>
          <w:jc w:val="center"/>
        </w:trPr>
        <w:tc>
          <w:tcPr>
            <w:tcW w:w="478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补助项目</w:t>
            </w:r>
          </w:p>
        </w:tc>
        <w:tc>
          <w:tcPr>
            <w:tcW w:w="142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本年发生数</w:t>
            </w:r>
          </w:p>
        </w:tc>
        <w:tc>
          <w:tcPr>
            <w:tcW w:w="149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上年发生数</w:t>
            </w:r>
          </w:p>
        </w:tc>
        <w:tc>
          <w:tcPr>
            <w:tcW w:w="150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与资产相关</w:t>
            </w:r>
            <w:r w:rsidRPr="000A5B5D">
              <w:rPr>
                <w:rFonts w:ascii="Arial Narrow" w:hAnsi="Arial Narrow" w:cs="Arial"/>
                <w:kern w:val="0"/>
                <w:szCs w:val="21"/>
              </w:rPr>
              <w:t>/</w:t>
            </w:r>
            <w:r w:rsidRPr="000A5B5D">
              <w:rPr>
                <w:rFonts w:ascii="Arial Narrow" w:hAnsi="Arial Narrow" w:cs="Arial" w:hint="eastAsia"/>
                <w:kern w:val="0"/>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固定资产增值税退税</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2,678,204.43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2,678,204.43 </w:t>
            </w:r>
          </w:p>
        </w:tc>
        <w:tc>
          <w:tcPr>
            <w:tcW w:w="1506"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2013</w:t>
            </w:r>
            <w:r w:rsidRPr="000A5B5D">
              <w:rPr>
                <w:rFonts w:ascii="Arial Narrow" w:hAnsi="Arial Narrow" w:hint="eastAsia"/>
                <w:szCs w:val="21"/>
              </w:rPr>
              <w:t>产业振兴和技术改造项目</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1,587,500.00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1,587,500.00 </w:t>
            </w:r>
          </w:p>
        </w:tc>
        <w:tc>
          <w:tcPr>
            <w:tcW w:w="1506"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聚酯新项目技术改造项目补助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1,360,277.78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165,000.00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重点产业振兴和技术改造中央预算内基建资金</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600,000.00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600,000.00 </w:t>
            </w:r>
          </w:p>
        </w:tc>
        <w:tc>
          <w:tcPr>
            <w:tcW w:w="1506"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上海市</w:t>
            </w:r>
            <w:r w:rsidRPr="000A5B5D">
              <w:rPr>
                <w:rFonts w:ascii="Arial Narrow" w:hAnsi="Arial Narrow"/>
                <w:szCs w:val="21"/>
              </w:rPr>
              <w:t>2009</w:t>
            </w:r>
            <w:r w:rsidRPr="000A5B5D">
              <w:rPr>
                <w:rFonts w:ascii="Arial Narrow" w:hAnsi="Arial Narrow" w:hint="eastAsia"/>
                <w:szCs w:val="21"/>
              </w:rPr>
              <w:t>年市级重点技术改造项目补助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365,000.00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402,013.89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上海</w:t>
            </w:r>
            <w:r w:rsidRPr="000A5B5D">
              <w:rPr>
                <w:rFonts w:ascii="Arial Narrow" w:hAnsi="Arial Narrow"/>
                <w:szCs w:val="21"/>
              </w:rPr>
              <w:t>50</w:t>
            </w:r>
            <w:r w:rsidRPr="000A5B5D">
              <w:rPr>
                <w:rFonts w:ascii="Arial Narrow" w:hAnsi="Arial Narrow" w:hint="eastAsia"/>
                <w:szCs w:val="21"/>
              </w:rPr>
              <w:t>万吨二期聚酯项目补助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514,925.37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514,925.38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2014</w:t>
            </w:r>
            <w:r w:rsidRPr="000A5B5D">
              <w:rPr>
                <w:rFonts w:ascii="Arial Narrow" w:hAnsi="Arial Narrow" w:hint="eastAsia"/>
                <w:szCs w:val="21"/>
              </w:rPr>
              <w:t>年度区工业技改项目资助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74,970.80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与资产相关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残疾人就业企业增值税退税</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21,116,666.66</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22,300,833.34</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促进产业结构调整专项资金</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5,915,000.00</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5,915,000.00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2014</w:t>
            </w:r>
            <w:r w:rsidRPr="000A5B5D">
              <w:rPr>
                <w:rFonts w:hint="eastAsia"/>
                <w:szCs w:val="21"/>
              </w:rPr>
              <w:t>年杭州市节能减排产业低碳化项目补助资金</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5,584,000.00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名牌产品销售补助</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3,500,000.00</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3,210,000.00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北仑区会计核算中心支付环保专项资金</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1,500,000.00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外贸扶持资金</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1,062,119.00</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1,517,119.00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北仑区预算会计核算中心补贴</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1,000,000.00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北仑区会计核算中心扶持政策资金</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852,800.00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14</w:t>
            </w:r>
            <w:r w:rsidRPr="000A5B5D">
              <w:rPr>
                <w:rFonts w:hint="eastAsia"/>
                <w:szCs w:val="21"/>
              </w:rPr>
              <w:t>年度北仑区外经贸奖励</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852,000.00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萧山区</w:t>
            </w:r>
            <w:r w:rsidRPr="000A5B5D">
              <w:rPr>
                <w:rFonts w:ascii="Arial Narrow" w:hAnsi="Arial Narrow"/>
                <w:szCs w:val="21"/>
              </w:rPr>
              <w:t>2014</w:t>
            </w:r>
            <w:r w:rsidRPr="000A5B5D">
              <w:rPr>
                <w:rFonts w:hint="eastAsia"/>
                <w:szCs w:val="21"/>
              </w:rPr>
              <w:t>年浙江省商务促进专项资金（外经奖励）</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502,140.00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lastRenderedPageBreak/>
              <w:t>杭州市</w:t>
            </w:r>
            <w:r w:rsidRPr="000A5B5D">
              <w:rPr>
                <w:rFonts w:ascii="Arial Narrow" w:hAnsi="Arial Narrow"/>
                <w:szCs w:val="21"/>
              </w:rPr>
              <w:t>2013</w:t>
            </w:r>
            <w:r w:rsidRPr="000A5B5D">
              <w:rPr>
                <w:rFonts w:hint="eastAsia"/>
                <w:szCs w:val="21"/>
              </w:rPr>
              <w:t>年出口信用保险补贴（萧山区财政局</w:t>
            </w:r>
            <w:r w:rsidRPr="000A5B5D">
              <w:rPr>
                <w:rFonts w:ascii="Arial Narrow" w:hAnsi="Arial Narrow"/>
                <w:szCs w:val="21"/>
              </w:rPr>
              <w:t>)</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250,000.00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2014</w:t>
            </w:r>
            <w:r w:rsidRPr="000A5B5D">
              <w:rPr>
                <w:rFonts w:hint="eastAsia"/>
                <w:szCs w:val="21"/>
              </w:rPr>
              <w:t>年政策兑现临党（</w:t>
            </w:r>
            <w:r w:rsidRPr="000A5B5D">
              <w:rPr>
                <w:rFonts w:ascii="Arial Narrow" w:hAnsi="Arial Narrow"/>
                <w:szCs w:val="21"/>
              </w:rPr>
              <w:t>2013</w:t>
            </w:r>
            <w:r w:rsidRPr="000A5B5D">
              <w:rPr>
                <w:rFonts w:hint="eastAsia"/>
                <w:szCs w:val="21"/>
              </w:rPr>
              <w:t>）</w:t>
            </w:r>
            <w:r w:rsidRPr="000A5B5D">
              <w:rPr>
                <w:rFonts w:ascii="Arial Narrow" w:hAnsi="Arial Narrow"/>
                <w:szCs w:val="21"/>
              </w:rPr>
              <w:t>37</w:t>
            </w:r>
            <w:r w:rsidRPr="000A5B5D">
              <w:rPr>
                <w:rFonts w:hint="eastAsia"/>
                <w:szCs w:val="21"/>
              </w:rPr>
              <w:t>号</w:t>
            </w:r>
          </w:p>
        </w:tc>
        <w:tc>
          <w:tcPr>
            <w:tcW w:w="1425"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221,200.00</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福利企业财政补贴与奖励</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2,270,397.88</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2013</w:t>
            </w:r>
            <w:r w:rsidRPr="000A5B5D">
              <w:rPr>
                <w:rFonts w:hint="eastAsia"/>
                <w:szCs w:val="21"/>
              </w:rPr>
              <w:t>年度萧山区政府质量奖</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200,000.00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节能改造项目补助资金</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2,000,000.00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环保补助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1,565,200.00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发改局补贴</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895,000.00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进口贸易扶持基金</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424,000.00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聚酯多元共聚改性及新型化纤关键技术项目补助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760,000.00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驰名商标奖励</w:t>
            </w:r>
            <w:r w:rsidRPr="000A5B5D">
              <w:rPr>
                <w:rFonts w:ascii="Arial Narrow" w:hAnsi="Arial Narrow"/>
                <w:szCs w:val="21"/>
              </w:rPr>
              <w:t>(</w:t>
            </w:r>
            <w:r w:rsidRPr="000A5B5D">
              <w:rPr>
                <w:rFonts w:hint="eastAsia"/>
                <w:szCs w:val="21"/>
              </w:rPr>
              <w:t>萧山区财政局</w:t>
            </w:r>
            <w:r w:rsidRPr="000A5B5D">
              <w:rPr>
                <w:rFonts w:ascii="Arial Narrow" w:hAnsi="Arial Narrow"/>
                <w:szCs w:val="21"/>
              </w:rPr>
              <w:t>)</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500,000.00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szCs w:val="21"/>
              </w:rPr>
              <w:t>2011</w:t>
            </w:r>
            <w:r w:rsidRPr="000A5B5D">
              <w:rPr>
                <w:rFonts w:hint="eastAsia"/>
                <w:szCs w:val="21"/>
              </w:rPr>
              <w:t>年度第二批上海节能技改资金</w:t>
            </w:r>
            <w:r w:rsidRPr="000A5B5D">
              <w:rPr>
                <w:rFonts w:ascii="Arial Narrow" w:hAnsi="Arial Narrow"/>
                <w:szCs w:val="21"/>
              </w:rPr>
              <w:t xml:space="preserve"> </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973,000.00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节能技改降耗项目区里补贴款</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250,000.00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宋体" w:cs="宋体"/>
                <w:szCs w:val="21"/>
              </w:rPr>
            </w:pPr>
            <w:r w:rsidRPr="000A5B5D">
              <w:rPr>
                <w:rFonts w:hint="eastAsia"/>
                <w:szCs w:val="21"/>
              </w:rPr>
              <w:t>产业发展专项基金</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c>
          <w:tcPr>
            <w:tcW w:w="1498"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550,000.00</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vAlign w:val="center"/>
          </w:tcPr>
          <w:p w:rsidR="00851B9D" w:rsidRPr="000A5B5D" w:rsidRDefault="00851B9D" w:rsidP="00851B9D">
            <w:pPr>
              <w:rPr>
                <w:rFonts w:ascii="Arial Narrow" w:hAnsi="Arial Narrow" w:cs="宋体"/>
                <w:szCs w:val="21"/>
              </w:rPr>
            </w:pPr>
            <w:r w:rsidRPr="000A5B5D">
              <w:rPr>
                <w:rFonts w:ascii="Arial Narrow" w:hAnsi="Arial Narrow" w:hint="eastAsia"/>
                <w:szCs w:val="21"/>
              </w:rPr>
              <w:t>其他政府补助</w:t>
            </w:r>
          </w:p>
        </w:tc>
        <w:tc>
          <w:tcPr>
            <w:tcW w:w="142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374,620.00 </w:t>
            </w:r>
          </w:p>
        </w:tc>
        <w:tc>
          <w:tcPr>
            <w:tcW w:w="149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1,810,623.10 </w:t>
            </w:r>
          </w:p>
        </w:tc>
        <w:tc>
          <w:tcPr>
            <w:tcW w:w="1506" w:type="dxa"/>
            <w:vAlign w:val="center"/>
          </w:tcPr>
          <w:p w:rsidR="00851B9D" w:rsidRPr="000A5B5D" w:rsidRDefault="00851B9D" w:rsidP="00851B9D">
            <w:pPr>
              <w:jc w:val="right"/>
              <w:rPr>
                <w:rFonts w:ascii="宋体" w:cs="宋体"/>
                <w:szCs w:val="21"/>
              </w:rPr>
            </w:pPr>
            <w:r w:rsidRPr="000A5B5D">
              <w:rPr>
                <w:rFonts w:hint="eastAsia"/>
                <w:szCs w:val="21"/>
              </w:rPr>
              <w:t>与收益相关</w:t>
            </w:r>
          </w:p>
        </w:tc>
      </w:tr>
      <w:tr w:rsidR="00851B9D" w:rsidRPr="000A5B5D" w:rsidTr="00851B9D">
        <w:trPr>
          <w:trHeight w:val="345"/>
          <w:jc w:val="center"/>
        </w:trPr>
        <w:tc>
          <w:tcPr>
            <w:tcW w:w="4785" w:type="dxa"/>
            <w:tcBorders>
              <w:bottom w:val="single" w:sz="12" w:space="0" w:color="auto"/>
            </w:tcBorders>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总</w:t>
            </w:r>
            <w:r w:rsidRPr="000A5B5D">
              <w:rPr>
                <w:rFonts w:ascii="Arial Narrow" w:hAnsi="Arial Narrow" w:cs="Arial"/>
                <w:szCs w:val="21"/>
              </w:rPr>
              <w:t xml:space="preserve">    </w:t>
            </w:r>
            <w:r w:rsidRPr="000A5B5D">
              <w:rPr>
                <w:rFonts w:ascii="Arial Narrow" w:hAnsi="Arial Narrow" w:cs="Arial" w:hint="eastAsia"/>
                <w:szCs w:val="21"/>
              </w:rPr>
              <w:t>计</w:t>
            </w:r>
          </w:p>
        </w:tc>
        <w:tc>
          <w:tcPr>
            <w:tcW w:w="1425"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49,911,424.04 </w:t>
            </w:r>
          </w:p>
        </w:tc>
        <w:tc>
          <w:tcPr>
            <w:tcW w:w="149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51,088,817.02 </w:t>
            </w:r>
          </w:p>
        </w:tc>
        <w:tc>
          <w:tcPr>
            <w:tcW w:w="150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营业外支出</w:t>
      </w:r>
    </w:p>
    <w:tbl>
      <w:tblPr>
        <w:tblW w:w="92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094"/>
        <w:gridCol w:w="2037"/>
        <w:gridCol w:w="1985"/>
        <w:gridCol w:w="2098"/>
      </w:tblGrid>
      <w:tr w:rsidR="00851B9D" w:rsidRPr="000A5B5D" w:rsidTr="00851B9D">
        <w:trPr>
          <w:trHeight w:val="397"/>
          <w:tblHeader/>
        </w:trPr>
        <w:tc>
          <w:tcPr>
            <w:tcW w:w="30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3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98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c>
          <w:tcPr>
            <w:tcW w:w="209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计入当期非经常性</w:t>
            </w:r>
          </w:p>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损益的金额</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非流动资产处置损失合计</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3,098,448.66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19,459,579.37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3,098,448.66 </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其中：固定资产处置损失</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3,098,448.66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19,459,579.37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3,098,448.66 </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无形资产处置损失</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0.00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0.00 </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公益性捐赠支出</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507,400.00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800,300.00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507,400.00 </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滞纳金及罚款</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196,000.00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6,400.00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196,000.00 </w:t>
            </w:r>
          </w:p>
        </w:tc>
      </w:tr>
      <w:tr w:rsidR="00851B9D" w:rsidRPr="000A5B5D" w:rsidTr="00851B9D">
        <w:trPr>
          <w:trHeight w:val="397"/>
        </w:trPr>
        <w:tc>
          <w:tcPr>
            <w:tcW w:w="309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w:t>
            </w:r>
          </w:p>
        </w:tc>
        <w:tc>
          <w:tcPr>
            <w:tcW w:w="2037"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719,871.55 </w:t>
            </w:r>
          </w:p>
        </w:tc>
        <w:tc>
          <w:tcPr>
            <w:tcW w:w="1985"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 xml:space="preserve">208,920.33 </w:t>
            </w:r>
          </w:p>
        </w:tc>
        <w:tc>
          <w:tcPr>
            <w:tcW w:w="2098" w:type="dxa"/>
            <w:vAlign w:val="center"/>
          </w:tcPr>
          <w:p w:rsidR="00851B9D" w:rsidRPr="000A5B5D" w:rsidRDefault="00851B9D" w:rsidP="00851B9D">
            <w:pPr>
              <w:jc w:val="right"/>
              <w:rPr>
                <w:rFonts w:ascii="Arial Narrow" w:hAnsi="Arial Narrow" w:cs="Arial"/>
              </w:rPr>
            </w:pPr>
            <w:r w:rsidRPr="000A5B5D">
              <w:rPr>
                <w:rFonts w:ascii="Arial Narrow" w:hAnsi="Arial Narrow" w:cs="Arial"/>
                <w:szCs w:val="21"/>
              </w:rPr>
              <w:t xml:space="preserve">719,871.55 </w:t>
            </w:r>
          </w:p>
        </w:tc>
      </w:tr>
      <w:tr w:rsidR="00851B9D" w:rsidRPr="000A5B5D" w:rsidTr="00851B9D">
        <w:trPr>
          <w:trHeight w:val="397"/>
        </w:trPr>
        <w:tc>
          <w:tcPr>
            <w:tcW w:w="3094"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3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4,521,720.21</w:t>
            </w:r>
          </w:p>
        </w:tc>
        <w:tc>
          <w:tcPr>
            <w:tcW w:w="198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20,475,199.70</w:t>
            </w:r>
          </w:p>
        </w:tc>
        <w:tc>
          <w:tcPr>
            <w:tcW w:w="209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4,521,720.21</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bookmarkStart w:id="52" w:name="OLE_LINK112"/>
      <w:bookmarkStart w:id="53" w:name="OLE_LINK140"/>
      <w:bookmarkStart w:id="54" w:name="OLE_LINK141"/>
      <w:r w:rsidRPr="000A5B5D">
        <w:rPr>
          <w:rFonts w:ascii="Arial" w:hAnsi="Arial" w:cs="Arial" w:hint="eastAsia"/>
          <w:b/>
          <w:sz w:val="24"/>
        </w:rPr>
        <w:t>所得税费用</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）所得税费用表</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186"/>
        <w:gridCol w:w="3158"/>
        <w:gridCol w:w="2870"/>
      </w:tblGrid>
      <w:tr w:rsidR="00851B9D" w:rsidRPr="000A5B5D" w:rsidTr="00851B9D">
        <w:trPr>
          <w:trHeight w:val="397"/>
          <w:tblHeader/>
          <w:jc w:val="center"/>
        </w:trPr>
        <w:tc>
          <w:tcPr>
            <w:tcW w:w="318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315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87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1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当期所得税费用</w:t>
            </w:r>
          </w:p>
        </w:tc>
        <w:tc>
          <w:tcPr>
            <w:tcW w:w="315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-4,811,902.64 </w:t>
            </w:r>
          </w:p>
        </w:tc>
        <w:tc>
          <w:tcPr>
            <w:tcW w:w="287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46,502,199.47 </w:t>
            </w:r>
          </w:p>
        </w:tc>
      </w:tr>
      <w:tr w:rsidR="00851B9D" w:rsidRPr="000A5B5D" w:rsidTr="00851B9D">
        <w:trPr>
          <w:trHeight w:val="397"/>
          <w:jc w:val="center"/>
        </w:trPr>
        <w:tc>
          <w:tcPr>
            <w:tcW w:w="318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递延所得税费用</w:t>
            </w:r>
          </w:p>
        </w:tc>
        <w:tc>
          <w:tcPr>
            <w:tcW w:w="3158"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57,096,434.21  </w:t>
            </w:r>
          </w:p>
        </w:tc>
        <w:tc>
          <w:tcPr>
            <w:tcW w:w="287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-68,040,487.01 </w:t>
            </w:r>
          </w:p>
        </w:tc>
      </w:tr>
      <w:tr w:rsidR="00851B9D" w:rsidRPr="000A5B5D" w:rsidTr="00851B9D">
        <w:trPr>
          <w:trHeight w:val="397"/>
          <w:jc w:val="center"/>
        </w:trPr>
        <w:tc>
          <w:tcPr>
            <w:tcW w:w="318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3158"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52,284,531.57   </w:t>
            </w:r>
          </w:p>
        </w:tc>
        <w:tc>
          <w:tcPr>
            <w:tcW w:w="287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rPr>
              <w:t>-21,538,287.54</w:t>
            </w:r>
          </w:p>
        </w:tc>
      </w:tr>
    </w:tbl>
    <w:bookmarkEnd w:id="52"/>
    <w:bookmarkEnd w:id="53"/>
    <w:bookmarkEnd w:id="54"/>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）会计利润与所得税费用调整过程</w:t>
      </w:r>
    </w:p>
    <w:tbl>
      <w:tblPr>
        <w:tblW w:w="9214" w:type="dxa"/>
        <w:tblInd w:w="-111" w:type="dxa"/>
        <w:tblBorders>
          <w:top w:val="single" w:sz="12" w:space="0" w:color="auto"/>
          <w:bottom w:val="single" w:sz="12" w:space="0" w:color="auto"/>
          <w:insideH w:val="dotted" w:sz="4" w:space="0" w:color="auto"/>
          <w:insideV w:val="dotted" w:sz="4" w:space="0" w:color="auto"/>
        </w:tblBorders>
        <w:tblLayout w:type="fixed"/>
        <w:tblCellMar>
          <w:left w:w="31" w:type="dxa"/>
          <w:right w:w="31" w:type="dxa"/>
        </w:tblCellMar>
        <w:tblLook w:val="04A0" w:firstRow="1" w:lastRow="0" w:firstColumn="1" w:lastColumn="0" w:noHBand="0" w:noVBand="1"/>
      </w:tblPr>
      <w:tblGrid>
        <w:gridCol w:w="6413"/>
        <w:gridCol w:w="2801"/>
      </w:tblGrid>
      <w:tr w:rsidR="00851B9D" w:rsidRPr="000A5B5D" w:rsidTr="00851B9D">
        <w:trPr>
          <w:trHeight w:val="397"/>
          <w:tblHeader/>
        </w:trPr>
        <w:tc>
          <w:tcPr>
            <w:tcW w:w="6413"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lastRenderedPageBreak/>
              <w:t>项</w:t>
            </w:r>
            <w:r w:rsidRPr="000A5B5D">
              <w:rPr>
                <w:rFonts w:ascii="Arial Narrow" w:hAnsi="Arial Narrow" w:cs="Arial"/>
              </w:rPr>
              <w:t xml:space="preserve">  </w:t>
            </w:r>
            <w:r w:rsidRPr="000A5B5D">
              <w:rPr>
                <w:rFonts w:ascii="Arial Narrow" w:hAnsi="Arial Narrow" w:cs="Arial" w:hint="eastAsia"/>
              </w:rPr>
              <w:t>目</w:t>
            </w:r>
          </w:p>
        </w:tc>
        <w:tc>
          <w:tcPr>
            <w:tcW w:w="2801" w:type="dxa"/>
            <w:tcBorders>
              <w:top w:val="single" w:sz="12" w:space="0" w:color="auto"/>
            </w:tcBorders>
            <w:vAlign w:val="center"/>
          </w:tcPr>
          <w:p w:rsidR="00851B9D" w:rsidRPr="000A5B5D" w:rsidRDefault="00851B9D" w:rsidP="00851B9D">
            <w:pPr>
              <w:jc w:val="center"/>
              <w:rPr>
                <w:rFonts w:ascii="Arial Narrow" w:hAnsi="Arial Narrow" w:cs="Arial"/>
                <w:kern w:val="0"/>
              </w:rPr>
            </w:pPr>
            <w:r w:rsidRPr="000A5B5D">
              <w:rPr>
                <w:rFonts w:ascii="Arial Narrow" w:hAnsi="Arial Narrow" w:cs="Arial" w:hint="eastAsia"/>
                <w:kern w:val="0"/>
              </w:rPr>
              <w:t>本年发生额</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b/>
              </w:rPr>
            </w:pPr>
            <w:r w:rsidRPr="000A5B5D">
              <w:rPr>
                <w:rFonts w:ascii="Arial Narrow" w:hAnsi="Arial Narrow" w:cs="Arial" w:hint="eastAsia"/>
                <w:kern w:val="0"/>
              </w:rPr>
              <w:t>利润总额</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214,423,281.95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按法定</w:t>
            </w:r>
            <w:r w:rsidRPr="000A5B5D">
              <w:rPr>
                <w:rFonts w:ascii="Arial Narrow" w:hAnsi="Arial Narrow" w:cs="Arial"/>
                <w:kern w:val="0"/>
              </w:rPr>
              <w:t>/</w:t>
            </w:r>
            <w:r w:rsidRPr="000A5B5D">
              <w:rPr>
                <w:rFonts w:ascii="Arial Narrow" w:hAnsi="Arial Narrow" w:cs="Arial" w:hint="eastAsia"/>
                <w:kern w:val="0"/>
              </w:rPr>
              <w:t>适用税率计算的所得税费用</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53,605,820.48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子公司适用不同税率的影响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-13,853,765.71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调整以前期间所得税的影响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-10,957,543.79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非应税收入的影响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-107,505,092.23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不可抵扣的成本、费用和损失的影响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431,975.53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使用前期未确认递延所得税资产的可抵扣亏损的影响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-2,457,552.65 </w:t>
            </w:r>
          </w:p>
        </w:tc>
      </w:tr>
      <w:tr w:rsidR="00851B9D" w:rsidRPr="000A5B5D" w:rsidTr="00851B9D">
        <w:trPr>
          <w:trHeight w:val="397"/>
        </w:trPr>
        <w:tc>
          <w:tcPr>
            <w:tcW w:w="6413" w:type="dxa"/>
            <w:vAlign w:val="center"/>
          </w:tcPr>
          <w:p w:rsidR="00851B9D" w:rsidRPr="000A5B5D" w:rsidRDefault="00851B9D" w:rsidP="00851B9D">
            <w:pPr>
              <w:ind w:right="6"/>
              <w:rPr>
                <w:rFonts w:ascii="Arial Narrow" w:hAnsi="Arial Narrow" w:cs="Arial"/>
                <w:kern w:val="0"/>
              </w:rPr>
            </w:pPr>
            <w:r w:rsidRPr="000A5B5D">
              <w:rPr>
                <w:rFonts w:ascii="Arial Narrow" w:hAnsi="Arial Narrow" w:cs="Arial" w:hint="eastAsia"/>
                <w:kern w:val="0"/>
              </w:rPr>
              <w:t>本期未确认递延所得税资产的可抵扣暂时性差异或可抵扣亏损的影响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69,460,826.62 </w:t>
            </w:r>
          </w:p>
        </w:tc>
      </w:tr>
      <w:tr w:rsidR="00851B9D" w:rsidRPr="000A5B5D" w:rsidTr="00851B9D">
        <w:trPr>
          <w:trHeight w:val="397"/>
        </w:trPr>
        <w:tc>
          <w:tcPr>
            <w:tcW w:w="6413"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税率调整导致期初递延所得税资产</w:t>
            </w:r>
            <w:r w:rsidRPr="000A5B5D">
              <w:rPr>
                <w:rFonts w:ascii="Arial Narrow" w:hAnsi="Arial Narrow" w:cs="Arial"/>
              </w:rPr>
              <w:t>/</w:t>
            </w:r>
            <w:r w:rsidRPr="000A5B5D">
              <w:rPr>
                <w:rFonts w:ascii="Arial Narrow" w:hAnsi="Arial Narrow" w:cs="Arial" w:hint="eastAsia"/>
              </w:rPr>
              <w:t>负债余额的变化</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0.00 </w:t>
            </w:r>
          </w:p>
        </w:tc>
      </w:tr>
      <w:tr w:rsidR="00851B9D" w:rsidRPr="000A5B5D" w:rsidTr="00851B9D">
        <w:trPr>
          <w:trHeight w:val="397"/>
        </w:trPr>
        <w:tc>
          <w:tcPr>
            <w:tcW w:w="6413"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递延所得税资产的减值（减记前期确认的递延所得税资产的影响）</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67,080,391.09  </w:t>
            </w:r>
          </w:p>
        </w:tc>
      </w:tr>
      <w:tr w:rsidR="00851B9D" w:rsidRPr="000A5B5D" w:rsidTr="00851B9D">
        <w:trPr>
          <w:trHeight w:val="397"/>
        </w:trPr>
        <w:tc>
          <w:tcPr>
            <w:tcW w:w="6413"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其他</w:t>
            </w:r>
          </w:p>
        </w:tc>
        <w:tc>
          <w:tcPr>
            <w:tcW w:w="280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-3,520,527.77</w:t>
            </w:r>
          </w:p>
        </w:tc>
      </w:tr>
      <w:tr w:rsidR="00851B9D" w:rsidRPr="000A5B5D" w:rsidTr="00851B9D">
        <w:trPr>
          <w:trHeight w:val="397"/>
        </w:trPr>
        <w:tc>
          <w:tcPr>
            <w:tcW w:w="6413"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所得税费用</w:t>
            </w:r>
          </w:p>
        </w:tc>
        <w:tc>
          <w:tcPr>
            <w:tcW w:w="2801"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52,284,531.57  </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其他综合收益</w:t>
      </w:r>
    </w:p>
    <w:p w:rsidR="00851B9D" w:rsidRPr="000A5B5D" w:rsidRDefault="00851B9D" w:rsidP="00851B9D">
      <w:pPr>
        <w:spacing w:line="400" w:lineRule="exact"/>
        <w:ind w:firstLineChars="200" w:firstLine="480"/>
        <w:rPr>
          <w:rFonts w:ascii="Arial" w:hAnsi="Arial" w:cs="Arial"/>
          <w:bCs/>
          <w:i/>
          <w:sz w:val="24"/>
        </w:rPr>
      </w:pPr>
      <w:r w:rsidRPr="000A5B5D">
        <w:rPr>
          <w:rFonts w:ascii="Arial" w:hAnsi="Arial" w:cs="Arial" w:hint="eastAsia"/>
          <w:sz w:val="24"/>
        </w:rPr>
        <w:t>详见附注六、</w:t>
      </w:r>
      <w:r w:rsidRPr="000A5B5D">
        <w:rPr>
          <w:rFonts w:ascii="Arial" w:hAnsi="Arial" w:cs="Arial"/>
          <w:sz w:val="24"/>
        </w:rPr>
        <w:t>38</w:t>
      </w:r>
      <w:r w:rsidRPr="000A5B5D">
        <w:rPr>
          <w:rFonts w:ascii="Arial" w:hAnsi="Arial" w:cs="Arial" w:hint="eastAsia"/>
          <w:sz w:val="24"/>
        </w:rPr>
        <w:t>。</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现金流量表项目</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）收到其他与经营活动有关的现金</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040"/>
        <w:gridCol w:w="1959"/>
        <w:gridCol w:w="2057"/>
      </w:tblGrid>
      <w:tr w:rsidR="00851B9D" w:rsidRPr="000A5B5D" w:rsidTr="00851B9D">
        <w:trPr>
          <w:trHeight w:val="397"/>
          <w:tblHeader/>
          <w:jc w:val="center"/>
        </w:trPr>
        <w:tc>
          <w:tcPr>
            <w:tcW w:w="504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5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往来款</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9,511,639,928.27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7,357,270,146.76</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保证金</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195,486,517.90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1,466,966.00</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政府补助</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21,353,679.00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22,970,339.98</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利息收入</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53,943,628.94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54,504,417.18</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押金</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1,845,979.68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1,175,574.00</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保险赔款</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2,608,536.09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646,964.00</w:t>
            </w:r>
          </w:p>
        </w:tc>
      </w:tr>
      <w:tr w:rsidR="00851B9D" w:rsidRPr="000A5B5D" w:rsidTr="00851B9D">
        <w:trPr>
          <w:trHeight w:val="397"/>
          <w:jc w:val="center"/>
        </w:trPr>
        <w:tc>
          <w:tcPr>
            <w:tcW w:w="504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其他</w:t>
            </w:r>
          </w:p>
        </w:tc>
        <w:tc>
          <w:tcPr>
            <w:tcW w:w="19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23,420,620.41 </w:t>
            </w:r>
          </w:p>
        </w:tc>
        <w:tc>
          <w:tcPr>
            <w:tcW w:w="205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t>16,111,040.92</w:t>
            </w:r>
          </w:p>
        </w:tc>
      </w:tr>
      <w:tr w:rsidR="00851B9D" w:rsidRPr="000A5B5D" w:rsidTr="00851B9D">
        <w:trPr>
          <w:trHeight w:val="397"/>
          <w:jc w:val="center"/>
        </w:trPr>
        <w:tc>
          <w:tcPr>
            <w:tcW w:w="5040"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959" w:type="dxa"/>
            <w:tcBorders>
              <w:bottom w:val="single" w:sz="12" w:space="0" w:color="auto"/>
            </w:tcBorders>
            <w:vAlign w:val="center"/>
          </w:tcPr>
          <w:p w:rsidR="00851B9D" w:rsidRPr="000A5B5D" w:rsidRDefault="00851B9D" w:rsidP="00851B9D">
            <w:pPr>
              <w:jc w:val="right"/>
              <w:rPr>
                <w:rFonts w:ascii="Arial Narrow" w:eastAsia="Arial Unicode MS" w:hAnsi="Arial Narrow" w:cs="Arial"/>
                <w:szCs w:val="21"/>
              </w:rPr>
            </w:pPr>
            <w:r w:rsidRPr="000A5B5D">
              <w:rPr>
                <w:rFonts w:ascii="Arial Narrow" w:eastAsia="Arial Unicode MS" w:hAnsi="Arial Narrow" w:cs="Arial"/>
                <w:szCs w:val="21"/>
              </w:rPr>
              <w:t>9,810,298,890.29</w:t>
            </w:r>
          </w:p>
        </w:tc>
        <w:tc>
          <w:tcPr>
            <w:tcW w:w="205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eastAsia="Arial Unicode MS" w:hAnsi="Arial Narrow" w:cs="Arial"/>
                <w:szCs w:val="21"/>
              </w:rPr>
              <w:fldChar w:fldCharType="begin"/>
            </w:r>
            <w:r w:rsidRPr="000A5B5D">
              <w:rPr>
                <w:rFonts w:ascii="Arial Narrow" w:eastAsia="Arial Unicode MS" w:hAnsi="Arial Narrow" w:cs="Arial"/>
                <w:szCs w:val="21"/>
              </w:rPr>
              <w:instrText xml:space="preserve"> =SUM(ABOVE) \# "#,##0.00" </w:instrText>
            </w:r>
            <w:r w:rsidRPr="000A5B5D">
              <w:rPr>
                <w:rFonts w:ascii="Arial Narrow" w:eastAsia="Arial Unicode MS" w:hAnsi="Arial Narrow" w:cs="Arial"/>
                <w:szCs w:val="21"/>
              </w:rPr>
              <w:fldChar w:fldCharType="separate"/>
            </w:r>
            <w:r w:rsidRPr="000A5B5D">
              <w:rPr>
                <w:rFonts w:ascii="Arial Narrow" w:eastAsia="Arial Unicode MS" w:hAnsi="Arial Narrow" w:cs="Arial"/>
                <w:szCs w:val="21"/>
              </w:rPr>
              <w:t>7,454,145,448.84</w:t>
            </w:r>
            <w:r w:rsidRPr="000A5B5D">
              <w:rPr>
                <w:rFonts w:ascii="Arial Narrow" w:eastAsia="Arial Unicode MS" w:hAnsi="Arial Narrow" w:cs="Arial"/>
                <w:szCs w:val="21"/>
              </w:rPr>
              <w:fldChar w:fldCharType="end"/>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）支付其他与经营活动有关的现金</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022"/>
        <w:gridCol w:w="1996"/>
        <w:gridCol w:w="2038"/>
      </w:tblGrid>
      <w:tr w:rsidR="00851B9D" w:rsidRPr="000A5B5D" w:rsidTr="00851B9D">
        <w:trPr>
          <w:trHeight w:val="397"/>
          <w:tblHeader/>
          <w:jc w:val="center"/>
        </w:trPr>
        <w:tc>
          <w:tcPr>
            <w:tcW w:w="5022" w:type="dxa"/>
            <w:tcBorders>
              <w:top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9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3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往来款</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9,432,079,312.48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7,274,691,276.55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运输费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262,238,334.26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264,312,103.49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进出口费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21,584,761.53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26,292,692.47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银行手续费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67,226,552.46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70,119,185.10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业务招待费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4,375,520.67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6,545,394.60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lastRenderedPageBreak/>
              <w:t>车辆费用</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5,275,021.74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5,293,303.93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环境保护费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5,195,190.31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5,327,337.77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保证金</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215,726,827.16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318,355,946.03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运输保险费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3,836,559.53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5,107,177.48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仓储费</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 xml:space="preserve">1,137,484.00 </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726,334.82 </w:t>
            </w:r>
          </w:p>
        </w:tc>
      </w:tr>
      <w:tr w:rsidR="00851B9D" w:rsidRPr="000A5B5D" w:rsidTr="00851B9D">
        <w:trPr>
          <w:trHeight w:val="397"/>
          <w:jc w:val="center"/>
        </w:trPr>
        <w:tc>
          <w:tcPr>
            <w:tcW w:w="5022"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其他</w:t>
            </w:r>
          </w:p>
        </w:tc>
        <w:tc>
          <w:tcPr>
            <w:tcW w:w="1996" w:type="dxa"/>
            <w:vAlign w:val="center"/>
          </w:tcPr>
          <w:p w:rsidR="00851B9D" w:rsidRPr="000A5B5D" w:rsidRDefault="00851B9D" w:rsidP="00851B9D">
            <w:pPr>
              <w:widowControl/>
              <w:jc w:val="right"/>
              <w:rPr>
                <w:rFonts w:ascii="Arial Narrow" w:eastAsia="Arial Unicode MS" w:hAnsi="Arial Narrow" w:cs="Arial"/>
                <w:szCs w:val="21"/>
              </w:rPr>
            </w:pPr>
            <w:r w:rsidRPr="000A5B5D">
              <w:rPr>
                <w:rFonts w:ascii="Arial Narrow" w:eastAsia="Arial Unicode MS" w:hAnsi="Arial Narrow" w:cs="Arial"/>
                <w:szCs w:val="21"/>
              </w:rPr>
              <w:t>66,428,144.09</w:t>
            </w:r>
          </w:p>
        </w:tc>
        <w:tc>
          <w:tcPr>
            <w:tcW w:w="2038" w:type="dxa"/>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t xml:space="preserve">52,114,054.09 </w:t>
            </w:r>
          </w:p>
        </w:tc>
      </w:tr>
      <w:tr w:rsidR="00851B9D" w:rsidRPr="000A5B5D" w:rsidTr="00851B9D">
        <w:trPr>
          <w:trHeight w:val="397"/>
          <w:jc w:val="center"/>
        </w:trPr>
        <w:tc>
          <w:tcPr>
            <w:tcW w:w="5022"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996" w:type="dxa"/>
            <w:tcBorders>
              <w:bottom w:val="single" w:sz="12" w:space="0" w:color="auto"/>
            </w:tcBorders>
            <w:vAlign w:val="center"/>
          </w:tcPr>
          <w:p w:rsidR="00851B9D" w:rsidRPr="000A5B5D" w:rsidRDefault="00851B9D" w:rsidP="00851B9D">
            <w:pPr>
              <w:jc w:val="right"/>
              <w:rPr>
                <w:rFonts w:ascii="Arial Narrow" w:eastAsia="Arial Unicode MS" w:hAnsi="Arial Narrow" w:cs="Arial"/>
                <w:szCs w:val="21"/>
              </w:rPr>
            </w:pPr>
            <w:r w:rsidRPr="000A5B5D">
              <w:rPr>
                <w:rFonts w:ascii="Arial Narrow" w:eastAsia="Arial Unicode MS" w:hAnsi="Arial Narrow" w:cs="Arial"/>
                <w:szCs w:val="21"/>
              </w:rPr>
              <w:t>10,085,103,708.23</w:t>
            </w:r>
          </w:p>
        </w:tc>
        <w:tc>
          <w:tcPr>
            <w:tcW w:w="2038" w:type="dxa"/>
            <w:tcBorders>
              <w:bottom w:val="single" w:sz="12" w:space="0" w:color="auto"/>
            </w:tcBorders>
            <w:vAlign w:val="center"/>
          </w:tcPr>
          <w:p w:rsidR="00851B9D" w:rsidRPr="000A5B5D" w:rsidRDefault="00851B9D" w:rsidP="00851B9D">
            <w:pPr>
              <w:widowControl/>
              <w:jc w:val="right"/>
              <w:rPr>
                <w:rFonts w:ascii="Arial Narrow" w:eastAsia="Arial Unicode MS" w:hAnsi="Arial Narrow" w:cs="Arial"/>
                <w:kern w:val="0"/>
                <w:szCs w:val="21"/>
              </w:rPr>
            </w:pPr>
            <w:r w:rsidRPr="000A5B5D">
              <w:rPr>
                <w:rFonts w:ascii="Arial Narrow" w:eastAsia="Arial Unicode MS" w:hAnsi="Arial Narrow" w:cs="Arial"/>
                <w:szCs w:val="21"/>
              </w:rPr>
              <w:fldChar w:fldCharType="begin"/>
            </w:r>
            <w:r w:rsidRPr="000A5B5D">
              <w:rPr>
                <w:rFonts w:ascii="Arial Narrow" w:eastAsia="Arial Unicode MS" w:hAnsi="Arial Narrow" w:cs="Arial"/>
                <w:szCs w:val="21"/>
              </w:rPr>
              <w:instrText xml:space="preserve"> =SUM(ABOVE) \# "#,##0.00" </w:instrText>
            </w:r>
            <w:r w:rsidRPr="000A5B5D">
              <w:rPr>
                <w:rFonts w:ascii="Arial Narrow" w:eastAsia="Arial Unicode MS" w:hAnsi="Arial Narrow" w:cs="Arial"/>
                <w:szCs w:val="21"/>
              </w:rPr>
              <w:fldChar w:fldCharType="separate"/>
            </w:r>
            <w:r w:rsidRPr="000A5B5D">
              <w:rPr>
                <w:rFonts w:ascii="Arial Narrow" w:eastAsia="Arial Unicode MS" w:hAnsi="Arial Narrow" w:cs="Arial"/>
                <w:szCs w:val="21"/>
              </w:rPr>
              <w:t>8,028,884,806.33</w:t>
            </w:r>
            <w:r w:rsidRPr="000A5B5D">
              <w:rPr>
                <w:rFonts w:ascii="Arial Narrow" w:eastAsia="Arial Unicode MS" w:hAnsi="Arial Narrow" w:cs="Arial"/>
                <w:szCs w:val="21"/>
              </w:rPr>
              <w:fldChar w:fldCharType="end"/>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）收到其他与投资活动有关的现金</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022"/>
        <w:gridCol w:w="1996"/>
        <w:gridCol w:w="2038"/>
      </w:tblGrid>
      <w:tr w:rsidR="00851B9D" w:rsidRPr="000A5B5D" w:rsidTr="00851B9D">
        <w:trPr>
          <w:trHeight w:val="397"/>
          <w:tblHeader/>
          <w:jc w:val="center"/>
        </w:trPr>
        <w:tc>
          <w:tcPr>
            <w:tcW w:w="502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9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3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022" w:type="dxa"/>
            <w:vAlign w:val="center"/>
          </w:tcPr>
          <w:p w:rsidR="00851B9D" w:rsidRPr="000A5B5D" w:rsidRDefault="00851B9D" w:rsidP="00851B9D">
            <w:pPr>
              <w:rPr>
                <w:rFonts w:ascii="Arial Narrow" w:hAnsi="Arial Narrow" w:cs="Arial"/>
              </w:rPr>
            </w:pPr>
            <w:r w:rsidRPr="000A5B5D">
              <w:rPr>
                <w:rFonts w:ascii="Arial Narrow" w:hAnsi="Arial Narrow" w:cs="Arial"/>
              </w:rPr>
              <w:t>PTA</w:t>
            </w:r>
            <w:r w:rsidRPr="000A5B5D">
              <w:rPr>
                <w:rFonts w:ascii="Arial Narrow" w:hAnsi="Arial Narrow" w:cs="Arial" w:hint="eastAsia"/>
              </w:rPr>
              <w:t>期货保证金收回</w:t>
            </w:r>
          </w:p>
        </w:tc>
        <w:tc>
          <w:tcPr>
            <w:tcW w:w="199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4,409,345.21 </w:t>
            </w:r>
          </w:p>
        </w:tc>
        <w:tc>
          <w:tcPr>
            <w:tcW w:w="203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jc w:val="center"/>
        </w:trPr>
        <w:tc>
          <w:tcPr>
            <w:tcW w:w="502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其他</w:t>
            </w:r>
          </w:p>
        </w:tc>
        <w:tc>
          <w:tcPr>
            <w:tcW w:w="199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6,200,760.00 </w:t>
            </w:r>
          </w:p>
        </w:tc>
        <w:tc>
          <w:tcPr>
            <w:tcW w:w="20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5022"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199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10,610,105.21</w:t>
            </w:r>
          </w:p>
        </w:tc>
        <w:tc>
          <w:tcPr>
            <w:tcW w:w="203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）支付其他与投资活动有关的现金</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022"/>
        <w:gridCol w:w="1996"/>
        <w:gridCol w:w="2038"/>
      </w:tblGrid>
      <w:tr w:rsidR="00851B9D" w:rsidRPr="000A5B5D" w:rsidTr="00851B9D">
        <w:trPr>
          <w:trHeight w:val="397"/>
          <w:tblHeader/>
          <w:jc w:val="center"/>
        </w:trPr>
        <w:tc>
          <w:tcPr>
            <w:tcW w:w="502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9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3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02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退集团投资款</w:t>
            </w:r>
          </w:p>
        </w:tc>
        <w:tc>
          <w:tcPr>
            <w:tcW w:w="199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p>
        </w:tc>
        <w:tc>
          <w:tcPr>
            <w:tcW w:w="2038"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241,500,000.00</w:t>
            </w:r>
          </w:p>
        </w:tc>
      </w:tr>
      <w:tr w:rsidR="00851B9D" w:rsidRPr="000A5B5D" w:rsidTr="00851B9D">
        <w:trPr>
          <w:trHeight w:val="397"/>
          <w:jc w:val="center"/>
        </w:trPr>
        <w:tc>
          <w:tcPr>
            <w:tcW w:w="5022"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其他</w:t>
            </w:r>
          </w:p>
        </w:tc>
        <w:tc>
          <w:tcPr>
            <w:tcW w:w="199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763,000.00</w:t>
            </w:r>
          </w:p>
        </w:tc>
        <w:tc>
          <w:tcPr>
            <w:tcW w:w="203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85,141,085.21</w:t>
            </w:r>
          </w:p>
        </w:tc>
      </w:tr>
      <w:tr w:rsidR="00851B9D" w:rsidRPr="000A5B5D" w:rsidTr="00851B9D">
        <w:trPr>
          <w:trHeight w:val="397"/>
          <w:jc w:val="center"/>
        </w:trPr>
        <w:tc>
          <w:tcPr>
            <w:tcW w:w="5022"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合</w:t>
            </w:r>
            <w:r w:rsidRPr="000A5B5D">
              <w:rPr>
                <w:rFonts w:ascii="Arial Narrow" w:hAnsi="Arial Narrow" w:cs="Arial"/>
              </w:rPr>
              <w:t xml:space="preserve">  </w:t>
            </w:r>
            <w:r w:rsidRPr="000A5B5D">
              <w:rPr>
                <w:rFonts w:ascii="Arial Narrow" w:hAnsi="Arial Narrow" w:cs="Arial" w:hint="eastAsia"/>
              </w:rPr>
              <w:t>计</w:t>
            </w:r>
          </w:p>
        </w:tc>
        <w:tc>
          <w:tcPr>
            <w:tcW w:w="199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763,000.00</w:t>
            </w:r>
          </w:p>
        </w:tc>
        <w:tc>
          <w:tcPr>
            <w:tcW w:w="203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fldChar w:fldCharType="begin"/>
            </w:r>
            <w:r w:rsidRPr="000A5B5D">
              <w:rPr>
                <w:rFonts w:ascii="Arial Narrow" w:hAnsi="Arial Narrow" w:cs="Arial"/>
                <w:szCs w:val="21"/>
              </w:rPr>
              <w:instrText xml:space="preserve"> =SUM(ABOVE) \# "#,##0.00" </w:instrText>
            </w:r>
            <w:r w:rsidRPr="000A5B5D">
              <w:rPr>
                <w:rFonts w:ascii="Arial Narrow" w:hAnsi="Arial Narrow" w:cs="Arial"/>
                <w:szCs w:val="21"/>
              </w:rPr>
              <w:fldChar w:fldCharType="separate"/>
            </w:r>
            <w:r w:rsidRPr="000A5B5D">
              <w:rPr>
                <w:rFonts w:ascii="Arial Narrow" w:hAnsi="Arial Narrow" w:cs="Arial"/>
                <w:szCs w:val="21"/>
              </w:rPr>
              <w:t>326,641,085.21</w:t>
            </w:r>
            <w:r w:rsidRPr="000A5B5D">
              <w:rPr>
                <w:rFonts w:ascii="Arial Narrow" w:hAnsi="Arial Narrow" w:cs="Arial"/>
                <w:szCs w:val="21"/>
              </w:rPr>
              <w:fldChar w:fldCharType="end"/>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）收到其他与筹资活动有关的现金</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110"/>
        <w:gridCol w:w="2031"/>
        <w:gridCol w:w="2073"/>
      </w:tblGrid>
      <w:tr w:rsidR="00851B9D" w:rsidRPr="000A5B5D" w:rsidTr="00851B9D">
        <w:trPr>
          <w:trHeight w:val="397"/>
          <w:tblHeader/>
          <w:jc w:val="center"/>
        </w:trPr>
        <w:tc>
          <w:tcPr>
            <w:tcW w:w="511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3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7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收回融资质押货币资金</w:t>
            </w:r>
          </w:p>
        </w:tc>
        <w:tc>
          <w:tcPr>
            <w:tcW w:w="203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413,753,713.05 </w:t>
            </w:r>
          </w:p>
        </w:tc>
        <w:tc>
          <w:tcPr>
            <w:tcW w:w="207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66,400,000.00 </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未审验少数股东投入资本</w:t>
            </w:r>
          </w:p>
        </w:tc>
        <w:tc>
          <w:tcPr>
            <w:tcW w:w="203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0.00 </w:t>
            </w:r>
          </w:p>
        </w:tc>
        <w:tc>
          <w:tcPr>
            <w:tcW w:w="207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73,743,600.00 </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收回开立信用证质押的定期存款</w:t>
            </w:r>
          </w:p>
        </w:tc>
        <w:tc>
          <w:tcPr>
            <w:tcW w:w="203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84,994,783.28 </w:t>
            </w:r>
          </w:p>
        </w:tc>
        <w:tc>
          <w:tcPr>
            <w:tcW w:w="207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 xml:space="preserve">46,672,105.54 </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与资产相关的政府补助</w:t>
            </w:r>
          </w:p>
        </w:tc>
        <w:tc>
          <w:tcPr>
            <w:tcW w:w="203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8,170,200.00</w:t>
            </w:r>
          </w:p>
        </w:tc>
        <w:tc>
          <w:tcPr>
            <w:tcW w:w="2073"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其他</w:t>
            </w:r>
          </w:p>
        </w:tc>
        <w:tc>
          <w:tcPr>
            <w:tcW w:w="2031"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0.00 </w:t>
            </w:r>
          </w:p>
        </w:tc>
        <w:tc>
          <w:tcPr>
            <w:tcW w:w="2073"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 xml:space="preserve">484.04 </w:t>
            </w:r>
          </w:p>
        </w:tc>
      </w:tr>
      <w:tr w:rsidR="00851B9D" w:rsidRPr="000A5B5D" w:rsidTr="00851B9D">
        <w:trPr>
          <w:trHeight w:val="397"/>
          <w:jc w:val="center"/>
        </w:trPr>
        <w:tc>
          <w:tcPr>
            <w:tcW w:w="5110" w:type="dxa"/>
            <w:tcBorders>
              <w:bottom w:val="single" w:sz="12" w:space="0" w:color="auto"/>
            </w:tcBorders>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合</w:t>
            </w:r>
            <w:r w:rsidRPr="000A5B5D">
              <w:rPr>
                <w:rFonts w:ascii="Arial Narrow" w:hAnsi="Arial Narrow" w:cs="Arial"/>
                <w:szCs w:val="21"/>
              </w:rPr>
              <w:t xml:space="preserve">   </w:t>
            </w:r>
            <w:r w:rsidRPr="000A5B5D">
              <w:rPr>
                <w:rFonts w:ascii="Arial Narrow" w:hAnsi="Arial Narrow" w:cs="Arial" w:hint="eastAsia"/>
                <w:szCs w:val="21"/>
              </w:rPr>
              <w:t>计</w:t>
            </w:r>
          </w:p>
        </w:tc>
        <w:tc>
          <w:tcPr>
            <w:tcW w:w="203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506,918,696.33</w:t>
            </w:r>
          </w:p>
        </w:tc>
        <w:tc>
          <w:tcPr>
            <w:tcW w:w="207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186,816,189.58</w:t>
            </w:r>
          </w:p>
        </w:tc>
      </w:tr>
    </w:tbl>
    <w:p w:rsidR="00851B9D" w:rsidRPr="000A5B5D" w:rsidRDefault="00851B9D" w:rsidP="00851B9D">
      <w:pPr>
        <w:tabs>
          <w:tab w:val="left" w:pos="882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6</w:t>
      </w:r>
      <w:r w:rsidRPr="000A5B5D">
        <w:rPr>
          <w:rFonts w:ascii="Arial" w:hAnsi="Arial" w:cs="Arial" w:hint="eastAsia"/>
          <w:sz w:val="24"/>
        </w:rPr>
        <w:t>）支付其他与筹资活动有关的现金</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110"/>
        <w:gridCol w:w="2031"/>
        <w:gridCol w:w="2073"/>
      </w:tblGrid>
      <w:tr w:rsidR="00851B9D" w:rsidRPr="000A5B5D" w:rsidTr="00851B9D">
        <w:trPr>
          <w:trHeight w:val="397"/>
          <w:tblHeader/>
          <w:jc w:val="center"/>
        </w:trPr>
        <w:tc>
          <w:tcPr>
            <w:tcW w:w="511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3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207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5110" w:type="dxa"/>
            <w:vAlign w:val="center"/>
          </w:tcPr>
          <w:p w:rsidR="00851B9D" w:rsidRPr="000A5B5D" w:rsidRDefault="00851B9D" w:rsidP="00851B9D">
            <w:pPr>
              <w:widowControl/>
              <w:outlineLvl w:val="0"/>
              <w:rPr>
                <w:rFonts w:ascii="Arial Narrow" w:hAnsi="Arial Narrow" w:cs="Arial"/>
                <w:kern w:val="0"/>
                <w:szCs w:val="21"/>
              </w:rPr>
            </w:pPr>
            <w:r w:rsidRPr="000A5B5D">
              <w:rPr>
                <w:rFonts w:ascii="Arial Narrow" w:hAnsi="Arial Narrow" w:cs="Arial" w:hint="eastAsia"/>
                <w:kern w:val="0"/>
                <w:szCs w:val="21"/>
              </w:rPr>
              <w:t>融资质押货币资金</w:t>
            </w:r>
          </w:p>
        </w:tc>
        <w:tc>
          <w:tcPr>
            <w:tcW w:w="2031" w:type="dxa"/>
            <w:vAlign w:val="center"/>
          </w:tcPr>
          <w:p w:rsidR="00851B9D" w:rsidRPr="000A5B5D" w:rsidRDefault="00851B9D" w:rsidP="00851B9D">
            <w:pPr>
              <w:widowControl/>
              <w:ind w:rightChars="3" w:right="5"/>
              <w:jc w:val="right"/>
              <w:outlineLvl w:val="0"/>
              <w:rPr>
                <w:rFonts w:ascii="Arial Narrow" w:hAnsi="Arial Narrow" w:cs="Arial"/>
                <w:kern w:val="0"/>
                <w:szCs w:val="21"/>
              </w:rPr>
            </w:pPr>
            <w:r w:rsidRPr="000A5B5D">
              <w:rPr>
                <w:rFonts w:ascii="Arial Narrow" w:hAnsi="Arial Narrow" w:cs="Arial"/>
                <w:kern w:val="0"/>
                <w:szCs w:val="21"/>
              </w:rPr>
              <w:t xml:space="preserve">374,815,681.30 </w:t>
            </w:r>
          </w:p>
        </w:tc>
        <w:tc>
          <w:tcPr>
            <w:tcW w:w="2073" w:type="dxa"/>
            <w:vAlign w:val="center"/>
          </w:tcPr>
          <w:p w:rsidR="00851B9D" w:rsidRPr="000A5B5D" w:rsidRDefault="00851B9D" w:rsidP="00851B9D">
            <w:pPr>
              <w:widowControl/>
              <w:ind w:rightChars="3" w:right="5"/>
              <w:jc w:val="right"/>
              <w:outlineLvl w:val="0"/>
              <w:rPr>
                <w:rFonts w:ascii="Arial Narrow" w:hAnsi="Arial Narrow" w:cs="Arial"/>
                <w:kern w:val="0"/>
                <w:szCs w:val="21"/>
              </w:rPr>
            </w:pPr>
            <w:r w:rsidRPr="000A5B5D">
              <w:rPr>
                <w:rFonts w:ascii="Arial Narrow" w:hAnsi="Arial Narrow" w:cs="Arial"/>
                <w:kern w:val="0"/>
                <w:szCs w:val="21"/>
              </w:rPr>
              <w:t>736,729,219.44</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开立信用证质押的定期存款</w:t>
            </w:r>
          </w:p>
        </w:tc>
        <w:tc>
          <w:tcPr>
            <w:tcW w:w="2031" w:type="dxa"/>
            <w:vAlign w:val="center"/>
          </w:tcPr>
          <w:p w:rsidR="00851B9D" w:rsidRPr="000A5B5D" w:rsidRDefault="00851B9D" w:rsidP="00851B9D">
            <w:pPr>
              <w:widowControl/>
              <w:ind w:rightChars="3" w:right="5"/>
              <w:jc w:val="right"/>
              <w:outlineLvl w:val="0"/>
              <w:rPr>
                <w:rFonts w:ascii="Arial Narrow" w:hAnsi="Arial Narrow" w:cs="Arial"/>
                <w:kern w:val="0"/>
                <w:szCs w:val="21"/>
              </w:rPr>
            </w:pPr>
            <w:r w:rsidRPr="000A5B5D">
              <w:rPr>
                <w:rFonts w:ascii="Arial Narrow" w:hAnsi="Arial Narrow" w:cs="Arial"/>
                <w:kern w:val="0"/>
                <w:szCs w:val="21"/>
              </w:rPr>
              <w:t xml:space="preserve">184,985,660.60 </w:t>
            </w:r>
          </w:p>
        </w:tc>
        <w:tc>
          <w:tcPr>
            <w:tcW w:w="207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59,395,056.04</w:t>
            </w:r>
          </w:p>
        </w:tc>
      </w:tr>
      <w:tr w:rsidR="00851B9D" w:rsidRPr="000A5B5D" w:rsidTr="00851B9D">
        <w:trPr>
          <w:trHeight w:val="397"/>
          <w:jc w:val="center"/>
        </w:trPr>
        <w:tc>
          <w:tcPr>
            <w:tcW w:w="5110" w:type="dxa"/>
            <w:vAlign w:val="center"/>
          </w:tcPr>
          <w:p w:rsidR="00851B9D" w:rsidRPr="000A5B5D" w:rsidRDefault="00851B9D" w:rsidP="00851B9D">
            <w:pPr>
              <w:rPr>
                <w:rFonts w:ascii="Arial Narrow" w:hAnsi="Arial Narrow" w:cs="Arial"/>
              </w:rPr>
            </w:pPr>
            <w:r w:rsidRPr="000A5B5D">
              <w:rPr>
                <w:rFonts w:ascii="Arial Narrow" w:hAnsi="Arial Narrow" w:cs="Arial" w:hint="eastAsia"/>
                <w:kern w:val="0"/>
                <w:szCs w:val="21"/>
              </w:rPr>
              <w:t>其他</w:t>
            </w:r>
          </w:p>
        </w:tc>
        <w:tc>
          <w:tcPr>
            <w:tcW w:w="2031" w:type="dxa"/>
            <w:vAlign w:val="center"/>
          </w:tcPr>
          <w:p w:rsidR="00851B9D" w:rsidRPr="000A5B5D" w:rsidRDefault="00851B9D" w:rsidP="00851B9D">
            <w:pPr>
              <w:widowControl/>
              <w:ind w:rightChars="3" w:right="5"/>
              <w:jc w:val="right"/>
              <w:outlineLvl w:val="0"/>
              <w:rPr>
                <w:rFonts w:ascii="Arial Narrow" w:hAnsi="Arial Narrow" w:cs="Arial"/>
                <w:kern w:val="0"/>
                <w:szCs w:val="21"/>
              </w:rPr>
            </w:pPr>
            <w:r w:rsidRPr="000A5B5D">
              <w:rPr>
                <w:rFonts w:ascii="Arial Narrow" w:hAnsi="Arial Narrow" w:cs="Arial"/>
                <w:kern w:val="0"/>
                <w:szCs w:val="21"/>
              </w:rPr>
              <w:t xml:space="preserve">177,505.61  </w:t>
            </w:r>
          </w:p>
        </w:tc>
        <w:tc>
          <w:tcPr>
            <w:tcW w:w="2073"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348,657.50</w:t>
            </w:r>
          </w:p>
        </w:tc>
      </w:tr>
      <w:tr w:rsidR="00851B9D" w:rsidRPr="000A5B5D" w:rsidTr="00851B9D">
        <w:trPr>
          <w:trHeight w:val="397"/>
          <w:jc w:val="center"/>
        </w:trPr>
        <w:tc>
          <w:tcPr>
            <w:tcW w:w="5110" w:type="dxa"/>
            <w:tcBorders>
              <w:bottom w:val="single" w:sz="12" w:space="0" w:color="auto"/>
            </w:tcBorders>
            <w:vAlign w:val="center"/>
          </w:tcPr>
          <w:p w:rsidR="00851B9D" w:rsidRPr="000A5B5D" w:rsidRDefault="00851B9D" w:rsidP="00851B9D">
            <w:pPr>
              <w:widowControl/>
              <w:outlineLvl w:val="0"/>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3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559,978,847.51</w:t>
            </w:r>
          </w:p>
        </w:tc>
        <w:tc>
          <w:tcPr>
            <w:tcW w:w="2073" w:type="dxa"/>
            <w:tcBorders>
              <w:bottom w:val="single" w:sz="12" w:space="0" w:color="auto"/>
            </w:tcBorders>
            <w:vAlign w:val="center"/>
          </w:tcPr>
          <w:p w:rsidR="00851B9D" w:rsidRPr="000A5B5D" w:rsidRDefault="00851B9D" w:rsidP="00851B9D">
            <w:pPr>
              <w:widowControl/>
              <w:ind w:rightChars="3" w:right="5"/>
              <w:jc w:val="right"/>
              <w:outlineLvl w:val="0"/>
              <w:rPr>
                <w:rFonts w:ascii="Arial Narrow" w:hAnsi="Arial Narrow" w:cs="Arial"/>
                <w:kern w:val="0"/>
                <w:szCs w:val="21"/>
              </w:rPr>
            </w:pPr>
            <w:r w:rsidRPr="000A5B5D">
              <w:rPr>
                <w:rFonts w:ascii="Arial Narrow" w:hAnsi="Arial Narrow" w:cs="Arial"/>
                <w:kern w:val="0"/>
                <w:szCs w:val="21"/>
              </w:rPr>
              <w:fldChar w:fldCharType="begin"/>
            </w:r>
            <w:r w:rsidRPr="000A5B5D">
              <w:rPr>
                <w:rFonts w:ascii="Arial Narrow" w:hAnsi="Arial Narrow" w:cs="Arial"/>
                <w:kern w:val="0"/>
                <w:szCs w:val="21"/>
              </w:rPr>
              <w:instrText xml:space="preserve"> =SUM(ABOVE) </w:instrText>
            </w:r>
            <w:r w:rsidRPr="000A5B5D">
              <w:rPr>
                <w:rFonts w:ascii="Arial Narrow" w:hAnsi="Arial Narrow" w:cs="Arial"/>
                <w:kern w:val="0"/>
                <w:szCs w:val="21"/>
              </w:rPr>
              <w:fldChar w:fldCharType="separate"/>
            </w:r>
            <w:r w:rsidRPr="000A5B5D">
              <w:rPr>
                <w:rFonts w:ascii="Arial Narrow" w:hAnsi="Arial Narrow" w:cs="Arial"/>
                <w:kern w:val="0"/>
                <w:szCs w:val="21"/>
              </w:rPr>
              <w:t>796,472,932.98</w:t>
            </w:r>
            <w:r w:rsidRPr="000A5B5D">
              <w:rPr>
                <w:rFonts w:ascii="Arial Narrow" w:hAnsi="Arial Narrow" w:cs="Arial"/>
                <w:kern w:val="0"/>
                <w:szCs w:val="21"/>
              </w:rPr>
              <w:fldChar w:fldCharType="end"/>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lastRenderedPageBreak/>
        <w:t>现金流量表补充资料</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）现金流量表补充资料</w:t>
      </w:r>
    </w:p>
    <w:tbl>
      <w:tblPr>
        <w:tblW w:w="9180"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5120"/>
        <w:gridCol w:w="2001"/>
        <w:gridCol w:w="2059"/>
      </w:tblGrid>
      <w:tr w:rsidR="00851B9D" w:rsidRPr="000A5B5D" w:rsidTr="00851B9D">
        <w:trPr>
          <w:trHeight w:val="369"/>
          <w:tblHeader/>
        </w:trPr>
        <w:tc>
          <w:tcPr>
            <w:tcW w:w="5120"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补充资料</w:t>
            </w:r>
          </w:p>
        </w:tc>
        <w:tc>
          <w:tcPr>
            <w:tcW w:w="2001"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本年金额</w:t>
            </w:r>
          </w:p>
        </w:tc>
        <w:tc>
          <w:tcPr>
            <w:tcW w:w="2059"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上年金额</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b/>
              </w:rPr>
            </w:pPr>
            <w:r w:rsidRPr="000A5B5D">
              <w:rPr>
                <w:rFonts w:ascii="Arial Narrow" w:hAnsi="Arial Narrow" w:cs="Arial"/>
                <w:b/>
              </w:rPr>
              <w:t>1</w:t>
            </w:r>
            <w:r w:rsidRPr="000A5B5D">
              <w:rPr>
                <w:rFonts w:ascii="Arial Narrow" w:hAnsi="Arial Narrow" w:cs="Arial" w:hint="eastAsia"/>
                <w:b/>
              </w:rPr>
              <w:t>、将净利润调节为经营活动现金流量：</w:t>
            </w:r>
          </w:p>
        </w:tc>
        <w:tc>
          <w:tcPr>
            <w:tcW w:w="2001" w:type="dxa"/>
            <w:vAlign w:val="center"/>
          </w:tcPr>
          <w:p w:rsidR="00851B9D" w:rsidRPr="000A5B5D" w:rsidRDefault="00851B9D" w:rsidP="00851B9D">
            <w:pPr>
              <w:jc w:val="right"/>
              <w:rPr>
                <w:rFonts w:ascii="Arial Narrow" w:hAnsi="Arial Narrow" w:cs="Arial"/>
              </w:rPr>
            </w:pPr>
          </w:p>
        </w:tc>
        <w:tc>
          <w:tcPr>
            <w:tcW w:w="2059" w:type="dxa"/>
            <w:vAlign w:val="center"/>
          </w:tcPr>
          <w:p w:rsidR="00851B9D" w:rsidRPr="000A5B5D" w:rsidRDefault="00851B9D" w:rsidP="00851B9D">
            <w:pPr>
              <w:jc w:val="right"/>
              <w:rPr>
                <w:rFonts w:ascii="Arial Narrow" w:hAnsi="Arial Narrow" w:cs="Arial"/>
                <w:b/>
              </w:rPr>
            </w:pP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净利润</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162,138,750.38</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-396,459,484.19</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加：资产减值准备</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29,942,487.11</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28,263,289.94</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固定资产折旧、油气资产折耗、生产性生物资产折旧</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942,028,687.89</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844,480,422.23</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无形资产摊销</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32,439,289.50</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42,984,502.45</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长期待摊费用摊销</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1,830,918.21</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1,393,785.31</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处置固定资产、无形资产和其他长期资产的损失（收益以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2,086,167.12</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17,599,992.38</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固定资产报废损失（收益以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0.00</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0.00</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公允价值变动损失（收益以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-105,220,782.71</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30,533,444.65</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财务费用（收益以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709,578,883.41</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403,856,194.22</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投资损失（收益以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-502,605,854.74</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379,221,978.64</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递延所得税资产减少（增加以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43,076,408.33</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-68,040,487.01</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递延所得税负债增加（减少以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14,164,850.88</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0.00</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存货的减少（增加以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-95,217,271.77</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186,368,157.36</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经营性应收项目的减少（增加以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2,448,191,059.08</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-959,597,375.45</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经营性应付项目的增加（减少以</w:t>
            </w:r>
            <w:r w:rsidRPr="000A5B5D">
              <w:rPr>
                <w:rFonts w:ascii="Arial Narrow" w:hAnsi="Arial Narrow" w:cs="Arial"/>
              </w:rPr>
              <w:t>“</w:t>
            </w:r>
            <w:r w:rsidRPr="000A5B5D">
              <w:rPr>
                <w:rFonts w:ascii="Arial Narrow" w:hAnsi="Arial Narrow" w:cs="Arial" w:hint="eastAsia"/>
              </w:rPr>
              <w:t>－</w:t>
            </w:r>
            <w:r w:rsidRPr="000A5B5D">
              <w:rPr>
                <w:rFonts w:ascii="Arial Narrow" w:hAnsi="Arial Narrow" w:cs="Arial"/>
              </w:rPr>
              <w:t>”</w:t>
            </w:r>
            <w:r w:rsidRPr="000A5B5D">
              <w:rPr>
                <w:rFonts w:ascii="Arial Narrow" w:hAnsi="Arial Narrow" w:cs="Arial" w:hint="eastAsia"/>
              </w:rPr>
              <w:t>号填列）</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-3,241,949,526.04</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1,382,680,564.20 </w:t>
            </w:r>
          </w:p>
        </w:tc>
      </w:tr>
      <w:tr w:rsidR="00851B9D" w:rsidRPr="000A5B5D" w:rsidTr="00851B9D">
        <w:trPr>
          <w:trHeight w:val="369"/>
        </w:trPr>
        <w:tc>
          <w:tcPr>
            <w:tcW w:w="5120" w:type="dxa"/>
            <w:vAlign w:val="center"/>
          </w:tcPr>
          <w:p w:rsidR="00851B9D" w:rsidRPr="000A5B5D" w:rsidRDefault="00851B9D" w:rsidP="00851B9D">
            <w:pPr>
              <w:ind w:firstLineChars="200" w:firstLine="360"/>
              <w:rPr>
                <w:rFonts w:ascii="Arial Narrow" w:hAnsi="Arial Narrow" w:cs="Arial"/>
              </w:rPr>
            </w:pPr>
            <w:r w:rsidRPr="000A5B5D">
              <w:rPr>
                <w:rFonts w:ascii="Arial Narrow" w:hAnsi="Arial Narrow" w:cs="Arial" w:hint="eastAsia"/>
              </w:rPr>
              <w:t>其他</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-30,296,641.88</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-12,491,012.93</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经营活动产生的现金流量净额</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fldChar w:fldCharType="begin"/>
            </w:r>
            <w:r w:rsidRPr="000A5B5D">
              <w:rPr>
                <w:rFonts w:ascii="Arial Narrow" w:hAnsi="Arial Narrow" w:cs="Arial"/>
                <w:szCs w:val="21"/>
              </w:rPr>
              <w:instrText xml:space="preserve"> =SUM(ABOVE) \# "#,##0.00" </w:instrText>
            </w:r>
            <w:r w:rsidRPr="000A5B5D">
              <w:rPr>
                <w:rFonts w:ascii="Arial Narrow" w:hAnsi="Arial Narrow" w:cs="Arial"/>
                <w:szCs w:val="21"/>
              </w:rPr>
              <w:fldChar w:fldCharType="separate"/>
            </w:r>
            <w:r w:rsidRPr="000A5B5D">
              <w:rPr>
                <w:rFonts w:ascii="Arial Narrow" w:hAnsi="Arial Narrow" w:cs="Arial"/>
                <w:noProof/>
                <w:szCs w:val="21"/>
              </w:rPr>
              <w:t>410,187,424.77</w:t>
            </w:r>
            <w:r w:rsidRPr="000A5B5D">
              <w:rPr>
                <w:rFonts w:ascii="Arial Narrow" w:hAnsi="Arial Narrow" w:cs="Arial"/>
                <w:szCs w:val="21"/>
              </w:rPr>
              <w:fldChar w:fldCharType="end"/>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1,880,793,971.80</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b/>
              </w:rPr>
            </w:pPr>
            <w:r w:rsidRPr="000A5B5D">
              <w:rPr>
                <w:rFonts w:ascii="Arial Narrow" w:hAnsi="Arial Narrow" w:cs="Arial"/>
                <w:b/>
              </w:rPr>
              <w:t>2</w:t>
            </w:r>
            <w:r w:rsidRPr="000A5B5D">
              <w:rPr>
                <w:rFonts w:ascii="Arial Narrow" w:hAnsi="Arial Narrow" w:cs="Arial" w:hint="eastAsia"/>
                <w:b/>
              </w:rPr>
              <w:t>、不涉及现金收支的重大投资和筹资活动：</w:t>
            </w:r>
          </w:p>
        </w:tc>
        <w:tc>
          <w:tcPr>
            <w:tcW w:w="2001" w:type="dxa"/>
            <w:vAlign w:val="center"/>
          </w:tcPr>
          <w:p w:rsidR="00851B9D" w:rsidRPr="000A5B5D" w:rsidRDefault="00851B9D" w:rsidP="00851B9D">
            <w:pPr>
              <w:widowControl/>
              <w:jc w:val="right"/>
              <w:outlineLvl w:val="0"/>
              <w:rPr>
                <w:rFonts w:ascii="Arial Narrow" w:hAnsi="Arial Narrow" w:cs="Arial"/>
                <w:szCs w:val="21"/>
              </w:rPr>
            </w:pPr>
          </w:p>
        </w:tc>
        <w:tc>
          <w:tcPr>
            <w:tcW w:w="2059"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债务转为资本</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0.00</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一年内到期的可转换公司债券</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0.00</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融资租入固定资产</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0.00</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b/>
              </w:rPr>
            </w:pPr>
            <w:r w:rsidRPr="000A5B5D">
              <w:rPr>
                <w:rFonts w:ascii="Arial Narrow" w:hAnsi="Arial Narrow" w:cs="Arial"/>
                <w:b/>
              </w:rPr>
              <w:t>3</w:t>
            </w:r>
            <w:r w:rsidRPr="000A5B5D">
              <w:rPr>
                <w:rFonts w:ascii="Arial Narrow" w:hAnsi="Arial Narrow" w:cs="Arial" w:hint="eastAsia"/>
                <w:b/>
              </w:rPr>
              <w:t>、现金及现金等价物净变动情况：</w:t>
            </w:r>
          </w:p>
        </w:tc>
        <w:tc>
          <w:tcPr>
            <w:tcW w:w="2001" w:type="dxa"/>
            <w:vAlign w:val="center"/>
          </w:tcPr>
          <w:p w:rsidR="00851B9D" w:rsidRPr="000A5B5D" w:rsidRDefault="00851B9D" w:rsidP="00851B9D">
            <w:pPr>
              <w:jc w:val="right"/>
              <w:rPr>
                <w:rFonts w:ascii="Arial Narrow" w:hAnsi="Arial Narrow" w:cs="Arial"/>
                <w:szCs w:val="21"/>
              </w:rPr>
            </w:pPr>
          </w:p>
        </w:tc>
        <w:tc>
          <w:tcPr>
            <w:tcW w:w="2059"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现金的期末余额</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1,299,673,809.39 </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1,872,489,484.42 </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减：现金的期初余额</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1,872,489,484.42 </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1,215,843,905.59 </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加：现金等价物的期末余额</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0.00 </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69"/>
        </w:trPr>
        <w:tc>
          <w:tcPr>
            <w:tcW w:w="5120"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减：现金等价物的期初余额</w:t>
            </w:r>
          </w:p>
        </w:tc>
        <w:tc>
          <w:tcPr>
            <w:tcW w:w="2001" w:type="dxa"/>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0.00 </w:t>
            </w:r>
          </w:p>
        </w:tc>
        <w:tc>
          <w:tcPr>
            <w:tcW w:w="2059"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69"/>
        </w:trPr>
        <w:tc>
          <w:tcPr>
            <w:tcW w:w="5120"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现金及现金等价物净增加额</w:t>
            </w:r>
          </w:p>
        </w:tc>
        <w:tc>
          <w:tcPr>
            <w:tcW w:w="2001" w:type="dxa"/>
            <w:tcBorders>
              <w:bottom w:val="single" w:sz="12" w:space="0" w:color="auto"/>
            </w:tcBorders>
            <w:vAlign w:val="center"/>
          </w:tcPr>
          <w:p w:rsidR="00851B9D" w:rsidRPr="000A5B5D" w:rsidRDefault="00851B9D" w:rsidP="00851B9D">
            <w:pPr>
              <w:widowControl/>
              <w:jc w:val="right"/>
              <w:outlineLvl w:val="0"/>
              <w:rPr>
                <w:rFonts w:ascii="Arial Narrow" w:hAnsi="Arial Narrow" w:cs="Arial"/>
                <w:szCs w:val="21"/>
              </w:rPr>
            </w:pPr>
            <w:r w:rsidRPr="000A5B5D">
              <w:rPr>
                <w:rFonts w:ascii="Arial Narrow" w:hAnsi="Arial Narrow" w:cs="Arial"/>
                <w:szCs w:val="21"/>
              </w:rPr>
              <w:t xml:space="preserve">-572,815,675.03 </w:t>
            </w:r>
          </w:p>
        </w:tc>
        <w:tc>
          <w:tcPr>
            <w:tcW w:w="2059" w:type="dxa"/>
            <w:tcBorders>
              <w:bottom w:val="single" w:sz="12" w:space="0" w:color="auto"/>
            </w:tcBorders>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656,645,578.83</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）本年支付的取得子公司的现金净额</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7106"/>
        <w:gridCol w:w="2108"/>
      </w:tblGrid>
      <w:tr w:rsidR="00851B9D" w:rsidRPr="000A5B5D" w:rsidTr="00851B9D">
        <w:trPr>
          <w:trHeight w:val="397"/>
          <w:tblHeader/>
          <w:jc w:val="center"/>
        </w:trPr>
        <w:tc>
          <w:tcPr>
            <w:tcW w:w="710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lastRenderedPageBreak/>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10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本年发生的企业合并于本期支付的现金或现金等价物</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1,376,312.71 </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其中：恒逸</w:t>
            </w:r>
            <w:r w:rsidRPr="000A5B5D">
              <w:rPr>
                <w:rFonts w:ascii="Arial Narrow" w:hAnsi="Arial Narrow" w:cs="Arial"/>
                <w:kern w:val="0"/>
                <w:szCs w:val="21"/>
              </w:rPr>
              <w:t>JAPAN</w:t>
            </w:r>
            <w:r w:rsidRPr="000A5B5D">
              <w:rPr>
                <w:rFonts w:ascii="Arial Narrow" w:hAnsi="Arial Narrow" w:cs="Arial" w:hint="eastAsia"/>
                <w:kern w:val="0"/>
                <w:szCs w:val="21"/>
              </w:rPr>
              <w:t>株式会社</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1,376,312.71 </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减：购买日子公司持有的现金及现金等价物</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1,622,384.33 </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其中：恒逸</w:t>
            </w:r>
            <w:r w:rsidRPr="000A5B5D">
              <w:rPr>
                <w:rFonts w:ascii="Arial Narrow" w:hAnsi="Arial Narrow" w:cs="Arial"/>
                <w:kern w:val="0"/>
                <w:szCs w:val="21"/>
              </w:rPr>
              <w:t>JAPAN</w:t>
            </w:r>
            <w:r w:rsidRPr="000A5B5D">
              <w:rPr>
                <w:rFonts w:ascii="Arial Narrow" w:hAnsi="Arial Narrow" w:cs="Arial" w:hint="eastAsia"/>
                <w:kern w:val="0"/>
                <w:szCs w:val="21"/>
              </w:rPr>
              <w:t>株式会社</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1,622,384.33 </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加：以前期间发生的企业合并于本年支付的现金或现金等价物</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71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其中：恒逸</w:t>
            </w:r>
            <w:r w:rsidRPr="000A5B5D">
              <w:rPr>
                <w:rFonts w:ascii="Arial Narrow" w:hAnsi="Arial Narrow" w:cs="Arial"/>
                <w:kern w:val="0"/>
                <w:szCs w:val="21"/>
              </w:rPr>
              <w:t>JAPAN</w:t>
            </w:r>
            <w:r w:rsidRPr="000A5B5D">
              <w:rPr>
                <w:rFonts w:ascii="Arial Narrow" w:hAnsi="Arial Narrow" w:cs="Arial" w:hint="eastAsia"/>
                <w:kern w:val="0"/>
                <w:szCs w:val="21"/>
              </w:rPr>
              <w:t>株式会社</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710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取得子公司支付的现金净额</w:t>
            </w:r>
          </w:p>
        </w:tc>
        <w:tc>
          <w:tcPr>
            <w:tcW w:w="210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-246,071.62</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）现金及现金等价物的构成</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119"/>
        <w:gridCol w:w="1987"/>
        <w:gridCol w:w="2108"/>
      </w:tblGrid>
      <w:tr w:rsidR="00851B9D" w:rsidRPr="000A5B5D" w:rsidTr="00851B9D">
        <w:trPr>
          <w:trHeight w:val="397"/>
          <w:tblHeader/>
          <w:jc w:val="center"/>
        </w:trPr>
        <w:tc>
          <w:tcPr>
            <w:tcW w:w="511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198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10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b/>
                <w:bCs/>
                <w:kern w:val="0"/>
                <w:szCs w:val="21"/>
              </w:rPr>
            </w:pPr>
            <w:r w:rsidRPr="000A5B5D">
              <w:rPr>
                <w:rFonts w:ascii="Arial Narrow" w:hAnsi="Arial Narrow" w:cs="Arial" w:hint="eastAsia"/>
                <w:bCs/>
                <w:kern w:val="0"/>
                <w:szCs w:val="21"/>
              </w:rPr>
              <w:t>一、现金</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1,299,673,809.39 </w:t>
            </w:r>
          </w:p>
        </w:tc>
        <w:tc>
          <w:tcPr>
            <w:tcW w:w="210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1,872,489,484.42 </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其中：库存现金</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460,439.85 </w:t>
            </w:r>
          </w:p>
        </w:tc>
        <w:tc>
          <w:tcPr>
            <w:tcW w:w="210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441,228.92  </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可随时用于支付的银行存款</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1,299,213,369.54 </w:t>
            </w:r>
          </w:p>
        </w:tc>
        <w:tc>
          <w:tcPr>
            <w:tcW w:w="210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1,872,048,255.50  </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可随时用于支付的其他货币资金</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0.00 </w:t>
            </w:r>
          </w:p>
        </w:tc>
        <w:tc>
          <w:tcPr>
            <w:tcW w:w="2108" w:type="dxa"/>
            <w:vAlign w:val="center"/>
          </w:tcPr>
          <w:p w:rsidR="00851B9D" w:rsidRPr="000A5B5D" w:rsidRDefault="00851B9D" w:rsidP="00851B9D">
            <w:pPr>
              <w:widowControl/>
              <w:jc w:val="right"/>
              <w:outlineLvl w:val="0"/>
              <w:rPr>
                <w:rFonts w:ascii="Arial Narrow" w:hAnsi="Arial Narrow" w:cs="Arial"/>
                <w:kern w:val="0"/>
                <w:szCs w:val="21"/>
              </w:rPr>
            </w:pPr>
            <w:r w:rsidRPr="000A5B5D">
              <w:rPr>
                <w:rFonts w:ascii="Arial Narrow" w:hAnsi="Arial Narrow" w:cs="Arial"/>
                <w:szCs w:val="21"/>
              </w:rPr>
              <w:t xml:space="preserve">0.00 </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可用于支付的存放中央银行款项</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0.00 </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存放同业款项</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0.00 </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拆放同业款项</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0.00 </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b/>
                <w:bCs/>
                <w:kern w:val="0"/>
                <w:szCs w:val="21"/>
              </w:rPr>
            </w:pPr>
            <w:r w:rsidRPr="000A5B5D">
              <w:rPr>
                <w:rFonts w:ascii="Arial Narrow" w:hAnsi="Arial Narrow" w:cs="Arial" w:hint="eastAsia"/>
                <w:bCs/>
                <w:kern w:val="0"/>
                <w:szCs w:val="21"/>
              </w:rPr>
              <w:t>二、现金等价物</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0.00 </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 xml:space="preserve">     </w:t>
            </w:r>
            <w:r w:rsidRPr="000A5B5D">
              <w:rPr>
                <w:rFonts w:ascii="Arial Narrow" w:hAnsi="Arial Narrow" w:cs="Arial" w:hint="eastAsia"/>
                <w:kern w:val="0"/>
                <w:szCs w:val="21"/>
              </w:rPr>
              <w:t>其中：三个月内到期的债券投资</w:t>
            </w:r>
          </w:p>
        </w:tc>
        <w:tc>
          <w:tcPr>
            <w:tcW w:w="1987" w:type="dxa"/>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0.00</w:t>
            </w:r>
          </w:p>
        </w:tc>
        <w:tc>
          <w:tcPr>
            <w:tcW w:w="2108"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r w:rsidR="00851B9D" w:rsidRPr="000A5B5D" w:rsidTr="00851B9D">
        <w:trPr>
          <w:trHeight w:val="397"/>
          <w:jc w:val="center"/>
        </w:trPr>
        <w:tc>
          <w:tcPr>
            <w:tcW w:w="5119" w:type="dxa"/>
            <w:vAlign w:val="center"/>
          </w:tcPr>
          <w:p w:rsidR="00851B9D" w:rsidRPr="000A5B5D" w:rsidRDefault="00851B9D" w:rsidP="00851B9D">
            <w:pPr>
              <w:widowControl/>
              <w:rPr>
                <w:rFonts w:ascii="Arial Narrow" w:hAnsi="Arial Narrow" w:cs="Arial"/>
                <w:b/>
                <w:bCs/>
                <w:kern w:val="0"/>
                <w:szCs w:val="21"/>
              </w:rPr>
            </w:pPr>
            <w:r w:rsidRPr="000A5B5D">
              <w:rPr>
                <w:rFonts w:ascii="Arial Narrow" w:hAnsi="Arial Narrow" w:cs="Arial" w:hint="eastAsia"/>
                <w:bCs/>
                <w:kern w:val="0"/>
                <w:szCs w:val="21"/>
              </w:rPr>
              <w:t>三</w:t>
            </w:r>
            <w:r w:rsidRPr="000A5B5D">
              <w:rPr>
                <w:rFonts w:ascii="Arial Narrow" w:hAnsi="Arial Narrow" w:cs="Arial" w:hint="eastAsia"/>
                <w:b/>
                <w:bCs/>
                <w:kern w:val="0"/>
                <w:szCs w:val="21"/>
              </w:rPr>
              <w:t>、</w:t>
            </w:r>
            <w:r w:rsidRPr="000A5B5D">
              <w:rPr>
                <w:rFonts w:ascii="Arial Narrow" w:hAnsi="Arial Narrow" w:cs="Arial" w:hint="eastAsia"/>
                <w:bCs/>
                <w:kern w:val="0"/>
                <w:szCs w:val="21"/>
              </w:rPr>
              <w:t>年末现金及现金等价物余额</w:t>
            </w:r>
          </w:p>
        </w:tc>
        <w:tc>
          <w:tcPr>
            <w:tcW w:w="198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1,299,673,809.39</w:t>
            </w:r>
          </w:p>
        </w:tc>
        <w:tc>
          <w:tcPr>
            <w:tcW w:w="210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1,872,489,484.42</w:t>
            </w:r>
          </w:p>
        </w:tc>
      </w:tr>
      <w:tr w:rsidR="00851B9D" w:rsidRPr="000A5B5D" w:rsidTr="00851B9D">
        <w:trPr>
          <w:trHeight w:val="397"/>
          <w:jc w:val="center"/>
        </w:trPr>
        <w:tc>
          <w:tcPr>
            <w:tcW w:w="5119" w:type="dxa"/>
            <w:tcBorders>
              <w:bottom w:val="single" w:sz="12" w:space="0" w:color="auto"/>
            </w:tcBorders>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b/>
                <w:bCs/>
                <w:kern w:val="0"/>
                <w:szCs w:val="21"/>
              </w:rPr>
              <w:t xml:space="preserve">   </w:t>
            </w:r>
            <w:r w:rsidRPr="000A5B5D">
              <w:rPr>
                <w:rFonts w:ascii="Arial Narrow" w:hAnsi="Arial Narrow" w:cs="Arial"/>
                <w:bCs/>
                <w:kern w:val="0"/>
                <w:szCs w:val="21"/>
              </w:rPr>
              <w:t xml:space="preserve">  </w:t>
            </w:r>
            <w:r w:rsidRPr="000A5B5D">
              <w:rPr>
                <w:rFonts w:ascii="Arial Narrow" w:hAnsi="Arial Narrow" w:cs="Arial" w:hint="eastAsia"/>
                <w:bCs/>
                <w:kern w:val="0"/>
                <w:szCs w:val="21"/>
              </w:rPr>
              <w:t>其中：母公司或集团内子公司使用受限制的现金和现金等价物</w:t>
            </w:r>
          </w:p>
        </w:tc>
        <w:tc>
          <w:tcPr>
            <w:tcW w:w="1987"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c>
          <w:tcPr>
            <w:tcW w:w="210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sz w:val="24"/>
        </w:rPr>
      </w:pPr>
      <w:r w:rsidRPr="000A5B5D">
        <w:rPr>
          <w:rFonts w:ascii="Arial" w:hAnsi="Arial" w:cs="Arial" w:hint="eastAsia"/>
          <w:b/>
          <w:sz w:val="24"/>
        </w:rPr>
        <w:t>所有权或使用权受限制的资产</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5105"/>
        <w:gridCol w:w="2015"/>
        <w:gridCol w:w="2094"/>
      </w:tblGrid>
      <w:tr w:rsidR="00851B9D" w:rsidRPr="000A5B5D" w:rsidTr="00851B9D">
        <w:trPr>
          <w:trHeight w:val="397"/>
          <w:tblHeader/>
          <w:jc w:val="center"/>
        </w:trPr>
        <w:tc>
          <w:tcPr>
            <w:tcW w:w="510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01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rPr>
              <w:t>年末账面价值</w:t>
            </w:r>
          </w:p>
        </w:tc>
        <w:tc>
          <w:tcPr>
            <w:tcW w:w="20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受限原因</w:t>
            </w:r>
          </w:p>
        </w:tc>
      </w:tr>
      <w:tr w:rsidR="00851B9D" w:rsidRPr="000A5B5D" w:rsidTr="00851B9D">
        <w:trPr>
          <w:trHeight w:val="397"/>
          <w:jc w:val="center"/>
        </w:trPr>
        <w:tc>
          <w:tcPr>
            <w:tcW w:w="51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货币资金</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1,318,650,369.98 </w:t>
            </w:r>
          </w:p>
        </w:tc>
        <w:tc>
          <w:tcPr>
            <w:tcW w:w="20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保证金</w:t>
            </w:r>
          </w:p>
        </w:tc>
      </w:tr>
      <w:tr w:rsidR="00851B9D" w:rsidRPr="000A5B5D" w:rsidTr="00851B9D">
        <w:trPr>
          <w:trHeight w:val="397"/>
          <w:jc w:val="center"/>
        </w:trPr>
        <w:tc>
          <w:tcPr>
            <w:tcW w:w="51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应收票据</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473,986,454.14  </w:t>
            </w:r>
          </w:p>
        </w:tc>
        <w:tc>
          <w:tcPr>
            <w:tcW w:w="20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质押开立承兑汇票</w:t>
            </w:r>
          </w:p>
        </w:tc>
      </w:tr>
      <w:tr w:rsidR="00851B9D" w:rsidRPr="000A5B5D" w:rsidTr="00851B9D">
        <w:trPr>
          <w:trHeight w:val="397"/>
          <w:jc w:val="center"/>
        </w:trPr>
        <w:tc>
          <w:tcPr>
            <w:tcW w:w="51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应收票据</w:t>
            </w:r>
          </w:p>
        </w:tc>
        <w:tc>
          <w:tcPr>
            <w:tcW w:w="2015"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61,450,000.00</w:t>
            </w:r>
          </w:p>
        </w:tc>
        <w:tc>
          <w:tcPr>
            <w:tcW w:w="2094"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hint="eastAsia"/>
                <w:szCs w:val="21"/>
              </w:rPr>
              <w:t>质押借款</w:t>
            </w:r>
          </w:p>
        </w:tc>
      </w:tr>
      <w:tr w:rsidR="00851B9D" w:rsidRPr="000A5B5D" w:rsidTr="00851B9D">
        <w:trPr>
          <w:trHeight w:val="397"/>
          <w:jc w:val="center"/>
        </w:trPr>
        <w:tc>
          <w:tcPr>
            <w:tcW w:w="51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固定资产</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6,511,023,050.90 </w:t>
            </w:r>
          </w:p>
        </w:tc>
        <w:tc>
          <w:tcPr>
            <w:tcW w:w="20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抵押借款</w:t>
            </w:r>
          </w:p>
        </w:tc>
      </w:tr>
      <w:tr w:rsidR="00851B9D" w:rsidRPr="000A5B5D" w:rsidTr="00851B9D">
        <w:trPr>
          <w:trHeight w:val="397"/>
          <w:jc w:val="center"/>
        </w:trPr>
        <w:tc>
          <w:tcPr>
            <w:tcW w:w="510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无形资产</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255,522,424.73 </w:t>
            </w:r>
          </w:p>
        </w:tc>
        <w:tc>
          <w:tcPr>
            <w:tcW w:w="20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抵押借款</w:t>
            </w:r>
          </w:p>
        </w:tc>
      </w:tr>
      <w:tr w:rsidR="00851B9D" w:rsidRPr="000A5B5D" w:rsidTr="00851B9D">
        <w:trPr>
          <w:trHeight w:val="397"/>
          <w:jc w:val="center"/>
        </w:trPr>
        <w:tc>
          <w:tcPr>
            <w:tcW w:w="5105"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15"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8,620,632,299.75</w:t>
            </w:r>
          </w:p>
        </w:tc>
        <w:tc>
          <w:tcPr>
            <w:tcW w:w="209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r>
    </w:tbl>
    <w:p w:rsidR="00851B9D" w:rsidRPr="000A5B5D" w:rsidRDefault="00851B9D" w:rsidP="00851B9D">
      <w:pPr>
        <w:pStyle w:val="10"/>
        <w:numPr>
          <w:ilvl w:val="0"/>
          <w:numId w:val="3"/>
        </w:numPr>
        <w:spacing w:line="400" w:lineRule="exact"/>
        <w:ind w:left="0" w:firstLineChars="0" w:firstLine="420"/>
        <w:outlineLvl w:val="1"/>
        <w:rPr>
          <w:rFonts w:ascii="Arial" w:hAnsi="Arial" w:cs="Arial"/>
          <w:b/>
          <w:bCs/>
          <w:sz w:val="24"/>
        </w:rPr>
      </w:pPr>
      <w:r w:rsidRPr="000A5B5D">
        <w:rPr>
          <w:rFonts w:ascii="Arial" w:hAnsi="Arial" w:cs="Arial" w:hint="eastAsia"/>
          <w:b/>
          <w:bCs/>
          <w:sz w:val="24"/>
        </w:rPr>
        <w:t>外币货币性项目</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）外币货币性项目</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217"/>
        <w:gridCol w:w="1909"/>
        <w:gridCol w:w="2015"/>
        <w:gridCol w:w="2073"/>
      </w:tblGrid>
      <w:tr w:rsidR="00851B9D" w:rsidRPr="000A5B5D" w:rsidTr="00851B9D">
        <w:trPr>
          <w:trHeight w:val="397"/>
          <w:tblHeader/>
        </w:trPr>
        <w:tc>
          <w:tcPr>
            <w:tcW w:w="3217"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lastRenderedPageBreak/>
              <w:t>项</w:t>
            </w:r>
            <w:r w:rsidRPr="000A5B5D">
              <w:rPr>
                <w:rFonts w:ascii="Arial" w:hAnsi="Arial" w:cs="Arial"/>
                <w:kern w:val="0"/>
                <w:szCs w:val="21"/>
              </w:rPr>
              <w:t xml:space="preserve">    </w:t>
            </w:r>
            <w:r w:rsidRPr="000A5B5D">
              <w:rPr>
                <w:rFonts w:ascii="Arial" w:hAnsi="Arial" w:cs="Arial" w:hint="eastAsia"/>
                <w:kern w:val="0"/>
                <w:szCs w:val="21"/>
              </w:rPr>
              <w:t>目</w:t>
            </w:r>
          </w:p>
        </w:tc>
        <w:tc>
          <w:tcPr>
            <w:tcW w:w="1909"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年末外币余额</w:t>
            </w:r>
          </w:p>
        </w:tc>
        <w:tc>
          <w:tcPr>
            <w:tcW w:w="2015"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折算汇率</w:t>
            </w:r>
          </w:p>
        </w:tc>
        <w:tc>
          <w:tcPr>
            <w:tcW w:w="2073"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年末折算人民币余额</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货币资金</w:t>
            </w:r>
          </w:p>
        </w:tc>
        <w:tc>
          <w:tcPr>
            <w:tcW w:w="1909" w:type="dxa"/>
            <w:vAlign w:val="center"/>
          </w:tcPr>
          <w:p w:rsidR="00851B9D" w:rsidRPr="000A5B5D" w:rsidRDefault="00851B9D" w:rsidP="00851B9D">
            <w:pPr>
              <w:widowControl/>
              <w:jc w:val="right"/>
              <w:rPr>
                <w:rFonts w:ascii="Arial" w:hAnsi="Arial" w:cs="Arial"/>
                <w:kern w:val="0"/>
                <w:szCs w:val="21"/>
              </w:rPr>
            </w:pPr>
          </w:p>
        </w:tc>
        <w:tc>
          <w:tcPr>
            <w:tcW w:w="2015" w:type="dxa"/>
            <w:vAlign w:val="center"/>
          </w:tcPr>
          <w:p w:rsidR="00851B9D" w:rsidRPr="000A5B5D" w:rsidRDefault="00851B9D" w:rsidP="00851B9D">
            <w:pPr>
              <w:widowControl/>
              <w:jc w:val="right"/>
              <w:rPr>
                <w:rFonts w:ascii="Arial" w:hAnsi="Arial" w:cs="Arial"/>
                <w:kern w:val="0"/>
                <w:szCs w:val="21"/>
              </w:rPr>
            </w:pPr>
          </w:p>
        </w:tc>
        <w:tc>
          <w:tcPr>
            <w:tcW w:w="2073" w:type="dxa"/>
            <w:vAlign w:val="center"/>
          </w:tcPr>
          <w:p w:rsidR="00851B9D" w:rsidRPr="000A5B5D" w:rsidRDefault="00851B9D" w:rsidP="00851B9D">
            <w:pPr>
              <w:widowControl/>
              <w:jc w:val="right"/>
              <w:rPr>
                <w:rFonts w:ascii="Arial" w:hAnsi="Arial" w:cs="Arial"/>
                <w:kern w:val="0"/>
                <w:szCs w:val="21"/>
              </w:rPr>
            </w:pPr>
          </w:p>
        </w:tc>
      </w:tr>
      <w:tr w:rsidR="00851B9D" w:rsidRPr="000A5B5D" w:rsidTr="00851B9D">
        <w:trPr>
          <w:trHeight w:val="397"/>
        </w:trPr>
        <w:tc>
          <w:tcPr>
            <w:tcW w:w="3217" w:type="dxa"/>
            <w:vAlign w:val="center"/>
          </w:tcPr>
          <w:p w:rsidR="00851B9D" w:rsidRPr="000A5B5D" w:rsidRDefault="00851B9D" w:rsidP="00851B9D">
            <w:pPr>
              <w:rPr>
                <w:rFonts w:ascii="Arial" w:hAnsi="Arial" w:cs="Arial"/>
                <w:szCs w:val="21"/>
              </w:rPr>
            </w:pPr>
            <w:r w:rsidRPr="000A5B5D">
              <w:rPr>
                <w:rFonts w:ascii="Arial" w:hAnsi="Arial" w:cs="Arial" w:hint="eastAsia"/>
                <w:kern w:val="0"/>
                <w:szCs w:val="21"/>
              </w:rPr>
              <w:t>其中：</w:t>
            </w:r>
            <w:r w:rsidRPr="000A5B5D">
              <w:rPr>
                <w:rFonts w:ascii="Arial" w:hAnsi="Arial" w:cs="Arial" w:hint="eastAsia"/>
                <w:szCs w:val="21"/>
              </w:rPr>
              <w:t>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85,625,751.88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556,019,380.33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欧元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7,697.26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7.0952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54,612.67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港元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2,040.21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0.8378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1,709.25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文币</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1,181,306.46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5,427,866.02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新币</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20,155.71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4.5875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92,464.32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日元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60,184,112.00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0.0539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3,242,419.03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应收账款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w:t>
            </w:r>
            <w:r w:rsidRPr="000A5B5D">
              <w:rPr>
                <w:rFonts w:ascii="Arial" w:hAnsi="Arial" w:cs="Arial" w:hint="eastAsia"/>
                <w:szCs w:val="21"/>
              </w:rPr>
              <w:t>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68,129,943.79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442,408,602.92 </w:t>
            </w:r>
          </w:p>
        </w:tc>
      </w:tr>
      <w:tr w:rsidR="00851B9D" w:rsidRPr="000A5B5D" w:rsidTr="00851B9D">
        <w:trPr>
          <w:trHeight w:val="397"/>
        </w:trPr>
        <w:tc>
          <w:tcPr>
            <w:tcW w:w="3217" w:type="dxa"/>
            <w:vAlign w:val="center"/>
          </w:tcPr>
          <w:p w:rsidR="00851B9D" w:rsidRPr="000A5B5D" w:rsidRDefault="00851B9D" w:rsidP="00851B9D">
            <w:pPr>
              <w:ind w:firstLineChars="300" w:firstLine="540"/>
              <w:jc w:val="left"/>
              <w:rPr>
                <w:rFonts w:ascii="Arial" w:hAnsi="Arial" w:cs="Arial"/>
                <w:szCs w:val="21"/>
              </w:rPr>
            </w:pPr>
            <w:r w:rsidRPr="000A5B5D">
              <w:rPr>
                <w:rFonts w:ascii="Arial" w:hAnsi="Arial" w:cs="Arial" w:hint="eastAsia"/>
                <w:szCs w:val="21"/>
              </w:rPr>
              <w:t>日元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180,892,992.00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0.0539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9,745,609.94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其他应收款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w:t>
            </w:r>
            <w:r w:rsidRPr="000A5B5D">
              <w:rPr>
                <w:rFonts w:ascii="Arial" w:hAnsi="Arial" w:cs="Arial" w:hint="eastAsia"/>
                <w:szCs w:val="21"/>
              </w:rPr>
              <w:t>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662,155.14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4,299,770.61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文币</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153,397.93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704,832.68 </w:t>
            </w:r>
          </w:p>
        </w:tc>
      </w:tr>
      <w:tr w:rsidR="00851B9D" w:rsidRPr="000A5B5D" w:rsidTr="00851B9D">
        <w:trPr>
          <w:trHeight w:val="397"/>
        </w:trPr>
        <w:tc>
          <w:tcPr>
            <w:tcW w:w="3217" w:type="dxa"/>
            <w:vAlign w:val="center"/>
          </w:tcPr>
          <w:p w:rsidR="00851B9D" w:rsidRPr="000A5B5D" w:rsidRDefault="00851B9D" w:rsidP="00851B9D">
            <w:pPr>
              <w:ind w:firstLineChars="300" w:firstLine="540"/>
              <w:rPr>
                <w:rFonts w:ascii="Arial" w:hAnsi="Arial" w:cs="Arial"/>
                <w:szCs w:val="21"/>
              </w:rPr>
            </w:pPr>
            <w:r w:rsidRPr="000A5B5D">
              <w:rPr>
                <w:rFonts w:ascii="Arial" w:hAnsi="Arial" w:cs="Arial" w:hint="eastAsia"/>
                <w:szCs w:val="21"/>
              </w:rPr>
              <w:t>日元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133,414,597.00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0.0539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7,187,711.41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短期借款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520,830,459.86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3,382,064,674.15 </w:t>
            </w:r>
          </w:p>
        </w:tc>
      </w:tr>
      <w:tr w:rsidR="00851B9D" w:rsidRPr="000A5B5D" w:rsidTr="00851B9D">
        <w:trPr>
          <w:trHeight w:val="397"/>
        </w:trPr>
        <w:tc>
          <w:tcPr>
            <w:tcW w:w="3217" w:type="dxa"/>
            <w:vAlign w:val="center"/>
          </w:tcPr>
          <w:p w:rsidR="00851B9D" w:rsidRPr="000A5B5D" w:rsidRDefault="00851B9D" w:rsidP="00851B9D">
            <w:pPr>
              <w:widowControl/>
              <w:ind w:firstLineChars="300" w:firstLine="540"/>
              <w:rPr>
                <w:rFonts w:ascii="Arial" w:hAnsi="Arial" w:cs="Arial"/>
                <w:kern w:val="0"/>
                <w:szCs w:val="21"/>
              </w:rPr>
            </w:pPr>
            <w:r w:rsidRPr="000A5B5D">
              <w:rPr>
                <w:rFonts w:ascii="Arial" w:hAnsi="Arial" w:cs="Arial" w:hint="eastAsia"/>
                <w:kern w:val="0"/>
                <w:szCs w:val="21"/>
              </w:rPr>
              <w:t>欧元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108,099,438.64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7.0952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766,975,736.92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应付账款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58,111,576.75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377,353,341.60 </w:t>
            </w:r>
          </w:p>
        </w:tc>
      </w:tr>
      <w:tr w:rsidR="00851B9D" w:rsidRPr="000A5B5D" w:rsidTr="00851B9D">
        <w:trPr>
          <w:trHeight w:val="397"/>
        </w:trPr>
        <w:tc>
          <w:tcPr>
            <w:tcW w:w="3217" w:type="dxa"/>
            <w:vAlign w:val="center"/>
          </w:tcPr>
          <w:p w:rsidR="00851B9D" w:rsidRPr="000A5B5D" w:rsidRDefault="00851B9D" w:rsidP="00851B9D">
            <w:pPr>
              <w:widowControl/>
              <w:ind w:firstLineChars="300" w:firstLine="540"/>
              <w:rPr>
                <w:rFonts w:ascii="Arial" w:hAnsi="Arial" w:cs="Arial"/>
                <w:kern w:val="0"/>
                <w:szCs w:val="21"/>
              </w:rPr>
            </w:pPr>
            <w:r w:rsidRPr="000A5B5D">
              <w:rPr>
                <w:rFonts w:ascii="Arial" w:hAnsi="Arial" w:cs="Arial" w:hint="eastAsia"/>
                <w:kern w:val="0"/>
                <w:szCs w:val="21"/>
              </w:rPr>
              <w:t>欧元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2,701,397.08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7.0952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19,166,952.56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文元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625,426.52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2,873,709.43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日元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142,600,730.95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0.0539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7,682,614.38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其他应付款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1,290,000.00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8,376,744.00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文元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5,390.00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24,765.94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日元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674,881.00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0.0539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36,359.21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 xml:space="preserve">      </w:t>
            </w:r>
            <w:r w:rsidRPr="000A5B5D">
              <w:rPr>
                <w:rFonts w:ascii="Arial" w:hAnsi="Arial" w:cs="Arial" w:hint="eastAsia"/>
                <w:kern w:val="0"/>
                <w:szCs w:val="21"/>
              </w:rPr>
              <w:t>英镑</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16,008.00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9.6159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153,931.33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lastRenderedPageBreak/>
              <w:t>一年内到期的非流动负债</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94,000,000.00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610,398,400.00  </w:t>
            </w:r>
          </w:p>
        </w:tc>
      </w:tr>
      <w:tr w:rsidR="00851B9D" w:rsidRPr="000A5B5D" w:rsidTr="00851B9D">
        <w:trPr>
          <w:trHeight w:val="397"/>
        </w:trPr>
        <w:tc>
          <w:tcPr>
            <w:tcW w:w="3217" w:type="dxa"/>
            <w:vAlign w:val="center"/>
          </w:tcPr>
          <w:p w:rsidR="00851B9D" w:rsidRPr="000A5B5D" w:rsidRDefault="00851B9D" w:rsidP="00851B9D">
            <w:pPr>
              <w:widowControl/>
              <w:ind w:firstLineChars="300" w:firstLine="540"/>
              <w:rPr>
                <w:rFonts w:ascii="Arial" w:hAnsi="Arial" w:cs="Arial"/>
                <w:kern w:val="0"/>
                <w:szCs w:val="21"/>
              </w:rPr>
            </w:pPr>
            <w:r w:rsidRPr="000A5B5D">
              <w:rPr>
                <w:rFonts w:ascii="Arial" w:hAnsi="Arial" w:cs="Arial" w:hint="eastAsia"/>
                <w:kern w:val="0"/>
                <w:szCs w:val="21"/>
              </w:rPr>
              <w:t>文币</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32,903.71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151,185.94 </w:t>
            </w: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长期借款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其中：美元</w:t>
            </w:r>
          </w:p>
        </w:tc>
        <w:tc>
          <w:tcPr>
            <w:tcW w:w="1909"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118,900,000.00 </w:t>
            </w:r>
          </w:p>
        </w:tc>
        <w:tc>
          <w:tcPr>
            <w:tcW w:w="2015"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6.4936 </w:t>
            </w:r>
          </w:p>
        </w:tc>
        <w:tc>
          <w:tcPr>
            <w:tcW w:w="2073"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772,089,040.00 </w:t>
            </w:r>
          </w:p>
        </w:tc>
      </w:tr>
      <w:tr w:rsidR="00851B9D" w:rsidRPr="000A5B5D" w:rsidTr="00851B9D">
        <w:trPr>
          <w:trHeight w:val="397"/>
        </w:trPr>
        <w:tc>
          <w:tcPr>
            <w:tcW w:w="3217" w:type="dxa"/>
            <w:vAlign w:val="center"/>
          </w:tcPr>
          <w:p w:rsidR="00851B9D" w:rsidRPr="000A5B5D" w:rsidRDefault="00851B9D" w:rsidP="00851B9D">
            <w:pPr>
              <w:widowControl/>
              <w:ind w:firstLineChars="300" w:firstLine="540"/>
              <w:rPr>
                <w:rFonts w:ascii="Arial" w:hAnsi="Arial" w:cs="Arial"/>
                <w:kern w:val="0"/>
                <w:szCs w:val="21"/>
              </w:rPr>
            </w:pP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长期应付款</w:t>
            </w:r>
          </w:p>
        </w:tc>
        <w:tc>
          <w:tcPr>
            <w:tcW w:w="1909" w:type="dxa"/>
            <w:vAlign w:val="center"/>
          </w:tcPr>
          <w:p w:rsidR="00851B9D" w:rsidRPr="000A5B5D" w:rsidRDefault="00851B9D" w:rsidP="00851B9D">
            <w:pPr>
              <w:jc w:val="right"/>
              <w:rPr>
                <w:rFonts w:ascii="Arial Narrow" w:hAnsi="Arial Narrow" w:cs="Arial"/>
                <w:szCs w:val="21"/>
              </w:rPr>
            </w:pPr>
          </w:p>
        </w:tc>
        <w:tc>
          <w:tcPr>
            <w:tcW w:w="2015" w:type="dxa"/>
            <w:vAlign w:val="center"/>
          </w:tcPr>
          <w:p w:rsidR="00851B9D" w:rsidRPr="000A5B5D" w:rsidRDefault="00851B9D" w:rsidP="00851B9D">
            <w:pPr>
              <w:jc w:val="right"/>
              <w:rPr>
                <w:rFonts w:ascii="Arial Narrow" w:hAnsi="Arial Narrow" w:cs="Arial"/>
                <w:szCs w:val="21"/>
              </w:rPr>
            </w:pPr>
          </w:p>
        </w:tc>
        <w:tc>
          <w:tcPr>
            <w:tcW w:w="2073" w:type="dxa"/>
            <w:vAlign w:val="center"/>
          </w:tcPr>
          <w:p w:rsidR="00851B9D" w:rsidRPr="000A5B5D" w:rsidRDefault="00851B9D" w:rsidP="00851B9D">
            <w:pPr>
              <w:jc w:val="right"/>
              <w:rPr>
                <w:rFonts w:ascii="Arial Narrow" w:hAnsi="Arial Narrow" w:cs="Arial"/>
                <w:szCs w:val="21"/>
              </w:rPr>
            </w:pPr>
          </w:p>
        </w:tc>
      </w:tr>
      <w:tr w:rsidR="00851B9D" w:rsidRPr="000A5B5D" w:rsidTr="00851B9D">
        <w:trPr>
          <w:trHeight w:val="397"/>
        </w:trPr>
        <w:tc>
          <w:tcPr>
            <w:tcW w:w="3217" w:type="dxa"/>
            <w:tcBorders>
              <w:bottom w:val="single" w:sz="12" w:space="0" w:color="auto"/>
            </w:tcBorders>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其中：文币</w:t>
            </w:r>
          </w:p>
        </w:tc>
        <w:tc>
          <w:tcPr>
            <w:tcW w:w="1909"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49,753.29 </w:t>
            </w:r>
          </w:p>
        </w:tc>
        <w:tc>
          <w:tcPr>
            <w:tcW w:w="2015"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4.5948 </w:t>
            </w:r>
          </w:p>
        </w:tc>
        <w:tc>
          <w:tcPr>
            <w:tcW w:w="207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 xml:space="preserve">228,606.41 </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2</w:t>
      </w:r>
      <w:r w:rsidRPr="000A5B5D">
        <w:rPr>
          <w:rFonts w:ascii="Arial" w:hAnsi="Arial" w:cs="Arial" w:hint="eastAsia"/>
          <w:bCs/>
          <w:sz w:val="24"/>
        </w:rPr>
        <w:t>）境外经营实体说明</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公司重要的境外经营实体包括香港天逸国际控股有限公司、佳栢国际投资有限公司和恒逸实业（文莱）有限公司，其主要经营地分别在香港和文莱，由于相关公司主要经营业务结算货币为美元，所以选择美元为记账本位币。</w:t>
      </w:r>
    </w:p>
    <w:p w:rsidR="00851B9D" w:rsidRPr="000A5B5D" w:rsidRDefault="00851B9D" w:rsidP="00851B9D">
      <w:pPr>
        <w:pStyle w:val="10"/>
        <w:numPr>
          <w:ilvl w:val="0"/>
          <w:numId w:val="3"/>
        </w:numPr>
        <w:spacing w:line="400" w:lineRule="exact"/>
        <w:ind w:left="0" w:firstLineChars="0" w:firstLine="420"/>
        <w:outlineLvl w:val="1"/>
        <w:rPr>
          <w:rFonts w:ascii="Arial" w:hAnsi="Arial" w:cs="Arial"/>
          <w:b/>
          <w:bCs/>
          <w:sz w:val="24"/>
        </w:rPr>
      </w:pPr>
      <w:r w:rsidRPr="000A5B5D">
        <w:rPr>
          <w:rFonts w:ascii="Arial" w:hAnsi="Arial" w:cs="Arial" w:hint="eastAsia"/>
          <w:b/>
          <w:bCs/>
          <w:sz w:val="24"/>
        </w:rPr>
        <w:t>套期</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请参阅附注六、</w:t>
      </w:r>
      <w:r w:rsidRPr="000A5B5D">
        <w:rPr>
          <w:rFonts w:ascii="Arial" w:hAnsi="Arial" w:cs="Arial"/>
          <w:bCs/>
          <w:sz w:val="24"/>
        </w:rPr>
        <w:t>3“</w:t>
      </w:r>
      <w:r w:rsidRPr="000A5B5D">
        <w:rPr>
          <w:rFonts w:ascii="Arial" w:hAnsi="Arial" w:cs="Arial" w:hint="eastAsia"/>
          <w:bCs/>
          <w:sz w:val="24"/>
        </w:rPr>
        <w:t>衍生金融资产</w:t>
      </w:r>
      <w:r w:rsidRPr="000A5B5D">
        <w:rPr>
          <w:rFonts w:ascii="Arial" w:hAnsi="Arial" w:cs="Arial"/>
          <w:bCs/>
          <w:sz w:val="24"/>
        </w:rPr>
        <w:t>”</w:t>
      </w:r>
      <w:r w:rsidRPr="000A5B5D">
        <w:rPr>
          <w:rFonts w:ascii="Arial" w:hAnsi="Arial" w:cs="Arial" w:hint="eastAsia"/>
          <w:bCs/>
          <w:sz w:val="24"/>
        </w:rPr>
        <w:t>项目注释中的相关内容。</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bCs/>
          <w:vanish/>
          <w:sz w:val="24"/>
        </w:rPr>
        <w:t>zhu        ...</w:t>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r w:rsidRPr="000A5B5D">
        <w:rPr>
          <w:rFonts w:ascii="Arial" w:hAnsi="Arial" w:cs="Arial"/>
          <w:bCs/>
          <w:vanish/>
          <w:sz w:val="24"/>
        </w:rPr>
        <w:pgNum/>
      </w: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合并范围的变更</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w:t>
      </w:r>
      <w:r w:rsidRPr="000A5B5D">
        <w:rPr>
          <w:rFonts w:ascii="Arial" w:hAnsi="Arial" w:cs="Arial" w:hint="eastAsia"/>
          <w:b/>
          <w:bCs/>
          <w:sz w:val="24"/>
        </w:rPr>
        <w:t>、非同一控制下企业合并</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）本年发生的非同一控制下企业合并</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本公司之全资子企业香港天逸国际控股有限公司于</w:t>
      </w:r>
      <w:r w:rsidRPr="000A5B5D">
        <w:rPr>
          <w:rFonts w:ascii="Arial" w:hAnsi="Arial" w:cs="Arial"/>
          <w:bCs/>
          <w:sz w:val="24"/>
        </w:rPr>
        <w:t>2015</w:t>
      </w:r>
      <w:r w:rsidRPr="000A5B5D">
        <w:rPr>
          <w:rFonts w:ascii="Arial" w:hAnsi="Arial" w:cs="Arial" w:hint="eastAsia"/>
          <w:bCs/>
          <w:sz w:val="24"/>
        </w:rPr>
        <w:t>年购入原联营企业恒逸</w:t>
      </w:r>
      <w:r w:rsidRPr="000A5B5D">
        <w:rPr>
          <w:rFonts w:ascii="Arial" w:hAnsi="Arial" w:cs="Arial"/>
          <w:bCs/>
          <w:sz w:val="24"/>
        </w:rPr>
        <w:t>JAPAN</w:t>
      </w:r>
      <w:r w:rsidRPr="000A5B5D">
        <w:rPr>
          <w:rFonts w:ascii="Arial" w:hAnsi="Arial" w:cs="Arial" w:hint="eastAsia"/>
          <w:bCs/>
          <w:sz w:val="24"/>
        </w:rPr>
        <w:t>株式会社（以下简称“恒逸日本公司”）另外两个股东合计</w:t>
      </w:r>
      <w:r w:rsidRPr="000A5B5D">
        <w:rPr>
          <w:rFonts w:ascii="Arial" w:hAnsi="Arial" w:cs="Arial"/>
          <w:bCs/>
          <w:sz w:val="24"/>
        </w:rPr>
        <w:t>17%</w:t>
      </w:r>
      <w:r w:rsidRPr="000A5B5D">
        <w:rPr>
          <w:rFonts w:ascii="Arial" w:hAnsi="Arial" w:cs="Arial" w:hint="eastAsia"/>
          <w:bCs/>
          <w:sz w:val="24"/>
        </w:rPr>
        <w:t>的股权，对恒逸日本公司的持股比例达到</w:t>
      </w:r>
      <w:r w:rsidRPr="000A5B5D">
        <w:rPr>
          <w:rFonts w:ascii="Arial" w:hAnsi="Arial" w:cs="Arial"/>
          <w:bCs/>
          <w:sz w:val="24"/>
        </w:rPr>
        <w:t>51%</w:t>
      </w:r>
      <w:r w:rsidRPr="000A5B5D">
        <w:rPr>
          <w:rFonts w:ascii="Arial" w:hAnsi="Arial" w:cs="Arial" w:hint="eastAsia"/>
          <w:bCs/>
          <w:sz w:val="24"/>
        </w:rPr>
        <w:t>，能对其实施控制，故本年度合并范围增加了该公司。</w:t>
      </w:r>
    </w:p>
    <w:p w:rsidR="00851B9D" w:rsidRPr="000A5B5D" w:rsidRDefault="00851B9D" w:rsidP="00851B9D">
      <w:pPr>
        <w:spacing w:line="400" w:lineRule="exact"/>
        <w:ind w:firstLineChars="200" w:firstLine="480"/>
        <w:rPr>
          <w:rFonts w:ascii="Arial" w:hAnsi="Arial" w:cs="Arial"/>
          <w:bCs/>
          <w:sz w:val="24"/>
        </w:rPr>
      </w:pP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276"/>
        <w:gridCol w:w="993"/>
        <w:gridCol w:w="1134"/>
        <w:gridCol w:w="567"/>
        <w:gridCol w:w="850"/>
        <w:gridCol w:w="992"/>
        <w:gridCol w:w="993"/>
        <w:gridCol w:w="1275"/>
        <w:gridCol w:w="1134"/>
      </w:tblGrid>
      <w:tr w:rsidR="00851B9D" w:rsidRPr="000A5B5D" w:rsidTr="00851B9D">
        <w:trPr>
          <w:trHeight w:val="454"/>
        </w:trPr>
        <w:tc>
          <w:tcPr>
            <w:tcW w:w="1276"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被购买方名称</w:t>
            </w:r>
          </w:p>
        </w:tc>
        <w:tc>
          <w:tcPr>
            <w:tcW w:w="993"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股权取得时点</w:t>
            </w:r>
          </w:p>
        </w:tc>
        <w:tc>
          <w:tcPr>
            <w:tcW w:w="1134"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股权取得成本</w:t>
            </w:r>
          </w:p>
        </w:tc>
        <w:tc>
          <w:tcPr>
            <w:tcW w:w="567"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股权取得比例（</w:t>
            </w:r>
            <w:r w:rsidRPr="000A5B5D">
              <w:rPr>
                <w:rFonts w:ascii="Arial" w:hAnsi="Arial" w:cs="Arial"/>
                <w:kern w:val="0"/>
              </w:rPr>
              <w:t>%</w:t>
            </w:r>
            <w:r w:rsidRPr="000A5B5D">
              <w:rPr>
                <w:rFonts w:ascii="Arial" w:hAnsi="Arial" w:cs="Arial" w:hint="eastAsia"/>
                <w:kern w:val="0"/>
              </w:rPr>
              <w:t>）</w:t>
            </w:r>
          </w:p>
        </w:tc>
        <w:tc>
          <w:tcPr>
            <w:tcW w:w="850"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股权取得方式</w:t>
            </w:r>
          </w:p>
        </w:tc>
        <w:tc>
          <w:tcPr>
            <w:tcW w:w="992"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购买日</w:t>
            </w:r>
          </w:p>
        </w:tc>
        <w:tc>
          <w:tcPr>
            <w:tcW w:w="993"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购买日的确定依据</w:t>
            </w:r>
          </w:p>
        </w:tc>
        <w:tc>
          <w:tcPr>
            <w:tcW w:w="1275"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购买日至年末被购买方的收入</w:t>
            </w:r>
          </w:p>
        </w:tc>
        <w:tc>
          <w:tcPr>
            <w:tcW w:w="1134"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购买日至年末被购买方的净利润</w:t>
            </w:r>
          </w:p>
        </w:tc>
      </w:tr>
      <w:tr w:rsidR="00851B9D" w:rsidRPr="000A5B5D" w:rsidTr="00851B9D">
        <w:trPr>
          <w:trHeight w:val="454"/>
        </w:trPr>
        <w:tc>
          <w:tcPr>
            <w:tcW w:w="1276" w:type="dxa"/>
            <w:vMerge w:val="restart"/>
            <w:vAlign w:val="center"/>
          </w:tcPr>
          <w:p w:rsidR="00851B9D" w:rsidRPr="000A5B5D" w:rsidRDefault="00851B9D" w:rsidP="00851B9D">
            <w:pPr>
              <w:widowControl/>
              <w:jc w:val="left"/>
              <w:rPr>
                <w:rFonts w:ascii="Arial" w:hAnsi="Arial" w:cs="Arial"/>
                <w:kern w:val="0"/>
              </w:rPr>
            </w:pPr>
            <w:r w:rsidRPr="000A5B5D">
              <w:rPr>
                <w:rFonts w:ascii="Arial" w:hAnsi="Arial" w:cs="Arial" w:hint="eastAsia"/>
                <w:kern w:val="0"/>
              </w:rPr>
              <w:t>恒逸</w:t>
            </w:r>
            <w:r w:rsidRPr="000A5B5D">
              <w:rPr>
                <w:rFonts w:ascii="Arial" w:hAnsi="Arial" w:cs="Arial"/>
                <w:kern w:val="0"/>
              </w:rPr>
              <w:t>JAPAN</w:t>
            </w:r>
            <w:r w:rsidRPr="000A5B5D">
              <w:rPr>
                <w:rFonts w:ascii="Arial" w:hAnsi="Arial" w:cs="Arial" w:hint="eastAsia"/>
                <w:kern w:val="0"/>
              </w:rPr>
              <w:t>株式会社</w:t>
            </w:r>
          </w:p>
        </w:tc>
        <w:tc>
          <w:tcPr>
            <w:tcW w:w="99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2014-10-24</w:t>
            </w:r>
          </w:p>
        </w:tc>
        <w:tc>
          <w:tcPr>
            <w:tcW w:w="1134"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3,130,547.77</w:t>
            </w:r>
          </w:p>
        </w:tc>
        <w:tc>
          <w:tcPr>
            <w:tcW w:w="567"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34.00</w:t>
            </w:r>
          </w:p>
        </w:tc>
        <w:tc>
          <w:tcPr>
            <w:tcW w:w="850" w:type="dxa"/>
            <w:vAlign w:val="center"/>
          </w:tcPr>
          <w:p w:rsidR="00851B9D" w:rsidRPr="000A5B5D" w:rsidRDefault="00851B9D" w:rsidP="00851B9D">
            <w:pPr>
              <w:widowControl/>
              <w:jc w:val="right"/>
              <w:rPr>
                <w:rFonts w:ascii="Arial" w:hAnsi="Arial" w:cs="Arial"/>
                <w:kern w:val="0"/>
              </w:rPr>
            </w:pPr>
            <w:r w:rsidRPr="000A5B5D">
              <w:rPr>
                <w:rFonts w:ascii="Arial Narrow" w:hAnsi="Arial Narrow" w:hint="eastAsia"/>
              </w:rPr>
              <w:t>投资新设</w:t>
            </w:r>
          </w:p>
        </w:tc>
        <w:tc>
          <w:tcPr>
            <w:tcW w:w="992" w:type="dxa"/>
            <w:vMerge w:val="restart"/>
            <w:vAlign w:val="center"/>
          </w:tcPr>
          <w:p w:rsidR="00851B9D" w:rsidRPr="000A5B5D" w:rsidRDefault="00851B9D" w:rsidP="00851B9D">
            <w:pPr>
              <w:jc w:val="right"/>
              <w:rPr>
                <w:rFonts w:ascii="Arial" w:hAnsi="Arial" w:cs="Arial"/>
                <w:kern w:val="0"/>
              </w:rPr>
            </w:pPr>
            <w:r w:rsidRPr="000A5B5D">
              <w:rPr>
                <w:rFonts w:ascii="Arial" w:hAnsi="Arial" w:cs="Arial"/>
                <w:kern w:val="0"/>
              </w:rPr>
              <w:t>2015-6-16</w:t>
            </w:r>
          </w:p>
        </w:tc>
        <w:tc>
          <w:tcPr>
            <w:tcW w:w="993" w:type="dxa"/>
            <w:vMerge w:val="restart"/>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合并方实际取得对被合并方买方控制权的日期</w:t>
            </w:r>
          </w:p>
        </w:tc>
        <w:tc>
          <w:tcPr>
            <w:tcW w:w="1275" w:type="dxa"/>
            <w:vMerge w:val="restart"/>
            <w:vAlign w:val="center"/>
          </w:tcPr>
          <w:p w:rsidR="00851B9D" w:rsidRPr="000A5B5D" w:rsidRDefault="00851B9D" w:rsidP="00851B9D">
            <w:pPr>
              <w:widowControl/>
              <w:rPr>
                <w:rFonts w:ascii="Arial" w:hAnsi="Arial" w:cs="Arial"/>
                <w:kern w:val="0"/>
              </w:rPr>
            </w:pPr>
            <w:r w:rsidRPr="000A5B5D">
              <w:rPr>
                <w:rFonts w:ascii="Arial" w:hAnsi="Arial" w:cs="Arial"/>
                <w:kern w:val="0"/>
              </w:rPr>
              <w:t>90,730,621.47</w:t>
            </w:r>
          </w:p>
        </w:tc>
        <w:tc>
          <w:tcPr>
            <w:tcW w:w="1134" w:type="dxa"/>
            <w:vMerge w:val="restart"/>
            <w:vAlign w:val="center"/>
          </w:tcPr>
          <w:p w:rsidR="00851B9D" w:rsidRPr="000A5B5D" w:rsidRDefault="00851B9D" w:rsidP="00851B9D">
            <w:pPr>
              <w:ind w:right="-28"/>
              <w:rPr>
                <w:rFonts w:ascii="Arial" w:hAnsi="Arial" w:cs="Arial"/>
                <w:kern w:val="0"/>
              </w:rPr>
            </w:pPr>
            <w:r w:rsidRPr="000A5B5D">
              <w:rPr>
                <w:rFonts w:ascii="Arial" w:hAnsi="Arial" w:cs="Arial"/>
                <w:kern w:val="0"/>
              </w:rPr>
              <w:t>1,036,613.65</w:t>
            </w:r>
          </w:p>
        </w:tc>
      </w:tr>
      <w:tr w:rsidR="00851B9D" w:rsidRPr="000A5B5D" w:rsidTr="00851B9D">
        <w:trPr>
          <w:trHeight w:val="454"/>
        </w:trPr>
        <w:tc>
          <w:tcPr>
            <w:tcW w:w="1276" w:type="dxa"/>
            <w:vMerge/>
            <w:tcBorders>
              <w:bottom w:val="single" w:sz="12" w:space="0" w:color="auto"/>
            </w:tcBorders>
            <w:vAlign w:val="center"/>
          </w:tcPr>
          <w:p w:rsidR="00851B9D" w:rsidRPr="000A5B5D" w:rsidRDefault="00851B9D" w:rsidP="00851B9D">
            <w:pPr>
              <w:widowControl/>
              <w:jc w:val="left"/>
              <w:rPr>
                <w:rFonts w:ascii="Arial" w:hAnsi="Arial" w:cs="Arial"/>
                <w:kern w:val="0"/>
              </w:rPr>
            </w:pPr>
          </w:p>
        </w:tc>
        <w:tc>
          <w:tcPr>
            <w:tcW w:w="993"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2015-6-16</w:t>
            </w:r>
          </w:p>
        </w:tc>
        <w:tc>
          <w:tcPr>
            <w:tcW w:w="1134"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1,349,735.30</w:t>
            </w:r>
          </w:p>
        </w:tc>
        <w:tc>
          <w:tcPr>
            <w:tcW w:w="567"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17.00</w:t>
            </w:r>
          </w:p>
        </w:tc>
        <w:tc>
          <w:tcPr>
            <w:tcW w:w="850"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Narrow" w:hAnsi="Arial Narrow" w:hint="eastAsia"/>
              </w:rPr>
              <w:t>购买股权</w:t>
            </w:r>
          </w:p>
        </w:tc>
        <w:tc>
          <w:tcPr>
            <w:tcW w:w="992" w:type="dxa"/>
            <w:vMerge/>
            <w:tcBorders>
              <w:bottom w:val="single" w:sz="12" w:space="0" w:color="auto"/>
            </w:tcBorders>
            <w:vAlign w:val="center"/>
          </w:tcPr>
          <w:p w:rsidR="00851B9D" w:rsidRPr="000A5B5D" w:rsidRDefault="00851B9D" w:rsidP="00851B9D">
            <w:pPr>
              <w:widowControl/>
              <w:jc w:val="right"/>
              <w:rPr>
                <w:rFonts w:ascii="Arial" w:hAnsi="Arial" w:cs="Arial"/>
                <w:kern w:val="0"/>
              </w:rPr>
            </w:pPr>
          </w:p>
        </w:tc>
        <w:tc>
          <w:tcPr>
            <w:tcW w:w="993" w:type="dxa"/>
            <w:vMerge/>
            <w:tcBorders>
              <w:bottom w:val="single" w:sz="12" w:space="0" w:color="auto"/>
            </w:tcBorders>
            <w:vAlign w:val="center"/>
          </w:tcPr>
          <w:p w:rsidR="00851B9D" w:rsidRPr="000A5B5D" w:rsidRDefault="00851B9D" w:rsidP="00851B9D">
            <w:pPr>
              <w:widowControl/>
              <w:jc w:val="right"/>
              <w:rPr>
                <w:rFonts w:ascii="Arial" w:hAnsi="Arial" w:cs="Arial"/>
                <w:kern w:val="0"/>
              </w:rPr>
            </w:pPr>
          </w:p>
        </w:tc>
        <w:tc>
          <w:tcPr>
            <w:tcW w:w="1275" w:type="dxa"/>
            <w:vMerge/>
            <w:tcBorders>
              <w:bottom w:val="single" w:sz="12" w:space="0" w:color="auto"/>
            </w:tcBorders>
            <w:vAlign w:val="center"/>
          </w:tcPr>
          <w:p w:rsidR="00851B9D" w:rsidRPr="000A5B5D" w:rsidRDefault="00851B9D" w:rsidP="00851B9D">
            <w:pPr>
              <w:widowControl/>
              <w:jc w:val="right"/>
              <w:rPr>
                <w:rFonts w:ascii="Arial" w:hAnsi="Arial" w:cs="Arial"/>
                <w:kern w:val="0"/>
              </w:rPr>
            </w:pPr>
          </w:p>
        </w:tc>
        <w:tc>
          <w:tcPr>
            <w:tcW w:w="1134" w:type="dxa"/>
            <w:vMerge/>
            <w:tcBorders>
              <w:bottom w:val="single" w:sz="12" w:space="0" w:color="auto"/>
            </w:tcBorders>
            <w:vAlign w:val="center"/>
          </w:tcPr>
          <w:p w:rsidR="00851B9D" w:rsidRPr="000A5B5D" w:rsidRDefault="00851B9D" w:rsidP="00851B9D">
            <w:pPr>
              <w:widowControl/>
              <w:jc w:val="right"/>
              <w:rPr>
                <w:rFonts w:ascii="Arial" w:hAnsi="Arial" w:cs="Arial"/>
                <w:kern w:val="0"/>
              </w:rPr>
            </w:pPr>
          </w:p>
        </w:tc>
      </w:tr>
    </w:tbl>
    <w:p w:rsidR="00851B9D" w:rsidRPr="000A5B5D" w:rsidRDefault="00851B9D" w:rsidP="00851B9D">
      <w:pPr>
        <w:spacing w:line="400" w:lineRule="exact"/>
        <w:ind w:firstLineChars="200" w:firstLine="480"/>
        <w:jc w:val="left"/>
        <w:rPr>
          <w:rFonts w:ascii="Arial" w:hAnsi="宋体" w:cs="Arial"/>
          <w:sz w:val="24"/>
          <w:szCs w:val="24"/>
        </w:rPr>
      </w:pPr>
      <w:r w:rsidRPr="000A5B5D">
        <w:rPr>
          <w:rFonts w:ascii="宋体" w:hAnsi="宋体" w:cs="Arial" w:hint="eastAsia"/>
          <w:sz w:val="24"/>
          <w:szCs w:val="24"/>
        </w:rPr>
        <w:t>分步实现企业合并且在本年取得控制权的情况</w:t>
      </w:r>
    </w:p>
    <w:tbl>
      <w:tblPr>
        <w:tblW w:w="9250" w:type="dxa"/>
        <w:tblInd w:w="-34" w:type="dxa"/>
        <w:tblBorders>
          <w:top w:val="single" w:sz="12" w:space="0" w:color="auto"/>
          <w:bottom w:val="single" w:sz="12" w:space="0" w:color="auto"/>
          <w:insideH w:val="dotted" w:sz="4" w:space="0" w:color="auto"/>
          <w:insideV w:val="dotted" w:sz="4" w:space="0" w:color="auto"/>
        </w:tblBorders>
        <w:tblLook w:val="04A0" w:firstRow="1" w:lastRow="0" w:firstColumn="1" w:lastColumn="0" w:noHBand="0" w:noVBand="1"/>
      </w:tblPr>
      <w:tblGrid>
        <w:gridCol w:w="2269"/>
        <w:gridCol w:w="2549"/>
        <w:gridCol w:w="1987"/>
        <w:gridCol w:w="2445"/>
      </w:tblGrid>
      <w:tr w:rsidR="00851B9D" w:rsidRPr="000A5B5D" w:rsidTr="00851B9D">
        <w:trPr>
          <w:trHeight w:val="397"/>
          <w:tblHeader/>
        </w:trPr>
        <w:tc>
          <w:tcPr>
            <w:tcW w:w="2269" w:type="dxa"/>
            <w:tcBorders>
              <w:top w:val="single" w:sz="12" w:space="0" w:color="auto"/>
            </w:tcBorders>
            <w:noWrap/>
            <w:vAlign w:val="center"/>
            <w:hideMark/>
          </w:tcPr>
          <w:p w:rsidR="00851B9D" w:rsidRPr="000A5B5D" w:rsidRDefault="00851B9D" w:rsidP="00851B9D">
            <w:pPr>
              <w:widowControl/>
              <w:jc w:val="center"/>
              <w:rPr>
                <w:rFonts w:ascii="宋体" w:cs="宋体"/>
                <w:kern w:val="0"/>
                <w:szCs w:val="21"/>
              </w:rPr>
            </w:pPr>
            <w:r w:rsidRPr="000A5B5D">
              <w:rPr>
                <w:rFonts w:ascii="宋体" w:hAnsi="宋体" w:cs="宋体" w:hint="eastAsia"/>
                <w:kern w:val="0"/>
                <w:szCs w:val="21"/>
              </w:rPr>
              <w:lastRenderedPageBreak/>
              <w:t>取得股权时点</w:t>
            </w:r>
          </w:p>
        </w:tc>
        <w:tc>
          <w:tcPr>
            <w:tcW w:w="2549" w:type="dxa"/>
            <w:tcBorders>
              <w:top w:val="single" w:sz="12" w:space="0" w:color="auto"/>
            </w:tcBorders>
            <w:noWrap/>
            <w:vAlign w:val="center"/>
            <w:hideMark/>
          </w:tcPr>
          <w:p w:rsidR="00851B9D" w:rsidRPr="000A5B5D" w:rsidRDefault="00851B9D" w:rsidP="00851B9D">
            <w:pPr>
              <w:widowControl/>
              <w:jc w:val="center"/>
              <w:rPr>
                <w:rFonts w:ascii="宋体" w:cs="宋体"/>
                <w:kern w:val="0"/>
                <w:szCs w:val="21"/>
              </w:rPr>
            </w:pPr>
            <w:r w:rsidRPr="000A5B5D">
              <w:rPr>
                <w:rFonts w:ascii="宋体" w:hAnsi="宋体" w:cs="宋体" w:hint="eastAsia"/>
                <w:kern w:val="0"/>
                <w:szCs w:val="21"/>
              </w:rPr>
              <w:t>取得成本</w:t>
            </w:r>
          </w:p>
        </w:tc>
        <w:tc>
          <w:tcPr>
            <w:tcW w:w="1987" w:type="dxa"/>
            <w:tcBorders>
              <w:top w:val="single" w:sz="12" w:space="0" w:color="auto"/>
            </w:tcBorders>
            <w:noWrap/>
            <w:vAlign w:val="center"/>
            <w:hideMark/>
          </w:tcPr>
          <w:p w:rsidR="00851B9D" w:rsidRPr="000A5B5D" w:rsidRDefault="00851B9D" w:rsidP="00851B9D">
            <w:pPr>
              <w:widowControl/>
              <w:jc w:val="center"/>
              <w:rPr>
                <w:rFonts w:ascii="宋体" w:cs="宋体"/>
                <w:kern w:val="0"/>
                <w:szCs w:val="21"/>
              </w:rPr>
            </w:pPr>
            <w:r w:rsidRPr="000A5B5D">
              <w:rPr>
                <w:rFonts w:ascii="宋体" w:hAnsi="宋体" w:cs="宋体" w:hint="eastAsia"/>
                <w:kern w:val="0"/>
                <w:szCs w:val="21"/>
              </w:rPr>
              <w:t>取得比例（</w:t>
            </w:r>
            <w:r w:rsidRPr="000A5B5D">
              <w:rPr>
                <w:rFonts w:ascii="宋体" w:hAnsi="宋体" w:cs="宋体"/>
                <w:kern w:val="0"/>
                <w:szCs w:val="21"/>
              </w:rPr>
              <w:t>%</w:t>
            </w:r>
            <w:r w:rsidRPr="000A5B5D">
              <w:rPr>
                <w:rFonts w:ascii="宋体" w:hAnsi="宋体" w:cs="宋体" w:hint="eastAsia"/>
                <w:kern w:val="0"/>
                <w:szCs w:val="21"/>
              </w:rPr>
              <w:t>）</w:t>
            </w:r>
          </w:p>
        </w:tc>
        <w:tc>
          <w:tcPr>
            <w:tcW w:w="2445" w:type="dxa"/>
            <w:tcBorders>
              <w:top w:val="single" w:sz="12" w:space="0" w:color="auto"/>
            </w:tcBorders>
            <w:noWrap/>
            <w:vAlign w:val="center"/>
            <w:hideMark/>
          </w:tcPr>
          <w:p w:rsidR="00851B9D" w:rsidRPr="000A5B5D" w:rsidRDefault="00851B9D" w:rsidP="00851B9D">
            <w:pPr>
              <w:widowControl/>
              <w:jc w:val="center"/>
              <w:rPr>
                <w:rFonts w:ascii="宋体" w:cs="宋体"/>
                <w:kern w:val="0"/>
                <w:szCs w:val="21"/>
              </w:rPr>
            </w:pPr>
            <w:r w:rsidRPr="000A5B5D">
              <w:rPr>
                <w:rFonts w:ascii="宋体" w:hAnsi="宋体" w:cs="宋体" w:hint="eastAsia"/>
                <w:kern w:val="0"/>
                <w:szCs w:val="21"/>
              </w:rPr>
              <w:t>取得方式</w:t>
            </w:r>
          </w:p>
        </w:tc>
      </w:tr>
      <w:tr w:rsidR="00851B9D" w:rsidRPr="000A5B5D" w:rsidTr="00851B9D">
        <w:trPr>
          <w:trHeight w:val="397"/>
        </w:trPr>
        <w:tc>
          <w:tcPr>
            <w:tcW w:w="2269" w:type="dxa"/>
            <w:noWrap/>
            <w:vAlign w:val="center"/>
          </w:tcPr>
          <w:p w:rsidR="00851B9D" w:rsidRPr="000A5B5D" w:rsidRDefault="00851B9D" w:rsidP="00851B9D">
            <w:pPr>
              <w:widowControl/>
              <w:rPr>
                <w:rFonts w:ascii="宋体" w:cs="宋体"/>
                <w:kern w:val="0"/>
                <w:szCs w:val="21"/>
              </w:rPr>
            </w:pPr>
            <w:r w:rsidRPr="000A5B5D">
              <w:rPr>
                <w:rFonts w:ascii="Arial" w:hAnsi="Arial" w:cs="Arial"/>
                <w:kern w:val="0"/>
              </w:rPr>
              <w:t>2014-10-24</w:t>
            </w:r>
          </w:p>
        </w:tc>
        <w:tc>
          <w:tcPr>
            <w:tcW w:w="2549" w:type="dxa"/>
            <w:noWrap/>
            <w:vAlign w:val="center"/>
          </w:tcPr>
          <w:p w:rsidR="00851B9D" w:rsidRPr="000A5B5D" w:rsidRDefault="00851B9D" w:rsidP="00851B9D">
            <w:pPr>
              <w:widowControl/>
              <w:jc w:val="right"/>
              <w:rPr>
                <w:rFonts w:ascii="宋体" w:cs="宋体"/>
                <w:kern w:val="0"/>
                <w:szCs w:val="21"/>
              </w:rPr>
            </w:pPr>
            <w:r w:rsidRPr="000A5B5D">
              <w:rPr>
                <w:rFonts w:ascii="Arial" w:hAnsi="Arial" w:cs="Arial"/>
                <w:kern w:val="0"/>
              </w:rPr>
              <w:t>3,130,547.77</w:t>
            </w:r>
          </w:p>
        </w:tc>
        <w:tc>
          <w:tcPr>
            <w:tcW w:w="1987" w:type="dxa"/>
            <w:noWrap/>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34.00</w:t>
            </w:r>
          </w:p>
        </w:tc>
        <w:tc>
          <w:tcPr>
            <w:tcW w:w="2445" w:type="dxa"/>
            <w:noWrap/>
            <w:vAlign w:val="center"/>
          </w:tcPr>
          <w:p w:rsidR="00851B9D" w:rsidRPr="000A5B5D" w:rsidRDefault="00851B9D" w:rsidP="00851B9D">
            <w:pPr>
              <w:widowControl/>
              <w:jc w:val="right"/>
              <w:rPr>
                <w:rFonts w:ascii="宋体" w:cs="宋体"/>
                <w:kern w:val="0"/>
                <w:szCs w:val="21"/>
              </w:rPr>
            </w:pPr>
            <w:r w:rsidRPr="000A5B5D">
              <w:rPr>
                <w:rFonts w:ascii="Arial Narrow" w:hAnsi="Arial Narrow" w:hint="eastAsia"/>
              </w:rPr>
              <w:t>投资新设</w:t>
            </w:r>
          </w:p>
        </w:tc>
      </w:tr>
      <w:tr w:rsidR="00851B9D" w:rsidRPr="000A5B5D" w:rsidTr="00851B9D">
        <w:trPr>
          <w:trHeight w:val="397"/>
        </w:trPr>
        <w:tc>
          <w:tcPr>
            <w:tcW w:w="2269" w:type="dxa"/>
            <w:tcBorders>
              <w:bottom w:val="single" w:sz="12" w:space="0" w:color="auto"/>
            </w:tcBorders>
            <w:noWrap/>
            <w:vAlign w:val="center"/>
          </w:tcPr>
          <w:p w:rsidR="00851B9D" w:rsidRPr="000A5B5D" w:rsidRDefault="00851B9D" w:rsidP="00851B9D">
            <w:pPr>
              <w:widowControl/>
              <w:rPr>
                <w:rFonts w:ascii="宋体" w:cs="宋体"/>
                <w:kern w:val="0"/>
                <w:szCs w:val="21"/>
              </w:rPr>
            </w:pPr>
            <w:r w:rsidRPr="000A5B5D">
              <w:rPr>
                <w:rFonts w:ascii="Arial" w:hAnsi="Arial" w:cs="Arial"/>
                <w:kern w:val="0"/>
              </w:rPr>
              <w:t>2015-6-16</w:t>
            </w:r>
          </w:p>
        </w:tc>
        <w:tc>
          <w:tcPr>
            <w:tcW w:w="2549" w:type="dxa"/>
            <w:tcBorders>
              <w:bottom w:val="single" w:sz="12" w:space="0" w:color="auto"/>
            </w:tcBorders>
            <w:noWrap/>
            <w:vAlign w:val="center"/>
          </w:tcPr>
          <w:p w:rsidR="00851B9D" w:rsidRPr="000A5B5D" w:rsidRDefault="00851B9D" w:rsidP="00851B9D">
            <w:pPr>
              <w:widowControl/>
              <w:jc w:val="right"/>
              <w:rPr>
                <w:rFonts w:ascii="宋体" w:cs="宋体"/>
                <w:kern w:val="0"/>
                <w:szCs w:val="21"/>
              </w:rPr>
            </w:pPr>
            <w:r w:rsidRPr="000A5B5D">
              <w:rPr>
                <w:rFonts w:ascii="Arial" w:hAnsi="Arial" w:cs="Arial"/>
                <w:kern w:val="0"/>
              </w:rPr>
              <w:t>1,349,735.30</w:t>
            </w:r>
          </w:p>
        </w:tc>
        <w:tc>
          <w:tcPr>
            <w:tcW w:w="1987" w:type="dxa"/>
            <w:tcBorders>
              <w:bottom w:val="single" w:sz="12" w:space="0" w:color="auto"/>
            </w:tcBorders>
            <w:noWrap/>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17.00</w:t>
            </w:r>
          </w:p>
        </w:tc>
        <w:tc>
          <w:tcPr>
            <w:tcW w:w="2445" w:type="dxa"/>
            <w:tcBorders>
              <w:bottom w:val="single" w:sz="12" w:space="0" w:color="auto"/>
            </w:tcBorders>
            <w:noWrap/>
            <w:vAlign w:val="center"/>
          </w:tcPr>
          <w:p w:rsidR="00851B9D" w:rsidRPr="000A5B5D" w:rsidRDefault="00851B9D" w:rsidP="00851B9D">
            <w:pPr>
              <w:widowControl/>
              <w:jc w:val="right"/>
              <w:rPr>
                <w:rFonts w:ascii="宋体" w:cs="宋体"/>
                <w:kern w:val="0"/>
                <w:szCs w:val="21"/>
              </w:rPr>
            </w:pPr>
            <w:r w:rsidRPr="000A5B5D">
              <w:rPr>
                <w:rFonts w:ascii="Arial Narrow" w:hAnsi="Arial Narrow" w:hint="eastAsia"/>
              </w:rPr>
              <w:t>购买股权</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2</w:t>
      </w:r>
      <w:r w:rsidRPr="000A5B5D">
        <w:rPr>
          <w:rFonts w:ascii="Arial" w:hAnsi="Arial" w:cs="Arial" w:hint="eastAsia"/>
          <w:bCs/>
          <w:sz w:val="24"/>
        </w:rPr>
        <w:t>）合并成本及商誉</w:t>
      </w:r>
    </w:p>
    <w:p w:rsidR="00851B9D" w:rsidRPr="000A5B5D" w:rsidRDefault="00851B9D" w:rsidP="00851B9D">
      <w:pPr>
        <w:adjustRightInd w:val="0"/>
        <w:snapToGrid w:val="0"/>
        <w:spacing w:line="400" w:lineRule="exact"/>
        <w:ind w:firstLineChars="200" w:firstLine="480"/>
        <w:jc w:val="left"/>
        <w:rPr>
          <w:rFonts w:ascii="Arial" w:hAnsi="宋体" w:cs="Arial"/>
          <w:sz w:val="24"/>
          <w:szCs w:val="24"/>
        </w:rPr>
      </w:pPr>
      <w:r w:rsidRPr="000A5B5D">
        <w:rPr>
          <w:rFonts w:ascii="Arial" w:hAnsi="宋体" w:cs="Arial" w:hint="eastAsia"/>
          <w:sz w:val="24"/>
          <w:szCs w:val="24"/>
        </w:rPr>
        <w:t>本公司本报告期购入恒逸日本公司</w:t>
      </w:r>
      <w:r w:rsidRPr="000A5B5D">
        <w:rPr>
          <w:rFonts w:ascii="Arial" w:hAnsi="宋体" w:cs="Arial"/>
          <w:sz w:val="24"/>
          <w:szCs w:val="24"/>
        </w:rPr>
        <w:t>17%</w:t>
      </w:r>
      <w:r w:rsidRPr="000A5B5D">
        <w:rPr>
          <w:rFonts w:ascii="Arial" w:hAnsi="宋体" w:cs="Arial" w:hint="eastAsia"/>
          <w:sz w:val="24"/>
          <w:szCs w:val="24"/>
        </w:rPr>
        <w:t>股权时以其实收资本为基础按股权比例计算确认的价款作为合并对价，本公司以现金支付合并对价。合并成本</w:t>
      </w:r>
      <w:r w:rsidRPr="000A5B5D">
        <w:rPr>
          <w:rFonts w:ascii="Arial" w:hAnsi="宋体" w:cs="Arial"/>
          <w:sz w:val="24"/>
          <w:szCs w:val="24"/>
        </w:rPr>
        <w:t>4,480,283.07</w:t>
      </w:r>
      <w:r w:rsidRPr="000A5B5D">
        <w:rPr>
          <w:rFonts w:ascii="Arial" w:hAnsi="宋体" w:cs="Arial" w:hint="eastAsia"/>
          <w:sz w:val="24"/>
          <w:szCs w:val="24"/>
        </w:rPr>
        <w:t>元大于取得的可辨认净资产公允价值份额</w:t>
      </w:r>
      <w:r w:rsidRPr="000A5B5D">
        <w:rPr>
          <w:rFonts w:ascii="Arial" w:hAnsi="宋体" w:cs="Arial"/>
          <w:sz w:val="24"/>
          <w:szCs w:val="24"/>
        </w:rPr>
        <w:t>4,290,139.77</w:t>
      </w:r>
      <w:r w:rsidRPr="000A5B5D">
        <w:rPr>
          <w:rFonts w:ascii="Arial" w:hAnsi="宋体" w:cs="Arial" w:hint="eastAsia"/>
          <w:sz w:val="24"/>
          <w:szCs w:val="24"/>
        </w:rPr>
        <w:t>元的金额</w:t>
      </w:r>
      <w:r w:rsidRPr="000A5B5D">
        <w:rPr>
          <w:rFonts w:ascii="Arial" w:hAnsi="宋体" w:cs="Arial"/>
          <w:sz w:val="24"/>
          <w:szCs w:val="24"/>
        </w:rPr>
        <w:t>190,143.30</w:t>
      </w:r>
      <w:r w:rsidRPr="000A5B5D">
        <w:rPr>
          <w:rFonts w:ascii="Arial" w:hAnsi="宋体" w:cs="Arial" w:hint="eastAsia"/>
          <w:sz w:val="24"/>
          <w:szCs w:val="24"/>
        </w:rPr>
        <w:t>元，系公司按转让后</w:t>
      </w:r>
      <w:r w:rsidRPr="000A5B5D">
        <w:rPr>
          <w:rFonts w:ascii="Arial" w:hAnsi="宋体" w:cs="Arial"/>
          <w:sz w:val="24"/>
          <w:szCs w:val="24"/>
        </w:rPr>
        <w:t>51%</w:t>
      </w:r>
      <w:r w:rsidRPr="000A5B5D">
        <w:rPr>
          <w:rFonts w:ascii="Arial" w:hAnsi="宋体" w:cs="Arial" w:hint="eastAsia"/>
          <w:sz w:val="24"/>
          <w:szCs w:val="24"/>
        </w:rPr>
        <w:t>的股权比例享有权益份额，而多承担的购买日前恒逸日本公司累计经营亏损导致，不属于商誉。</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3</w:t>
      </w:r>
      <w:r w:rsidRPr="000A5B5D">
        <w:rPr>
          <w:rFonts w:ascii="Arial" w:hAnsi="Arial" w:cs="Arial" w:hint="eastAsia"/>
          <w:bCs/>
          <w:sz w:val="24"/>
        </w:rPr>
        <w:t>）被购买方于购买日可辨认资产、负债</w:t>
      </w:r>
    </w:p>
    <w:tbl>
      <w:tblPr>
        <w:tblW w:w="5000" w:type="pct"/>
        <w:tblBorders>
          <w:top w:val="single" w:sz="12" w:space="0" w:color="auto"/>
          <w:bottom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4378"/>
        <w:gridCol w:w="2627"/>
        <w:gridCol w:w="2633"/>
      </w:tblGrid>
      <w:tr w:rsidR="00851B9D" w:rsidRPr="000A5B5D" w:rsidTr="00851B9D">
        <w:trPr>
          <w:trHeight w:val="397"/>
          <w:tblHeader/>
        </w:trPr>
        <w:tc>
          <w:tcPr>
            <w:tcW w:w="2271" w:type="pct"/>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项</w:t>
            </w:r>
            <w:r w:rsidRPr="000A5B5D">
              <w:rPr>
                <w:rFonts w:ascii="Arial" w:hAnsi="Arial" w:cs="Arial"/>
                <w:kern w:val="0"/>
                <w:szCs w:val="21"/>
              </w:rPr>
              <w:t xml:space="preserve">  </w:t>
            </w:r>
            <w:r w:rsidRPr="000A5B5D">
              <w:rPr>
                <w:rFonts w:ascii="Arial" w:hAnsi="Arial" w:cs="Arial" w:hint="eastAsia"/>
                <w:kern w:val="0"/>
                <w:szCs w:val="21"/>
              </w:rPr>
              <w:t>目</w:t>
            </w:r>
          </w:p>
        </w:tc>
        <w:tc>
          <w:tcPr>
            <w:tcW w:w="2729" w:type="pct"/>
            <w:gridSpan w:val="2"/>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恒逸</w:t>
            </w:r>
            <w:r w:rsidRPr="000A5B5D">
              <w:rPr>
                <w:rFonts w:ascii="Arial" w:hAnsi="Arial" w:cs="Arial"/>
                <w:kern w:val="0"/>
                <w:szCs w:val="21"/>
              </w:rPr>
              <w:t>JAPAN</w:t>
            </w:r>
            <w:r w:rsidRPr="000A5B5D">
              <w:rPr>
                <w:rFonts w:ascii="Arial" w:hAnsi="Arial" w:cs="Arial" w:hint="eastAsia"/>
                <w:kern w:val="0"/>
                <w:szCs w:val="21"/>
              </w:rPr>
              <w:t>株式会社</w:t>
            </w:r>
          </w:p>
        </w:tc>
      </w:tr>
      <w:tr w:rsidR="00851B9D" w:rsidRPr="000A5B5D" w:rsidTr="00851B9D">
        <w:trPr>
          <w:trHeight w:val="397"/>
          <w:tblHeader/>
        </w:trPr>
        <w:tc>
          <w:tcPr>
            <w:tcW w:w="2271" w:type="pct"/>
            <w:vMerge/>
            <w:vAlign w:val="center"/>
          </w:tcPr>
          <w:p w:rsidR="00851B9D" w:rsidRPr="000A5B5D" w:rsidRDefault="00851B9D" w:rsidP="00851B9D">
            <w:pPr>
              <w:widowControl/>
              <w:jc w:val="left"/>
              <w:rPr>
                <w:rFonts w:ascii="Arial" w:hAnsi="Arial" w:cs="Arial"/>
                <w:kern w:val="0"/>
                <w:szCs w:val="21"/>
              </w:rPr>
            </w:pPr>
          </w:p>
        </w:tc>
        <w:tc>
          <w:tcPr>
            <w:tcW w:w="1363" w:type="pct"/>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购买日</w:t>
            </w:r>
          </w:p>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公允价值</w:t>
            </w:r>
          </w:p>
        </w:tc>
        <w:tc>
          <w:tcPr>
            <w:tcW w:w="1366" w:type="pct"/>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购买日</w:t>
            </w:r>
          </w:p>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账面价值</w:t>
            </w:r>
          </w:p>
        </w:tc>
      </w:tr>
      <w:tr w:rsidR="00851B9D" w:rsidRPr="000A5B5D" w:rsidTr="00851B9D">
        <w:trPr>
          <w:trHeight w:val="397"/>
          <w:tblHeader/>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hint="eastAsia"/>
                <w:lang w:val="en-GB"/>
              </w:rPr>
              <w:t>资产：</w:t>
            </w:r>
          </w:p>
        </w:tc>
        <w:tc>
          <w:tcPr>
            <w:tcW w:w="1363" w:type="pct"/>
            <w:vAlign w:val="center"/>
          </w:tcPr>
          <w:p w:rsidR="00851B9D" w:rsidRPr="000A5B5D" w:rsidRDefault="00851B9D" w:rsidP="00851B9D">
            <w:pPr>
              <w:widowControl/>
              <w:jc w:val="center"/>
              <w:rPr>
                <w:rFonts w:ascii="Arial" w:hAnsi="Arial" w:cs="Arial"/>
                <w:kern w:val="0"/>
                <w:szCs w:val="21"/>
              </w:rPr>
            </w:pPr>
          </w:p>
        </w:tc>
        <w:tc>
          <w:tcPr>
            <w:tcW w:w="1366" w:type="pct"/>
            <w:vAlign w:val="center"/>
          </w:tcPr>
          <w:p w:rsidR="00851B9D" w:rsidRPr="000A5B5D" w:rsidRDefault="00851B9D" w:rsidP="00851B9D">
            <w:pPr>
              <w:widowControl/>
              <w:jc w:val="center"/>
              <w:rPr>
                <w:rFonts w:ascii="Arial" w:hAnsi="Arial" w:cs="Arial"/>
                <w:kern w:val="0"/>
                <w:szCs w:val="21"/>
              </w:rPr>
            </w:pP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货币资金</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1,622,384.33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1,622,384.33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应收款项</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7,840,610.04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7,840,610.04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存货</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其他流动资产</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6,164,520.00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6,164,520.00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固定资产</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无形资产</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其他非流动资产</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102,607.66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102,607.66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负债：</w:t>
            </w:r>
          </w:p>
        </w:tc>
        <w:tc>
          <w:tcPr>
            <w:tcW w:w="1363" w:type="pct"/>
            <w:vAlign w:val="center"/>
          </w:tcPr>
          <w:p w:rsidR="00851B9D" w:rsidRPr="000A5B5D" w:rsidRDefault="00851B9D" w:rsidP="00851B9D">
            <w:pPr>
              <w:widowControl/>
              <w:rPr>
                <w:rFonts w:ascii="Arial" w:hAnsi="Arial" w:cs="Arial"/>
                <w:kern w:val="0"/>
                <w:szCs w:val="21"/>
              </w:rPr>
            </w:pPr>
          </w:p>
        </w:tc>
        <w:tc>
          <w:tcPr>
            <w:tcW w:w="1366" w:type="pct"/>
            <w:vAlign w:val="center"/>
          </w:tcPr>
          <w:p w:rsidR="00851B9D" w:rsidRPr="000A5B5D" w:rsidRDefault="00851B9D" w:rsidP="00851B9D">
            <w:pPr>
              <w:widowControl/>
              <w:rPr>
                <w:rFonts w:ascii="Arial" w:hAnsi="Arial" w:cs="Arial"/>
                <w:kern w:val="0"/>
                <w:szCs w:val="21"/>
              </w:rPr>
            </w:pP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借款</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8,665,464.38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8,665,464.38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应付款项</w:t>
            </w:r>
          </w:p>
        </w:tc>
        <w:tc>
          <w:tcPr>
            <w:tcW w:w="1363"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6,571.79 </w:t>
            </w:r>
          </w:p>
        </w:tc>
        <w:tc>
          <w:tcPr>
            <w:tcW w:w="1366" w:type="pct"/>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6,571.79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其他流动负债</w:t>
            </w:r>
          </w:p>
        </w:tc>
        <w:tc>
          <w:tcPr>
            <w:tcW w:w="1363"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12,689.56 </w:t>
            </w:r>
          </w:p>
        </w:tc>
        <w:tc>
          <w:tcPr>
            <w:tcW w:w="1366"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12,689.56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净资产</w:t>
            </w:r>
          </w:p>
        </w:tc>
        <w:tc>
          <w:tcPr>
            <w:tcW w:w="1363"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7,045,396.30 </w:t>
            </w:r>
          </w:p>
        </w:tc>
        <w:tc>
          <w:tcPr>
            <w:tcW w:w="1366"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7,045,396.30 </w:t>
            </w:r>
          </w:p>
        </w:tc>
      </w:tr>
      <w:tr w:rsidR="00851B9D" w:rsidRPr="000A5B5D" w:rsidTr="00851B9D">
        <w:trPr>
          <w:trHeight w:val="397"/>
        </w:trPr>
        <w:tc>
          <w:tcPr>
            <w:tcW w:w="2271" w:type="pct"/>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减：少数股东权益</w:t>
            </w:r>
          </w:p>
        </w:tc>
        <w:tc>
          <w:tcPr>
            <w:tcW w:w="1363"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0.00 </w:t>
            </w:r>
          </w:p>
        </w:tc>
        <w:tc>
          <w:tcPr>
            <w:tcW w:w="1366" w:type="pct"/>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0.00 </w:t>
            </w:r>
          </w:p>
        </w:tc>
      </w:tr>
      <w:tr w:rsidR="00851B9D" w:rsidRPr="000A5B5D" w:rsidTr="00851B9D">
        <w:trPr>
          <w:trHeight w:val="397"/>
        </w:trPr>
        <w:tc>
          <w:tcPr>
            <w:tcW w:w="2271" w:type="pct"/>
            <w:tcBorders>
              <w:bottom w:val="single" w:sz="12" w:space="0" w:color="auto"/>
            </w:tcBorders>
            <w:vAlign w:val="center"/>
          </w:tcPr>
          <w:p w:rsidR="00851B9D" w:rsidRPr="000A5B5D" w:rsidRDefault="00851B9D" w:rsidP="00851B9D">
            <w:pPr>
              <w:widowControl/>
              <w:jc w:val="left"/>
              <w:rPr>
                <w:rFonts w:ascii="Arial" w:hAnsi="Arial" w:cs="Arial"/>
                <w:kern w:val="0"/>
                <w:szCs w:val="21"/>
              </w:rPr>
            </w:pPr>
            <w:r w:rsidRPr="000A5B5D">
              <w:rPr>
                <w:rFonts w:ascii="Arial" w:hAnsi="Arial" w:cs="Arial" w:hint="eastAsia"/>
                <w:kern w:val="0"/>
                <w:szCs w:val="21"/>
              </w:rPr>
              <w:t>取得的净资产</w:t>
            </w:r>
          </w:p>
        </w:tc>
        <w:tc>
          <w:tcPr>
            <w:tcW w:w="1363" w:type="pct"/>
            <w:tcBorders>
              <w:bottom w:val="single" w:sz="12" w:space="0" w:color="auto"/>
            </w:tcBorders>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4,290,139.77 </w:t>
            </w:r>
          </w:p>
        </w:tc>
        <w:tc>
          <w:tcPr>
            <w:tcW w:w="1366" w:type="pct"/>
            <w:tcBorders>
              <w:bottom w:val="single" w:sz="12" w:space="0" w:color="auto"/>
            </w:tcBorders>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4,290,139.77 </w:t>
            </w:r>
          </w:p>
        </w:tc>
      </w:tr>
    </w:tbl>
    <w:p w:rsidR="00851B9D" w:rsidRPr="000A5B5D" w:rsidRDefault="00851B9D" w:rsidP="00851B9D">
      <w:pPr>
        <w:spacing w:line="400" w:lineRule="exact"/>
        <w:ind w:firstLineChars="200" w:firstLine="480"/>
        <w:jc w:val="left"/>
        <w:rPr>
          <w:rFonts w:ascii="Arial" w:hAnsi="Arial" w:cs="Arial"/>
          <w:bCs/>
          <w:sz w:val="24"/>
        </w:rPr>
      </w:pPr>
    </w:p>
    <w:p w:rsidR="00851B9D" w:rsidRPr="000A5B5D" w:rsidRDefault="00851B9D" w:rsidP="00851B9D">
      <w:pPr>
        <w:spacing w:line="400" w:lineRule="exact"/>
        <w:ind w:firstLineChars="200" w:firstLine="480"/>
        <w:jc w:val="left"/>
        <w:rPr>
          <w:rFonts w:ascii="Arial" w:hAnsi="Arial" w:cs="Arial"/>
          <w:sz w:val="24"/>
          <w:szCs w:val="24"/>
        </w:rPr>
      </w:pPr>
      <w:r w:rsidRPr="000A5B5D">
        <w:rPr>
          <w:rFonts w:ascii="Arial" w:hAnsi="Arial" w:cs="Arial" w:hint="eastAsia"/>
          <w:bCs/>
          <w:sz w:val="24"/>
        </w:rPr>
        <w:t>注：鉴于于购买日恒逸日本公司可辨认资产主要为货币资金、应收款项等流动资产，负债主要为应付款款项等流动负债，被合并净资产公允价值与其账面价值相当，故其可辨认资产、负债公允价值按照购买日被购买方的账面价值确定。</w:t>
      </w:r>
    </w:p>
    <w:p w:rsidR="00851B9D" w:rsidRPr="000A5B5D" w:rsidRDefault="00851B9D" w:rsidP="00851B9D">
      <w:pPr>
        <w:spacing w:line="400" w:lineRule="exact"/>
        <w:ind w:firstLineChars="200" w:firstLine="482"/>
        <w:outlineLvl w:val="1"/>
        <w:rPr>
          <w:rFonts w:ascii="Arial" w:hAnsi="Arial" w:cs="Arial"/>
          <w:bCs/>
          <w:sz w:val="24"/>
        </w:rPr>
      </w:pPr>
      <w:r w:rsidRPr="000A5B5D">
        <w:rPr>
          <w:rFonts w:ascii="Arial" w:hAnsi="Arial" w:cs="Arial"/>
          <w:b/>
          <w:bCs/>
          <w:sz w:val="24"/>
        </w:rPr>
        <w:t>2</w:t>
      </w:r>
      <w:r w:rsidRPr="000A5B5D">
        <w:rPr>
          <w:rFonts w:ascii="Arial" w:hAnsi="Arial" w:cs="Arial" w:hint="eastAsia"/>
          <w:b/>
          <w:bCs/>
          <w:sz w:val="24"/>
        </w:rPr>
        <w:t>、其他原因的合并范围变动</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lastRenderedPageBreak/>
        <w:t>浙江逸盛公司于</w:t>
      </w:r>
      <w:r w:rsidRPr="000A5B5D">
        <w:rPr>
          <w:rFonts w:ascii="Arial" w:hAnsi="Arial" w:cs="Arial"/>
          <w:bCs/>
          <w:sz w:val="24"/>
        </w:rPr>
        <w:t xml:space="preserve"> 2015 </w:t>
      </w:r>
      <w:r w:rsidRPr="000A5B5D">
        <w:rPr>
          <w:rFonts w:ascii="Arial" w:hAnsi="Arial" w:cs="Arial" w:hint="eastAsia"/>
          <w:bCs/>
          <w:sz w:val="24"/>
        </w:rPr>
        <w:t>年出资</w:t>
      </w:r>
      <w:r w:rsidRPr="000A5B5D">
        <w:rPr>
          <w:rFonts w:ascii="Arial" w:hAnsi="Arial" w:cs="Arial"/>
          <w:bCs/>
          <w:sz w:val="24"/>
        </w:rPr>
        <w:t>500</w:t>
      </w:r>
      <w:r w:rsidRPr="000A5B5D">
        <w:rPr>
          <w:rFonts w:ascii="Arial" w:hAnsi="Arial" w:cs="Arial" w:hint="eastAsia"/>
          <w:bCs/>
          <w:sz w:val="24"/>
        </w:rPr>
        <w:t>万美元在香港设立了全资子公司香港逸盛石化投资有限公司，故本年度合并范围增加了该公司。</w:t>
      </w:r>
    </w:p>
    <w:p w:rsidR="00851B9D" w:rsidRPr="000A5B5D" w:rsidRDefault="00851B9D" w:rsidP="00851B9D">
      <w:pPr>
        <w:spacing w:line="400" w:lineRule="exact"/>
        <w:rPr>
          <w:rFonts w:ascii="Arial" w:hAnsi="Arial" w:cs="Arial"/>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在其他主体中的权益</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w:t>
      </w:r>
      <w:r w:rsidRPr="000A5B5D">
        <w:rPr>
          <w:rFonts w:ascii="Arial" w:hAnsi="Arial" w:cs="Arial" w:hint="eastAsia"/>
          <w:b/>
          <w:bCs/>
          <w:sz w:val="24"/>
        </w:rPr>
        <w:t>、在子公司中的权益</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）企业集团的构成</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580"/>
        <w:gridCol w:w="850"/>
        <w:gridCol w:w="851"/>
        <w:gridCol w:w="1276"/>
        <w:gridCol w:w="756"/>
        <w:gridCol w:w="803"/>
        <w:gridCol w:w="1984"/>
      </w:tblGrid>
      <w:tr w:rsidR="00851B9D" w:rsidRPr="000A5B5D" w:rsidTr="00851B9D">
        <w:trPr>
          <w:trHeight w:val="397"/>
          <w:tblHeader/>
        </w:trPr>
        <w:tc>
          <w:tcPr>
            <w:tcW w:w="2580"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子公司名称</w:t>
            </w:r>
          </w:p>
        </w:tc>
        <w:tc>
          <w:tcPr>
            <w:tcW w:w="850"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主要经营地</w:t>
            </w:r>
          </w:p>
        </w:tc>
        <w:tc>
          <w:tcPr>
            <w:tcW w:w="851"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注册地</w:t>
            </w:r>
          </w:p>
        </w:tc>
        <w:tc>
          <w:tcPr>
            <w:tcW w:w="1276"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业务性质</w:t>
            </w:r>
          </w:p>
        </w:tc>
        <w:tc>
          <w:tcPr>
            <w:tcW w:w="1559" w:type="dxa"/>
            <w:gridSpan w:val="2"/>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持股比例</w:t>
            </w:r>
            <w:r w:rsidRPr="000A5B5D">
              <w:rPr>
                <w:rFonts w:ascii="Arial" w:hAnsi="Arial" w:cs="Arial"/>
                <w:kern w:val="0"/>
              </w:rPr>
              <w:t>(%)</w:t>
            </w:r>
          </w:p>
        </w:tc>
        <w:tc>
          <w:tcPr>
            <w:tcW w:w="1984"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取得方式</w:t>
            </w:r>
          </w:p>
        </w:tc>
      </w:tr>
      <w:tr w:rsidR="00851B9D" w:rsidRPr="000A5B5D" w:rsidTr="00851B9D">
        <w:trPr>
          <w:trHeight w:val="397"/>
          <w:tblHeader/>
        </w:trPr>
        <w:tc>
          <w:tcPr>
            <w:tcW w:w="2580" w:type="dxa"/>
            <w:vMerge/>
            <w:vAlign w:val="center"/>
          </w:tcPr>
          <w:p w:rsidR="00851B9D" w:rsidRPr="000A5B5D" w:rsidRDefault="00851B9D" w:rsidP="00851B9D">
            <w:pPr>
              <w:widowControl/>
              <w:jc w:val="left"/>
              <w:rPr>
                <w:rFonts w:ascii="Arial" w:hAnsi="Arial" w:cs="Arial"/>
                <w:kern w:val="0"/>
              </w:rPr>
            </w:pPr>
          </w:p>
        </w:tc>
        <w:tc>
          <w:tcPr>
            <w:tcW w:w="850" w:type="dxa"/>
            <w:vMerge/>
            <w:vAlign w:val="center"/>
          </w:tcPr>
          <w:p w:rsidR="00851B9D" w:rsidRPr="000A5B5D" w:rsidRDefault="00851B9D" w:rsidP="00851B9D">
            <w:pPr>
              <w:widowControl/>
              <w:rPr>
                <w:rFonts w:ascii="Arial" w:hAnsi="Arial" w:cs="Arial"/>
                <w:kern w:val="0"/>
              </w:rPr>
            </w:pPr>
          </w:p>
        </w:tc>
        <w:tc>
          <w:tcPr>
            <w:tcW w:w="851" w:type="dxa"/>
            <w:vMerge/>
            <w:vAlign w:val="center"/>
          </w:tcPr>
          <w:p w:rsidR="00851B9D" w:rsidRPr="000A5B5D" w:rsidRDefault="00851B9D" w:rsidP="00851B9D">
            <w:pPr>
              <w:widowControl/>
              <w:rPr>
                <w:rFonts w:ascii="Arial" w:hAnsi="Arial" w:cs="Arial"/>
                <w:kern w:val="0"/>
              </w:rPr>
            </w:pPr>
          </w:p>
        </w:tc>
        <w:tc>
          <w:tcPr>
            <w:tcW w:w="1276" w:type="dxa"/>
            <w:vMerge/>
            <w:vAlign w:val="center"/>
          </w:tcPr>
          <w:p w:rsidR="00851B9D" w:rsidRPr="000A5B5D" w:rsidRDefault="00851B9D" w:rsidP="00851B9D">
            <w:pPr>
              <w:widowControl/>
              <w:rPr>
                <w:rFonts w:ascii="Arial" w:hAnsi="Arial" w:cs="Arial"/>
                <w:kern w:val="0"/>
              </w:rPr>
            </w:pPr>
          </w:p>
        </w:tc>
        <w:tc>
          <w:tcPr>
            <w:tcW w:w="756"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直接</w:t>
            </w:r>
          </w:p>
        </w:tc>
        <w:tc>
          <w:tcPr>
            <w:tcW w:w="803"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间接</w:t>
            </w:r>
          </w:p>
        </w:tc>
        <w:tc>
          <w:tcPr>
            <w:tcW w:w="1984" w:type="dxa"/>
            <w:vMerge/>
            <w:vAlign w:val="center"/>
          </w:tcPr>
          <w:p w:rsidR="00851B9D" w:rsidRPr="000A5B5D" w:rsidRDefault="00851B9D" w:rsidP="00851B9D">
            <w:pPr>
              <w:widowControl/>
              <w:rPr>
                <w:rFonts w:ascii="Arial" w:hAnsi="Arial" w:cs="Arial"/>
                <w:kern w:val="0"/>
              </w:rPr>
            </w:pP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浙江恒逸石化有限公司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化纤产品制造</w:t>
            </w:r>
          </w:p>
        </w:tc>
        <w:tc>
          <w:tcPr>
            <w:tcW w:w="756"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上海恒逸聚酯纤维有限公司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上海</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上海</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化纤产品制造</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浙江恒逸高新材料有限公司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化纤产品制造</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香港天逸国际控股有限公司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香港</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香港</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贸易、投资</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佳栢国际投资有限公司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香港</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香港</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贸易、投资</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宁波恒逸贸易有限公司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商贸业</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rPr>
            </w:pPr>
            <w:r w:rsidRPr="000A5B5D">
              <w:rPr>
                <w:rFonts w:ascii="Arial" w:hAnsi="Arial" w:cs="Arial"/>
              </w:rPr>
              <w:t>70.00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宁波恒逸实业有限公司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商贸业</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恒逸石化国际有限公司（新加坡）</w:t>
            </w:r>
          </w:p>
        </w:tc>
        <w:tc>
          <w:tcPr>
            <w:tcW w:w="850"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新加坡</w:t>
            </w:r>
          </w:p>
        </w:tc>
        <w:tc>
          <w:tcPr>
            <w:tcW w:w="85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新加坡</w:t>
            </w:r>
          </w:p>
        </w:tc>
        <w:tc>
          <w:tcPr>
            <w:tcW w:w="1276"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rPr>
              <w:t>商贸业</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100.00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上海逸通国际贸易有限公司</w:t>
            </w:r>
          </w:p>
        </w:tc>
        <w:tc>
          <w:tcPr>
            <w:tcW w:w="850"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上海</w:t>
            </w:r>
          </w:p>
        </w:tc>
        <w:tc>
          <w:tcPr>
            <w:tcW w:w="85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上海</w:t>
            </w:r>
          </w:p>
        </w:tc>
        <w:tc>
          <w:tcPr>
            <w:tcW w:w="1276" w:type="dxa"/>
            <w:vAlign w:val="center"/>
          </w:tcPr>
          <w:p w:rsidR="00851B9D" w:rsidRPr="000A5B5D" w:rsidRDefault="00851B9D" w:rsidP="00851B9D">
            <w:pPr>
              <w:widowControl/>
              <w:jc w:val="right"/>
              <w:rPr>
                <w:rFonts w:ascii="Arial" w:hAnsi="Arial" w:cs="Arial"/>
              </w:rPr>
            </w:pPr>
            <w:r w:rsidRPr="000A5B5D">
              <w:rPr>
                <w:rFonts w:ascii="Arial" w:hAnsi="Arial" w:cs="Arial" w:hint="eastAsia"/>
              </w:rPr>
              <w:t>进出口、贸易</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100.00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kern w:val="0"/>
              </w:rPr>
            </w:pPr>
            <w:r w:rsidRPr="000A5B5D">
              <w:rPr>
                <w:rFonts w:ascii="Arial" w:hAnsi="Arial" w:cs="Arial" w:hint="eastAsia"/>
                <w:bCs/>
                <w:kern w:val="0"/>
              </w:rPr>
              <w:t>香港逸盛石化投资有限公司</w:t>
            </w:r>
          </w:p>
        </w:tc>
        <w:tc>
          <w:tcPr>
            <w:tcW w:w="850"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香港</w:t>
            </w:r>
          </w:p>
        </w:tc>
        <w:tc>
          <w:tcPr>
            <w:tcW w:w="85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香港</w:t>
            </w:r>
          </w:p>
        </w:tc>
        <w:tc>
          <w:tcPr>
            <w:tcW w:w="1276" w:type="dxa"/>
            <w:vAlign w:val="center"/>
          </w:tcPr>
          <w:p w:rsidR="00851B9D" w:rsidRPr="000A5B5D" w:rsidRDefault="00851B9D" w:rsidP="00851B9D">
            <w:pPr>
              <w:widowControl/>
              <w:jc w:val="right"/>
              <w:rPr>
                <w:rFonts w:ascii="Arial" w:hAnsi="Arial" w:cs="Arial"/>
              </w:rPr>
            </w:pPr>
            <w:r w:rsidRPr="000A5B5D">
              <w:rPr>
                <w:rFonts w:ascii="Arial" w:hAnsi="Arial" w:cs="Arial" w:hint="eastAsia"/>
              </w:rPr>
              <w:t>贸易、咨询</w:t>
            </w:r>
          </w:p>
        </w:tc>
        <w:tc>
          <w:tcPr>
            <w:tcW w:w="756" w:type="dxa"/>
            <w:vAlign w:val="center"/>
          </w:tcPr>
          <w:p w:rsidR="00851B9D" w:rsidRPr="000A5B5D" w:rsidRDefault="00851B9D" w:rsidP="00851B9D">
            <w:pPr>
              <w:jc w:val="right"/>
              <w:rPr>
                <w:rFonts w:ascii="Arial" w:hAnsi="Arial" w:cs="Arial"/>
                <w:kern w:val="0"/>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70.00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设立或投资</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福建恒逸化工有限公司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福建</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福建</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工业设施制造</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100.00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同一控制企业合并</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浙江恒逸聚合物有限公司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萧山</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化纤产品制造</w:t>
            </w:r>
          </w:p>
        </w:tc>
        <w:tc>
          <w:tcPr>
            <w:tcW w:w="756" w:type="dxa"/>
            <w:vAlign w:val="center"/>
          </w:tcPr>
          <w:p w:rsidR="00851B9D" w:rsidRPr="000A5B5D" w:rsidRDefault="00851B9D" w:rsidP="00851B9D">
            <w:pPr>
              <w:jc w:val="right"/>
              <w:rPr>
                <w:rFonts w:ascii="Arial" w:hAnsi="Arial" w:cs="Arial"/>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60.00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同一控制企业合并</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浙江逸盛石化有限公司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石化产品制造</w:t>
            </w:r>
          </w:p>
        </w:tc>
        <w:tc>
          <w:tcPr>
            <w:tcW w:w="756" w:type="dxa"/>
            <w:vAlign w:val="center"/>
          </w:tcPr>
          <w:p w:rsidR="00851B9D" w:rsidRPr="000A5B5D" w:rsidRDefault="00851B9D" w:rsidP="00851B9D">
            <w:pPr>
              <w:widowControl/>
              <w:jc w:val="right"/>
              <w:rPr>
                <w:rFonts w:ascii="Arial" w:hAnsi="Arial" w:cs="Arial"/>
                <w:b/>
                <w:kern w:val="0"/>
              </w:rPr>
            </w:pPr>
            <w:r w:rsidRPr="000A5B5D">
              <w:rPr>
                <w:rFonts w:ascii="Arial" w:hAnsi="Arial" w:cs="Arial"/>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70.00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同一控制企业合并</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恒逸实业（文莱）有限公司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文莱</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文莱</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石化产品制造</w:t>
            </w:r>
          </w:p>
        </w:tc>
        <w:tc>
          <w:tcPr>
            <w:tcW w:w="75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70.00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同一控制企业合并</w:t>
            </w:r>
          </w:p>
        </w:tc>
      </w:tr>
      <w:tr w:rsidR="00851B9D" w:rsidRPr="000A5B5D" w:rsidTr="00851B9D">
        <w:trPr>
          <w:trHeight w:val="397"/>
        </w:trPr>
        <w:tc>
          <w:tcPr>
            <w:tcW w:w="2580"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宁波恒逸工程管理有限公司</w:t>
            </w:r>
          </w:p>
        </w:tc>
        <w:tc>
          <w:tcPr>
            <w:tcW w:w="850"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851"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宁波</w:t>
            </w:r>
          </w:p>
        </w:tc>
        <w:tc>
          <w:tcPr>
            <w:tcW w:w="1276" w:type="dxa"/>
            <w:vAlign w:val="center"/>
          </w:tcPr>
          <w:p w:rsidR="00851B9D" w:rsidRPr="000A5B5D" w:rsidRDefault="00851B9D" w:rsidP="00851B9D">
            <w:pPr>
              <w:widowControl/>
              <w:jc w:val="right"/>
              <w:rPr>
                <w:rFonts w:ascii="Arial" w:hAnsi="Arial" w:cs="Arial"/>
                <w:b/>
                <w:kern w:val="0"/>
              </w:rPr>
            </w:pPr>
            <w:r w:rsidRPr="000A5B5D">
              <w:rPr>
                <w:rFonts w:ascii="Arial" w:hAnsi="Arial" w:cs="Arial" w:hint="eastAsia"/>
              </w:rPr>
              <w:t>工程管理</w:t>
            </w:r>
          </w:p>
        </w:tc>
        <w:tc>
          <w:tcPr>
            <w:tcW w:w="75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03"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70.00</w:t>
            </w:r>
          </w:p>
        </w:tc>
        <w:tc>
          <w:tcPr>
            <w:tcW w:w="1984" w:type="dxa"/>
            <w:vAlign w:val="center"/>
          </w:tcPr>
          <w:p w:rsidR="00851B9D" w:rsidRPr="000A5B5D" w:rsidRDefault="00851B9D" w:rsidP="00851B9D">
            <w:pPr>
              <w:jc w:val="right"/>
              <w:rPr>
                <w:rFonts w:ascii="Arial" w:hAnsi="Arial" w:cs="Arial"/>
              </w:rPr>
            </w:pPr>
            <w:r w:rsidRPr="000A5B5D">
              <w:rPr>
                <w:rFonts w:ascii="Arial" w:hAnsi="Arial" w:cs="Arial" w:hint="eastAsia"/>
                <w:kern w:val="0"/>
              </w:rPr>
              <w:t>同一控制企业合并</w:t>
            </w:r>
          </w:p>
        </w:tc>
      </w:tr>
      <w:tr w:rsidR="00851B9D" w:rsidRPr="000A5B5D" w:rsidTr="00851B9D">
        <w:trPr>
          <w:trHeight w:val="397"/>
        </w:trPr>
        <w:tc>
          <w:tcPr>
            <w:tcW w:w="2580" w:type="dxa"/>
            <w:tcBorders>
              <w:bottom w:val="single" w:sz="12" w:space="0" w:color="auto"/>
            </w:tcBorders>
            <w:vAlign w:val="center"/>
          </w:tcPr>
          <w:p w:rsidR="00851B9D" w:rsidRPr="000A5B5D" w:rsidRDefault="00851B9D" w:rsidP="00851B9D">
            <w:pPr>
              <w:widowControl/>
              <w:rPr>
                <w:rFonts w:ascii="Arial" w:hAnsi="Arial" w:cs="Arial"/>
              </w:rPr>
            </w:pPr>
            <w:r w:rsidRPr="000A5B5D">
              <w:rPr>
                <w:rFonts w:ascii="Arial" w:hAnsi="Arial" w:cs="Arial" w:hint="eastAsia"/>
                <w:bCs/>
              </w:rPr>
              <w:t>恒逸</w:t>
            </w:r>
            <w:r w:rsidRPr="000A5B5D">
              <w:rPr>
                <w:rFonts w:ascii="Arial" w:hAnsi="Arial" w:cs="Arial"/>
                <w:bCs/>
              </w:rPr>
              <w:t>JAPAN</w:t>
            </w:r>
            <w:r w:rsidRPr="000A5B5D">
              <w:rPr>
                <w:rFonts w:ascii="Arial" w:hAnsi="Arial" w:cs="Arial" w:hint="eastAsia"/>
                <w:bCs/>
              </w:rPr>
              <w:t>株式会社</w:t>
            </w:r>
          </w:p>
        </w:tc>
        <w:tc>
          <w:tcPr>
            <w:tcW w:w="850" w:type="dxa"/>
            <w:tcBorders>
              <w:bottom w:val="single" w:sz="12" w:space="0" w:color="auto"/>
            </w:tcBorders>
            <w:vAlign w:val="center"/>
          </w:tcPr>
          <w:p w:rsidR="00851B9D" w:rsidRPr="000A5B5D" w:rsidRDefault="00851B9D" w:rsidP="00851B9D">
            <w:pPr>
              <w:widowControl/>
              <w:jc w:val="right"/>
              <w:rPr>
                <w:rFonts w:ascii="Arial" w:hAnsi="Arial" w:cs="Arial"/>
              </w:rPr>
            </w:pPr>
            <w:r w:rsidRPr="000A5B5D">
              <w:rPr>
                <w:rFonts w:ascii="Arial" w:hAnsi="Arial" w:cs="Arial" w:hint="eastAsia"/>
              </w:rPr>
              <w:t>东京</w:t>
            </w:r>
          </w:p>
        </w:tc>
        <w:tc>
          <w:tcPr>
            <w:tcW w:w="851" w:type="dxa"/>
            <w:tcBorders>
              <w:bottom w:val="single" w:sz="12" w:space="0" w:color="auto"/>
            </w:tcBorders>
            <w:vAlign w:val="center"/>
          </w:tcPr>
          <w:p w:rsidR="00851B9D" w:rsidRPr="000A5B5D" w:rsidRDefault="00851B9D" w:rsidP="00851B9D">
            <w:pPr>
              <w:widowControl/>
              <w:jc w:val="right"/>
              <w:rPr>
                <w:rFonts w:ascii="Arial" w:hAnsi="Arial" w:cs="Arial"/>
              </w:rPr>
            </w:pPr>
            <w:r w:rsidRPr="000A5B5D">
              <w:rPr>
                <w:rFonts w:ascii="Arial" w:hAnsi="Arial" w:cs="Arial" w:hint="eastAsia"/>
              </w:rPr>
              <w:t>东京</w:t>
            </w:r>
          </w:p>
        </w:tc>
        <w:tc>
          <w:tcPr>
            <w:tcW w:w="1276" w:type="dxa"/>
            <w:tcBorders>
              <w:bottom w:val="single" w:sz="12" w:space="0" w:color="auto"/>
            </w:tcBorders>
            <w:vAlign w:val="center"/>
          </w:tcPr>
          <w:p w:rsidR="00851B9D" w:rsidRPr="000A5B5D" w:rsidRDefault="00851B9D" w:rsidP="00851B9D">
            <w:pPr>
              <w:widowControl/>
              <w:jc w:val="right"/>
              <w:rPr>
                <w:rFonts w:ascii="Arial" w:hAnsi="Arial" w:cs="Arial"/>
              </w:rPr>
            </w:pPr>
            <w:r w:rsidRPr="000A5B5D">
              <w:rPr>
                <w:rFonts w:ascii="Arial" w:hAnsi="Arial" w:cs="Arial" w:hint="eastAsia"/>
              </w:rPr>
              <w:t>贸易、投资</w:t>
            </w:r>
          </w:p>
        </w:tc>
        <w:tc>
          <w:tcPr>
            <w:tcW w:w="756"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03"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51.00</w:t>
            </w:r>
          </w:p>
        </w:tc>
        <w:tc>
          <w:tcPr>
            <w:tcW w:w="1984" w:type="dxa"/>
            <w:tcBorders>
              <w:bottom w:val="single" w:sz="12" w:space="0" w:color="auto"/>
            </w:tcBorders>
            <w:vAlign w:val="center"/>
          </w:tcPr>
          <w:p w:rsidR="00851B9D" w:rsidRPr="000A5B5D" w:rsidRDefault="00851B9D" w:rsidP="00851B9D">
            <w:pPr>
              <w:jc w:val="right"/>
              <w:rPr>
                <w:rFonts w:ascii="Arial" w:hAnsi="Arial" w:cs="Arial"/>
                <w:kern w:val="0"/>
              </w:rPr>
            </w:pPr>
            <w:r w:rsidRPr="000A5B5D">
              <w:rPr>
                <w:rFonts w:ascii="Arial" w:hAnsi="Arial" w:cs="Arial" w:hint="eastAsia"/>
                <w:kern w:val="0"/>
              </w:rPr>
              <w:t>非同一控制下企业合并</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2</w:t>
      </w:r>
      <w:r w:rsidRPr="000A5B5D">
        <w:rPr>
          <w:rFonts w:ascii="Arial" w:hAnsi="Arial" w:cs="Arial" w:hint="eastAsia"/>
          <w:bCs/>
          <w:sz w:val="24"/>
        </w:rPr>
        <w:t>）重要的非全资子公司</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086"/>
        <w:gridCol w:w="1486"/>
        <w:gridCol w:w="1985"/>
        <w:gridCol w:w="1559"/>
        <w:gridCol w:w="1984"/>
      </w:tblGrid>
      <w:tr w:rsidR="00851B9D" w:rsidRPr="000A5B5D" w:rsidTr="00851B9D">
        <w:trPr>
          <w:trHeight w:val="397"/>
          <w:tblHeader/>
        </w:trPr>
        <w:tc>
          <w:tcPr>
            <w:tcW w:w="2086"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子公司名称</w:t>
            </w:r>
          </w:p>
        </w:tc>
        <w:tc>
          <w:tcPr>
            <w:tcW w:w="1486"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少数股东的</w:t>
            </w:r>
          </w:p>
          <w:p w:rsidR="00851B9D" w:rsidRPr="000A5B5D" w:rsidRDefault="00851B9D" w:rsidP="00851B9D">
            <w:pPr>
              <w:widowControl/>
              <w:jc w:val="center"/>
              <w:rPr>
                <w:rFonts w:ascii="Arial" w:hAnsi="Arial" w:cs="Arial"/>
                <w:kern w:val="0"/>
              </w:rPr>
            </w:pPr>
            <w:r w:rsidRPr="000A5B5D">
              <w:rPr>
                <w:rFonts w:ascii="Arial" w:hAnsi="Arial" w:cs="Arial" w:hint="eastAsia"/>
                <w:kern w:val="0"/>
              </w:rPr>
              <w:t>持股比例</w:t>
            </w:r>
            <w:r w:rsidRPr="000A5B5D">
              <w:rPr>
                <w:rFonts w:ascii="Arial" w:hAnsi="Arial" w:cs="Arial"/>
                <w:kern w:val="0"/>
              </w:rPr>
              <w:t>(%)</w:t>
            </w:r>
          </w:p>
        </w:tc>
        <w:tc>
          <w:tcPr>
            <w:tcW w:w="1985"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本年归属于少数股东的损益</w:t>
            </w:r>
          </w:p>
        </w:tc>
        <w:tc>
          <w:tcPr>
            <w:tcW w:w="1559"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本年向少数股东分派的股利</w:t>
            </w:r>
          </w:p>
        </w:tc>
        <w:tc>
          <w:tcPr>
            <w:tcW w:w="1984" w:type="dxa"/>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年末少数股东权益</w:t>
            </w:r>
          </w:p>
          <w:p w:rsidR="00851B9D" w:rsidRPr="000A5B5D" w:rsidRDefault="00851B9D" w:rsidP="00851B9D">
            <w:pPr>
              <w:widowControl/>
              <w:jc w:val="center"/>
              <w:rPr>
                <w:rFonts w:ascii="Arial" w:hAnsi="Arial" w:cs="Arial"/>
                <w:kern w:val="0"/>
              </w:rPr>
            </w:pPr>
            <w:r w:rsidRPr="000A5B5D">
              <w:rPr>
                <w:rFonts w:ascii="Arial" w:hAnsi="Arial" w:cs="Arial" w:hint="eastAsia"/>
                <w:kern w:val="0"/>
              </w:rPr>
              <w:t>余额</w:t>
            </w:r>
          </w:p>
        </w:tc>
      </w:tr>
      <w:tr w:rsidR="00851B9D" w:rsidRPr="000A5B5D" w:rsidTr="00851B9D">
        <w:trPr>
          <w:trHeight w:val="397"/>
        </w:trPr>
        <w:tc>
          <w:tcPr>
            <w:tcW w:w="2086"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宁波恒逸贸易有限公司</w:t>
            </w:r>
          </w:p>
        </w:tc>
        <w:tc>
          <w:tcPr>
            <w:tcW w:w="148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30.00</w:t>
            </w:r>
          </w:p>
        </w:tc>
        <w:tc>
          <w:tcPr>
            <w:tcW w:w="1985"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-32,428,156.47</w:t>
            </w:r>
          </w:p>
        </w:tc>
        <w:tc>
          <w:tcPr>
            <w:tcW w:w="1559"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49,395,490.53</w:t>
            </w:r>
          </w:p>
        </w:tc>
      </w:tr>
      <w:tr w:rsidR="00851B9D" w:rsidRPr="000A5B5D" w:rsidTr="00851B9D">
        <w:trPr>
          <w:trHeight w:val="397"/>
        </w:trPr>
        <w:tc>
          <w:tcPr>
            <w:tcW w:w="2086"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浙江恒逸聚合物有限公司</w:t>
            </w:r>
          </w:p>
        </w:tc>
        <w:tc>
          <w:tcPr>
            <w:tcW w:w="148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40.00</w:t>
            </w:r>
          </w:p>
        </w:tc>
        <w:tc>
          <w:tcPr>
            <w:tcW w:w="1985"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-10,479,898.91</w:t>
            </w:r>
          </w:p>
        </w:tc>
        <w:tc>
          <w:tcPr>
            <w:tcW w:w="1559"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1984"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233,413,912.64</w:t>
            </w:r>
          </w:p>
        </w:tc>
      </w:tr>
      <w:tr w:rsidR="00851B9D" w:rsidRPr="000A5B5D" w:rsidTr="00851B9D">
        <w:trPr>
          <w:trHeight w:val="397"/>
        </w:trPr>
        <w:tc>
          <w:tcPr>
            <w:tcW w:w="2086" w:type="dxa"/>
            <w:tcBorders>
              <w:bottom w:val="single" w:sz="12" w:space="0" w:color="auto"/>
            </w:tcBorders>
            <w:vAlign w:val="center"/>
          </w:tcPr>
          <w:p w:rsidR="00851B9D" w:rsidRPr="000A5B5D" w:rsidRDefault="00851B9D" w:rsidP="00851B9D">
            <w:pPr>
              <w:widowControl/>
              <w:rPr>
                <w:rFonts w:ascii="Arial" w:hAnsi="Arial" w:cs="Arial"/>
              </w:rPr>
            </w:pPr>
            <w:r w:rsidRPr="000A5B5D">
              <w:rPr>
                <w:rFonts w:ascii="Arial" w:hAnsi="Arial" w:cs="Arial" w:hint="eastAsia"/>
              </w:rPr>
              <w:t>浙江逸盛石化有限公司</w:t>
            </w:r>
          </w:p>
        </w:tc>
        <w:tc>
          <w:tcPr>
            <w:tcW w:w="1486"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30.00</w:t>
            </w:r>
          </w:p>
        </w:tc>
        <w:tc>
          <w:tcPr>
            <w:tcW w:w="1985"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26,770,206.27</w:t>
            </w:r>
          </w:p>
        </w:tc>
        <w:tc>
          <w:tcPr>
            <w:tcW w:w="1559"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1984"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1,602,053,482.68</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3</w:t>
      </w:r>
      <w:r w:rsidRPr="000A5B5D">
        <w:rPr>
          <w:rFonts w:ascii="Arial" w:hAnsi="Arial" w:cs="Arial" w:hint="eastAsia"/>
          <w:bCs/>
          <w:sz w:val="24"/>
        </w:rPr>
        <w:t>）重要的非全资子公司的主要财务信息</w:t>
      </w:r>
      <w:r w:rsidRPr="000A5B5D">
        <w:rPr>
          <w:rFonts w:ascii="Arial" w:hAnsi="Arial" w:cs="Arial"/>
          <w:bCs/>
          <w:sz w:val="24"/>
        </w:rPr>
        <w:t xml:space="preserve">                        </w:t>
      </w:r>
      <w:r w:rsidRPr="000A5B5D">
        <w:rPr>
          <w:rFonts w:ascii="Arial" w:hAnsi="Arial" w:cs="Arial" w:hint="eastAsia"/>
          <w:bCs/>
          <w:sz w:val="24"/>
        </w:rPr>
        <w:t>单位：万元</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137"/>
        <w:gridCol w:w="1078"/>
        <w:gridCol w:w="1232"/>
        <w:gridCol w:w="1246"/>
        <w:gridCol w:w="1218"/>
        <w:gridCol w:w="1147"/>
        <w:gridCol w:w="1156"/>
      </w:tblGrid>
      <w:tr w:rsidR="00851B9D" w:rsidRPr="000A5B5D" w:rsidTr="00851B9D">
        <w:trPr>
          <w:trHeight w:val="397"/>
          <w:tblHeader/>
          <w:jc w:val="center"/>
        </w:trPr>
        <w:tc>
          <w:tcPr>
            <w:tcW w:w="2137"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lastRenderedPageBreak/>
              <w:t>子公司名称</w:t>
            </w:r>
          </w:p>
        </w:tc>
        <w:tc>
          <w:tcPr>
            <w:tcW w:w="7077" w:type="dxa"/>
            <w:gridSpan w:val="6"/>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年末余额</w:t>
            </w:r>
          </w:p>
        </w:tc>
      </w:tr>
      <w:tr w:rsidR="00851B9D" w:rsidRPr="000A5B5D" w:rsidTr="00851B9D">
        <w:trPr>
          <w:trHeight w:val="397"/>
          <w:jc w:val="center"/>
        </w:trPr>
        <w:tc>
          <w:tcPr>
            <w:tcW w:w="2137" w:type="dxa"/>
            <w:vMerge/>
            <w:vAlign w:val="center"/>
          </w:tcPr>
          <w:p w:rsidR="00851B9D" w:rsidRPr="000A5B5D" w:rsidRDefault="00851B9D" w:rsidP="00851B9D">
            <w:pPr>
              <w:widowControl/>
              <w:jc w:val="center"/>
              <w:rPr>
                <w:rFonts w:ascii="Arial" w:hAnsi="Arial" w:cs="Arial"/>
                <w:kern w:val="0"/>
              </w:rPr>
            </w:pPr>
          </w:p>
        </w:tc>
        <w:tc>
          <w:tcPr>
            <w:tcW w:w="1078"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流动资产</w:t>
            </w:r>
          </w:p>
        </w:tc>
        <w:tc>
          <w:tcPr>
            <w:tcW w:w="1232"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非流动资产</w:t>
            </w:r>
          </w:p>
        </w:tc>
        <w:tc>
          <w:tcPr>
            <w:tcW w:w="1246"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资产合计</w:t>
            </w:r>
          </w:p>
        </w:tc>
        <w:tc>
          <w:tcPr>
            <w:tcW w:w="1218"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流动负债</w:t>
            </w:r>
          </w:p>
        </w:tc>
        <w:tc>
          <w:tcPr>
            <w:tcW w:w="1147"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非流动负债</w:t>
            </w:r>
          </w:p>
        </w:tc>
        <w:tc>
          <w:tcPr>
            <w:tcW w:w="1156"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负债合计</w:t>
            </w:r>
          </w:p>
        </w:tc>
      </w:tr>
      <w:tr w:rsidR="00851B9D" w:rsidRPr="000A5B5D" w:rsidTr="00851B9D">
        <w:trPr>
          <w:trHeight w:val="397"/>
          <w:jc w:val="center"/>
        </w:trPr>
        <w:tc>
          <w:tcPr>
            <w:tcW w:w="2137"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宁波恒逸贸易有限公司</w:t>
            </w:r>
          </w:p>
        </w:tc>
        <w:tc>
          <w:tcPr>
            <w:tcW w:w="1078" w:type="dxa"/>
            <w:vAlign w:val="center"/>
          </w:tcPr>
          <w:p w:rsidR="00851B9D" w:rsidRPr="000A5B5D" w:rsidRDefault="00851B9D" w:rsidP="00851B9D">
            <w:pPr>
              <w:jc w:val="right"/>
              <w:rPr>
                <w:rFonts w:ascii="Arial" w:hAnsi="Arial" w:cs="Arial"/>
              </w:rPr>
            </w:pPr>
            <w:r w:rsidRPr="000A5B5D">
              <w:rPr>
                <w:rFonts w:ascii="Arial" w:hAnsi="Arial" w:cs="Arial"/>
              </w:rPr>
              <w:t>138,771.98</w:t>
            </w:r>
          </w:p>
        </w:tc>
        <w:tc>
          <w:tcPr>
            <w:tcW w:w="1232" w:type="dxa"/>
            <w:vAlign w:val="center"/>
          </w:tcPr>
          <w:p w:rsidR="00851B9D" w:rsidRPr="000A5B5D" w:rsidRDefault="00851B9D" w:rsidP="00851B9D">
            <w:pPr>
              <w:jc w:val="right"/>
              <w:rPr>
                <w:rFonts w:ascii="Arial" w:hAnsi="Arial" w:cs="Arial"/>
              </w:rPr>
            </w:pPr>
            <w:r w:rsidRPr="000A5B5D">
              <w:rPr>
                <w:rFonts w:ascii="Arial" w:hAnsi="Arial" w:cs="Arial"/>
              </w:rPr>
              <w:t>65,704.34</w:t>
            </w:r>
          </w:p>
        </w:tc>
        <w:tc>
          <w:tcPr>
            <w:tcW w:w="1246" w:type="dxa"/>
            <w:vAlign w:val="center"/>
          </w:tcPr>
          <w:p w:rsidR="00851B9D" w:rsidRPr="000A5B5D" w:rsidRDefault="00851B9D" w:rsidP="00851B9D">
            <w:pPr>
              <w:jc w:val="right"/>
              <w:rPr>
                <w:rFonts w:ascii="Arial" w:hAnsi="Arial" w:cs="Arial"/>
              </w:rPr>
            </w:pPr>
            <w:r w:rsidRPr="000A5B5D">
              <w:rPr>
                <w:rFonts w:ascii="Arial" w:hAnsi="Arial" w:cs="Arial"/>
              </w:rPr>
              <w:t>204,476.32</w:t>
            </w:r>
          </w:p>
        </w:tc>
        <w:tc>
          <w:tcPr>
            <w:tcW w:w="1218" w:type="dxa"/>
            <w:vAlign w:val="center"/>
          </w:tcPr>
          <w:p w:rsidR="00851B9D" w:rsidRPr="000A5B5D" w:rsidRDefault="00851B9D" w:rsidP="00851B9D">
            <w:pPr>
              <w:jc w:val="right"/>
              <w:rPr>
                <w:rFonts w:ascii="Arial" w:hAnsi="Arial" w:cs="Arial"/>
              </w:rPr>
            </w:pPr>
            <w:r w:rsidRPr="000A5B5D">
              <w:rPr>
                <w:rFonts w:ascii="Arial" w:hAnsi="Arial" w:cs="Arial"/>
              </w:rPr>
              <w:t>188,011.16</w:t>
            </w:r>
          </w:p>
        </w:tc>
        <w:tc>
          <w:tcPr>
            <w:tcW w:w="1147" w:type="dxa"/>
            <w:vAlign w:val="center"/>
          </w:tcPr>
          <w:p w:rsidR="00851B9D" w:rsidRPr="000A5B5D" w:rsidRDefault="00851B9D" w:rsidP="00851B9D">
            <w:pPr>
              <w:jc w:val="right"/>
              <w:rPr>
                <w:rFonts w:ascii="Arial" w:hAnsi="Arial" w:cs="Arial"/>
              </w:rPr>
            </w:pPr>
            <w:r w:rsidRPr="000A5B5D">
              <w:rPr>
                <w:rFonts w:ascii="Arial" w:hAnsi="Arial" w:cs="Arial"/>
              </w:rPr>
              <w:t>0.00</w:t>
            </w:r>
          </w:p>
        </w:tc>
        <w:tc>
          <w:tcPr>
            <w:tcW w:w="1156" w:type="dxa"/>
            <w:vAlign w:val="center"/>
          </w:tcPr>
          <w:p w:rsidR="00851B9D" w:rsidRPr="000A5B5D" w:rsidRDefault="00851B9D" w:rsidP="00851B9D">
            <w:pPr>
              <w:jc w:val="right"/>
              <w:rPr>
                <w:rFonts w:ascii="Arial" w:hAnsi="Arial" w:cs="Arial"/>
              </w:rPr>
            </w:pPr>
            <w:r w:rsidRPr="000A5B5D">
              <w:rPr>
                <w:rFonts w:ascii="Arial" w:hAnsi="Arial" w:cs="Arial"/>
              </w:rPr>
              <w:t>188,011.16</w:t>
            </w:r>
          </w:p>
        </w:tc>
      </w:tr>
      <w:tr w:rsidR="00851B9D" w:rsidRPr="000A5B5D" w:rsidTr="00851B9D">
        <w:trPr>
          <w:trHeight w:val="397"/>
          <w:jc w:val="center"/>
        </w:trPr>
        <w:tc>
          <w:tcPr>
            <w:tcW w:w="2137"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浙江恒逸聚合物有限公司</w:t>
            </w:r>
          </w:p>
        </w:tc>
        <w:tc>
          <w:tcPr>
            <w:tcW w:w="1078" w:type="dxa"/>
            <w:vAlign w:val="center"/>
          </w:tcPr>
          <w:p w:rsidR="00851B9D" w:rsidRPr="000A5B5D" w:rsidRDefault="00851B9D" w:rsidP="00851B9D">
            <w:pPr>
              <w:jc w:val="right"/>
              <w:rPr>
                <w:rFonts w:ascii="Arial" w:hAnsi="Arial" w:cs="Arial"/>
              </w:rPr>
            </w:pPr>
            <w:r w:rsidRPr="000A5B5D">
              <w:rPr>
                <w:rFonts w:ascii="Arial" w:hAnsi="Arial" w:cs="Arial"/>
              </w:rPr>
              <w:t>133,775.04</w:t>
            </w:r>
          </w:p>
        </w:tc>
        <w:tc>
          <w:tcPr>
            <w:tcW w:w="1232" w:type="dxa"/>
            <w:vAlign w:val="center"/>
          </w:tcPr>
          <w:p w:rsidR="00851B9D" w:rsidRPr="000A5B5D" w:rsidRDefault="00851B9D" w:rsidP="00851B9D">
            <w:pPr>
              <w:jc w:val="right"/>
              <w:rPr>
                <w:rFonts w:ascii="Arial" w:hAnsi="Arial" w:cs="Arial"/>
              </w:rPr>
            </w:pPr>
            <w:r w:rsidRPr="000A5B5D">
              <w:rPr>
                <w:rFonts w:ascii="Arial" w:hAnsi="Arial" w:cs="Arial"/>
              </w:rPr>
              <w:t>52,139.60</w:t>
            </w:r>
          </w:p>
        </w:tc>
        <w:tc>
          <w:tcPr>
            <w:tcW w:w="1246" w:type="dxa"/>
            <w:vAlign w:val="center"/>
          </w:tcPr>
          <w:p w:rsidR="00851B9D" w:rsidRPr="000A5B5D" w:rsidRDefault="00851B9D" w:rsidP="00851B9D">
            <w:pPr>
              <w:jc w:val="right"/>
              <w:rPr>
                <w:rFonts w:ascii="Arial" w:hAnsi="Arial" w:cs="Arial"/>
              </w:rPr>
            </w:pPr>
            <w:r w:rsidRPr="000A5B5D">
              <w:rPr>
                <w:rFonts w:ascii="Arial" w:hAnsi="Arial" w:cs="Arial"/>
              </w:rPr>
              <w:t>185,914.65</w:t>
            </w:r>
          </w:p>
        </w:tc>
        <w:tc>
          <w:tcPr>
            <w:tcW w:w="1218" w:type="dxa"/>
            <w:vAlign w:val="center"/>
          </w:tcPr>
          <w:p w:rsidR="00851B9D" w:rsidRPr="000A5B5D" w:rsidRDefault="00851B9D" w:rsidP="00851B9D">
            <w:pPr>
              <w:jc w:val="right"/>
              <w:rPr>
                <w:rFonts w:ascii="Arial" w:hAnsi="Arial" w:cs="Arial"/>
              </w:rPr>
            </w:pPr>
            <w:r w:rsidRPr="000A5B5D">
              <w:rPr>
                <w:rFonts w:ascii="Arial" w:hAnsi="Arial" w:cs="Arial"/>
              </w:rPr>
              <w:t>127,003.90</w:t>
            </w:r>
          </w:p>
        </w:tc>
        <w:tc>
          <w:tcPr>
            <w:tcW w:w="1147" w:type="dxa"/>
            <w:vAlign w:val="center"/>
          </w:tcPr>
          <w:p w:rsidR="00851B9D" w:rsidRPr="000A5B5D" w:rsidRDefault="00851B9D" w:rsidP="00851B9D">
            <w:pPr>
              <w:jc w:val="right"/>
              <w:rPr>
                <w:rFonts w:ascii="Arial" w:hAnsi="Arial" w:cs="Arial"/>
              </w:rPr>
            </w:pPr>
            <w:r w:rsidRPr="000A5B5D">
              <w:rPr>
                <w:rFonts w:ascii="Arial" w:hAnsi="Arial" w:cs="Arial"/>
              </w:rPr>
              <w:t>557.27</w:t>
            </w:r>
          </w:p>
        </w:tc>
        <w:tc>
          <w:tcPr>
            <w:tcW w:w="1156" w:type="dxa"/>
            <w:vAlign w:val="center"/>
          </w:tcPr>
          <w:p w:rsidR="00851B9D" w:rsidRPr="000A5B5D" w:rsidRDefault="00851B9D" w:rsidP="00851B9D">
            <w:pPr>
              <w:jc w:val="right"/>
              <w:rPr>
                <w:rFonts w:ascii="Arial" w:hAnsi="Arial" w:cs="Arial"/>
              </w:rPr>
            </w:pPr>
            <w:r w:rsidRPr="000A5B5D">
              <w:rPr>
                <w:rFonts w:ascii="Arial" w:hAnsi="Arial" w:cs="Arial"/>
              </w:rPr>
              <w:t>127,561.17</w:t>
            </w:r>
          </w:p>
        </w:tc>
      </w:tr>
      <w:tr w:rsidR="00851B9D" w:rsidRPr="000A5B5D" w:rsidTr="00851B9D">
        <w:trPr>
          <w:trHeight w:val="397"/>
          <w:jc w:val="center"/>
        </w:trPr>
        <w:tc>
          <w:tcPr>
            <w:tcW w:w="2137" w:type="dxa"/>
            <w:tcBorders>
              <w:bottom w:val="single" w:sz="12" w:space="0" w:color="auto"/>
            </w:tcBorders>
            <w:vAlign w:val="center"/>
          </w:tcPr>
          <w:p w:rsidR="00851B9D" w:rsidRPr="000A5B5D" w:rsidRDefault="00851B9D" w:rsidP="00851B9D">
            <w:pPr>
              <w:widowControl/>
              <w:rPr>
                <w:rFonts w:ascii="Arial" w:hAnsi="Arial" w:cs="Arial"/>
              </w:rPr>
            </w:pPr>
            <w:r w:rsidRPr="000A5B5D">
              <w:rPr>
                <w:rFonts w:ascii="Arial" w:hAnsi="Arial" w:cs="Arial" w:hint="eastAsia"/>
              </w:rPr>
              <w:t>浙江逸盛石化有限公司</w:t>
            </w:r>
          </w:p>
        </w:tc>
        <w:tc>
          <w:tcPr>
            <w:tcW w:w="1078"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682,062.56</w:t>
            </w:r>
          </w:p>
        </w:tc>
        <w:tc>
          <w:tcPr>
            <w:tcW w:w="1232"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628,225.45</w:t>
            </w:r>
          </w:p>
        </w:tc>
        <w:tc>
          <w:tcPr>
            <w:tcW w:w="1246"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1,310,288.02</w:t>
            </w:r>
          </w:p>
        </w:tc>
        <w:tc>
          <w:tcPr>
            <w:tcW w:w="1218"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778,097.93</w:t>
            </w:r>
          </w:p>
        </w:tc>
        <w:tc>
          <w:tcPr>
            <w:tcW w:w="1147"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22,095.99</w:t>
            </w:r>
          </w:p>
        </w:tc>
        <w:tc>
          <w:tcPr>
            <w:tcW w:w="1156"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800,193.93</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（续）</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137"/>
        <w:gridCol w:w="1050"/>
        <w:gridCol w:w="1260"/>
        <w:gridCol w:w="1246"/>
        <w:gridCol w:w="1218"/>
        <w:gridCol w:w="1134"/>
        <w:gridCol w:w="1169"/>
      </w:tblGrid>
      <w:tr w:rsidR="00851B9D" w:rsidRPr="000A5B5D" w:rsidTr="00851B9D">
        <w:trPr>
          <w:trHeight w:val="397"/>
          <w:tblHeader/>
          <w:jc w:val="center"/>
        </w:trPr>
        <w:tc>
          <w:tcPr>
            <w:tcW w:w="2137"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子公司名称</w:t>
            </w:r>
          </w:p>
        </w:tc>
        <w:tc>
          <w:tcPr>
            <w:tcW w:w="7077" w:type="dxa"/>
            <w:gridSpan w:val="6"/>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年初余额</w:t>
            </w:r>
          </w:p>
        </w:tc>
      </w:tr>
      <w:tr w:rsidR="00851B9D" w:rsidRPr="000A5B5D" w:rsidTr="00851B9D">
        <w:trPr>
          <w:trHeight w:val="397"/>
          <w:jc w:val="center"/>
        </w:trPr>
        <w:tc>
          <w:tcPr>
            <w:tcW w:w="2137" w:type="dxa"/>
            <w:vMerge/>
            <w:vAlign w:val="center"/>
          </w:tcPr>
          <w:p w:rsidR="00851B9D" w:rsidRPr="000A5B5D" w:rsidRDefault="00851B9D" w:rsidP="00851B9D">
            <w:pPr>
              <w:widowControl/>
              <w:jc w:val="center"/>
              <w:rPr>
                <w:rFonts w:ascii="Arial" w:hAnsi="Arial" w:cs="Arial"/>
                <w:kern w:val="0"/>
              </w:rPr>
            </w:pPr>
          </w:p>
        </w:tc>
        <w:tc>
          <w:tcPr>
            <w:tcW w:w="1050"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流动资产</w:t>
            </w:r>
          </w:p>
        </w:tc>
        <w:tc>
          <w:tcPr>
            <w:tcW w:w="1260"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非流动资产</w:t>
            </w:r>
          </w:p>
        </w:tc>
        <w:tc>
          <w:tcPr>
            <w:tcW w:w="1246"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资产合计</w:t>
            </w:r>
          </w:p>
        </w:tc>
        <w:tc>
          <w:tcPr>
            <w:tcW w:w="1218"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流动负债</w:t>
            </w:r>
          </w:p>
        </w:tc>
        <w:tc>
          <w:tcPr>
            <w:tcW w:w="1134"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非流动负债</w:t>
            </w:r>
          </w:p>
        </w:tc>
        <w:tc>
          <w:tcPr>
            <w:tcW w:w="1169"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负债合计</w:t>
            </w:r>
          </w:p>
        </w:tc>
      </w:tr>
      <w:tr w:rsidR="00851B9D" w:rsidRPr="000A5B5D" w:rsidTr="00851B9D">
        <w:trPr>
          <w:trHeight w:val="397"/>
          <w:jc w:val="center"/>
        </w:trPr>
        <w:tc>
          <w:tcPr>
            <w:tcW w:w="2137"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宁波恒逸贸易有限公司</w:t>
            </w:r>
          </w:p>
        </w:tc>
        <w:tc>
          <w:tcPr>
            <w:tcW w:w="1050" w:type="dxa"/>
            <w:vAlign w:val="center"/>
          </w:tcPr>
          <w:p w:rsidR="00851B9D" w:rsidRPr="000A5B5D" w:rsidRDefault="00851B9D" w:rsidP="00851B9D">
            <w:pPr>
              <w:jc w:val="right"/>
              <w:rPr>
                <w:rFonts w:ascii="Arial" w:hAnsi="Arial" w:cs="Arial"/>
              </w:rPr>
            </w:pPr>
            <w:r w:rsidRPr="000A5B5D">
              <w:rPr>
                <w:rFonts w:ascii="Arial" w:hAnsi="Arial" w:cs="Arial"/>
              </w:rPr>
              <w:t>261,536.65</w:t>
            </w:r>
          </w:p>
        </w:tc>
        <w:tc>
          <w:tcPr>
            <w:tcW w:w="1260" w:type="dxa"/>
            <w:vAlign w:val="center"/>
          </w:tcPr>
          <w:p w:rsidR="00851B9D" w:rsidRPr="000A5B5D" w:rsidRDefault="00851B9D" w:rsidP="00851B9D">
            <w:pPr>
              <w:jc w:val="right"/>
              <w:rPr>
                <w:rFonts w:ascii="Arial" w:hAnsi="Arial" w:cs="Arial"/>
              </w:rPr>
            </w:pPr>
            <w:r w:rsidRPr="000A5B5D">
              <w:rPr>
                <w:rFonts w:ascii="Arial" w:hAnsi="Arial" w:cs="Arial"/>
              </w:rPr>
              <w:t>66,704.42</w:t>
            </w:r>
          </w:p>
        </w:tc>
        <w:tc>
          <w:tcPr>
            <w:tcW w:w="1246" w:type="dxa"/>
            <w:vAlign w:val="center"/>
          </w:tcPr>
          <w:p w:rsidR="00851B9D" w:rsidRPr="000A5B5D" w:rsidRDefault="00851B9D" w:rsidP="00851B9D">
            <w:pPr>
              <w:jc w:val="right"/>
              <w:rPr>
                <w:rFonts w:ascii="Arial" w:hAnsi="Arial" w:cs="Arial"/>
              </w:rPr>
            </w:pPr>
            <w:r w:rsidRPr="000A5B5D">
              <w:rPr>
                <w:rFonts w:ascii="Arial" w:hAnsi="Arial" w:cs="Arial"/>
              </w:rPr>
              <w:t>328,241.07</w:t>
            </w:r>
          </w:p>
        </w:tc>
        <w:tc>
          <w:tcPr>
            <w:tcW w:w="1218" w:type="dxa"/>
            <w:vAlign w:val="center"/>
          </w:tcPr>
          <w:p w:rsidR="00851B9D" w:rsidRPr="000A5B5D" w:rsidRDefault="00851B9D" w:rsidP="00851B9D">
            <w:pPr>
              <w:jc w:val="right"/>
              <w:rPr>
                <w:rFonts w:ascii="Arial" w:hAnsi="Arial" w:cs="Arial"/>
              </w:rPr>
            </w:pPr>
            <w:r w:rsidRPr="000A5B5D">
              <w:rPr>
                <w:rFonts w:ascii="Arial" w:hAnsi="Arial" w:cs="Arial"/>
              </w:rPr>
              <w:t>300,976.44</w:t>
            </w:r>
          </w:p>
        </w:tc>
        <w:tc>
          <w:tcPr>
            <w:tcW w:w="1134" w:type="dxa"/>
            <w:vAlign w:val="center"/>
          </w:tcPr>
          <w:p w:rsidR="00851B9D" w:rsidRPr="000A5B5D" w:rsidRDefault="00851B9D" w:rsidP="00851B9D">
            <w:pPr>
              <w:jc w:val="right"/>
              <w:rPr>
                <w:rFonts w:ascii="Arial" w:hAnsi="Arial" w:cs="Arial"/>
              </w:rPr>
            </w:pPr>
            <w:r w:rsidRPr="000A5B5D">
              <w:rPr>
                <w:rFonts w:ascii="Arial" w:hAnsi="Arial" w:cs="Arial"/>
              </w:rPr>
              <w:t>0.00</w:t>
            </w:r>
          </w:p>
        </w:tc>
        <w:tc>
          <w:tcPr>
            <w:tcW w:w="1169" w:type="dxa"/>
            <w:vAlign w:val="center"/>
          </w:tcPr>
          <w:p w:rsidR="00851B9D" w:rsidRPr="000A5B5D" w:rsidRDefault="00851B9D" w:rsidP="00851B9D">
            <w:pPr>
              <w:jc w:val="right"/>
              <w:rPr>
                <w:rFonts w:ascii="Arial" w:hAnsi="Arial" w:cs="Arial"/>
              </w:rPr>
            </w:pPr>
            <w:r w:rsidRPr="000A5B5D">
              <w:rPr>
                <w:rFonts w:ascii="Arial" w:hAnsi="Arial" w:cs="Arial"/>
              </w:rPr>
              <w:t>300,976.44</w:t>
            </w:r>
          </w:p>
        </w:tc>
      </w:tr>
      <w:tr w:rsidR="00851B9D" w:rsidRPr="000A5B5D" w:rsidTr="00851B9D">
        <w:trPr>
          <w:trHeight w:val="397"/>
          <w:jc w:val="center"/>
        </w:trPr>
        <w:tc>
          <w:tcPr>
            <w:tcW w:w="2137"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浙江恒逸聚合物有限公司</w:t>
            </w:r>
          </w:p>
        </w:tc>
        <w:tc>
          <w:tcPr>
            <w:tcW w:w="1050" w:type="dxa"/>
            <w:vAlign w:val="center"/>
          </w:tcPr>
          <w:p w:rsidR="00851B9D" w:rsidRPr="000A5B5D" w:rsidRDefault="00851B9D" w:rsidP="00851B9D">
            <w:pPr>
              <w:jc w:val="right"/>
              <w:rPr>
                <w:rFonts w:ascii="Arial" w:hAnsi="Arial" w:cs="Arial"/>
              </w:rPr>
            </w:pPr>
            <w:r w:rsidRPr="000A5B5D">
              <w:rPr>
                <w:rFonts w:ascii="Arial" w:hAnsi="Arial" w:cs="Arial"/>
              </w:rPr>
              <w:t>258,498.19</w:t>
            </w:r>
          </w:p>
        </w:tc>
        <w:tc>
          <w:tcPr>
            <w:tcW w:w="1260" w:type="dxa"/>
            <w:vAlign w:val="center"/>
          </w:tcPr>
          <w:p w:rsidR="00851B9D" w:rsidRPr="000A5B5D" w:rsidRDefault="00851B9D" w:rsidP="00851B9D">
            <w:pPr>
              <w:jc w:val="right"/>
              <w:rPr>
                <w:rFonts w:ascii="Arial" w:hAnsi="Arial" w:cs="Arial"/>
              </w:rPr>
            </w:pPr>
            <w:r w:rsidRPr="000A5B5D">
              <w:rPr>
                <w:rFonts w:ascii="Arial" w:hAnsi="Arial" w:cs="Arial"/>
              </w:rPr>
              <w:t>56,737.01</w:t>
            </w:r>
          </w:p>
        </w:tc>
        <w:tc>
          <w:tcPr>
            <w:tcW w:w="1246" w:type="dxa"/>
            <w:vAlign w:val="center"/>
          </w:tcPr>
          <w:p w:rsidR="00851B9D" w:rsidRPr="000A5B5D" w:rsidRDefault="00851B9D" w:rsidP="00851B9D">
            <w:pPr>
              <w:jc w:val="right"/>
              <w:rPr>
                <w:rFonts w:ascii="Arial" w:hAnsi="Arial" w:cs="Arial"/>
              </w:rPr>
            </w:pPr>
            <w:r w:rsidRPr="000A5B5D">
              <w:rPr>
                <w:rFonts w:ascii="Arial" w:hAnsi="Arial" w:cs="Arial"/>
              </w:rPr>
              <w:t>315,235.21</w:t>
            </w:r>
          </w:p>
        </w:tc>
        <w:tc>
          <w:tcPr>
            <w:tcW w:w="1218" w:type="dxa"/>
            <w:vAlign w:val="center"/>
          </w:tcPr>
          <w:p w:rsidR="00851B9D" w:rsidRPr="000A5B5D" w:rsidRDefault="00851B9D" w:rsidP="00851B9D">
            <w:pPr>
              <w:jc w:val="right"/>
              <w:rPr>
                <w:rFonts w:ascii="Arial" w:hAnsi="Arial" w:cs="Arial"/>
              </w:rPr>
            </w:pPr>
            <w:r w:rsidRPr="000A5B5D">
              <w:rPr>
                <w:rFonts w:ascii="Arial" w:hAnsi="Arial" w:cs="Arial"/>
              </w:rPr>
              <w:t>254,261.75</w:t>
            </w:r>
          </w:p>
        </w:tc>
        <w:tc>
          <w:tcPr>
            <w:tcW w:w="1134" w:type="dxa"/>
            <w:vAlign w:val="center"/>
          </w:tcPr>
          <w:p w:rsidR="00851B9D" w:rsidRPr="000A5B5D" w:rsidRDefault="00851B9D" w:rsidP="00851B9D">
            <w:pPr>
              <w:jc w:val="right"/>
              <w:rPr>
                <w:rFonts w:ascii="Arial" w:hAnsi="Arial" w:cs="Arial"/>
              </w:rPr>
            </w:pPr>
            <w:r w:rsidRPr="000A5B5D">
              <w:rPr>
                <w:rFonts w:ascii="Arial" w:hAnsi="Arial" w:cs="Arial"/>
              </w:rPr>
              <w:t>0.00</w:t>
            </w:r>
          </w:p>
        </w:tc>
        <w:tc>
          <w:tcPr>
            <w:tcW w:w="1169" w:type="dxa"/>
            <w:vAlign w:val="center"/>
          </w:tcPr>
          <w:p w:rsidR="00851B9D" w:rsidRPr="000A5B5D" w:rsidRDefault="00851B9D" w:rsidP="00851B9D">
            <w:pPr>
              <w:jc w:val="right"/>
              <w:rPr>
                <w:rFonts w:ascii="Arial" w:hAnsi="Arial" w:cs="Arial"/>
              </w:rPr>
            </w:pPr>
            <w:r w:rsidRPr="000A5B5D">
              <w:rPr>
                <w:rFonts w:ascii="Arial" w:hAnsi="Arial" w:cs="Arial"/>
              </w:rPr>
              <w:t>254,261.75</w:t>
            </w:r>
          </w:p>
        </w:tc>
      </w:tr>
      <w:tr w:rsidR="00851B9D" w:rsidRPr="000A5B5D" w:rsidTr="00851B9D">
        <w:trPr>
          <w:trHeight w:val="397"/>
          <w:jc w:val="center"/>
        </w:trPr>
        <w:tc>
          <w:tcPr>
            <w:tcW w:w="2137" w:type="dxa"/>
            <w:tcBorders>
              <w:bottom w:val="single" w:sz="12" w:space="0" w:color="auto"/>
            </w:tcBorders>
            <w:vAlign w:val="center"/>
          </w:tcPr>
          <w:p w:rsidR="00851B9D" w:rsidRPr="000A5B5D" w:rsidRDefault="00851B9D" w:rsidP="00851B9D">
            <w:pPr>
              <w:widowControl/>
              <w:rPr>
                <w:rFonts w:ascii="Arial" w:hAnsi="Arial" w:cs="Arial"/>
              </w:rPr>
            </w:pPr>
            <w:r w:rsidRPr="000A5B5D">
              <w:rPr>
                <w:rFonts w:ascii="Arial" w:hAnsi="Arial" w:cs="Arial" w:hint="eastAsia"/>
              </w:rPr>
              <w:t>浙江逸盛石化有限公司</w:t>
            </w:r>
          </w:p>
        </w:tc>
        <w:tc>
          <w:tcPr>
            <w:tcW w:w="1050"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801,767.33</w:t>
            </w:r>
          </w:p>
        </w:tc>
        <w:tc>
          <w:tcPr>
            <w:tcW w:w="1260"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671,964.06</w:t>
            </w:r>
          </w:p>
        </w:tc>
        <w:tc>
          <w:tcPr>
            <w:tcW w:w="1246"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1,473,731.39</w:t>
            </w:r>
          </w:p>
        </w:tc>
        <w:tc>
          <w:tcPr>
            <w:tcW w:w="1218"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923,902.90</w:t>
            </w:r>
          </w:p>
        </w:tc>
        <w:tc>
          <w:tcPr>
            <w:tcW w:w="1134"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48,813.93</w:t>
            </w:r>
          </w:p>
        </w:tc>
        <w:tc>
          <w:tcPr>
            <w:tcW w:w="1169"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972,716.82</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（续）</w:t>
      </w:r>
    </w:p>
    <w:tbl>
      <w:tblPr>
        <w:tblW w:w="9322"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154"/>
        <w:gridCol w:w="1134"/>
        <w:gridCol w:w="1051"/>
        <w:gridCol w:w="1050"/>
        <w:gridCol w:w="986"/>
        <w:gridCol w:w="1147"/>
        <w:gridCol w:w="882"/>
        <w:gridCol w:w="887"/>
        <w:gridCol w:w="1031"/>
      </w:tblGrid>
      <w:tr w:rsidR="00851B9D" w:rsidRPr="000A5B5D" w:rsidTr="00851B9D">
        <w:trPr>
          <w:trHeight w:val="425"/>
          <w:tblHeader/>
          <w:jc w:val="center"/>
        </w:trPr>
        <w:tc>
          <w:tcPr>
            <w:tcW w:w="1154"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子公司名称</w:t>
            </w:r>
          </w:p>
        </w:tc>
        <w:tc>
          <w:tcPr>
            <w:tcW w:w="4221" w:type="dxa"/>
            <w:gridSpan w:val="4"/>
            <w:tcBorders>
              <w:top w:val="single" w:sz="12"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本年发生额</w:t>
            </w:r>
          </w:p>
        </w:tc>
        <w:tc>
          <w:tcPr>
            <w:tcW w:w="3947" w:type="dxa"/>
            <w:gridSpan w:val="4"/>
            <w:tcBorders>
              <w:top w:val="single" w:sz="12" w:space="0" w:color="auto"/>
              <w:right w:val="dotted" w:sz="4" w:space="0" w:color="auto"/>
            </w:tcBorders>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上年发生额</w:t>
            </w:r>
          </w:p>
        </w:tc>
      </w:tr>
      <w:tr w:rsidR="00851B9D" w:rsidRPr="000A5B5D" w:rsidTr="00851B9D">
        <w:trPr>
          <w:trHeight w:val="425"/>
          <w:jc w:val="center"/>
        </w:trPr>
        <w:tc>
          <w:tcPr>
            <w:tcW w:w="1154" w:type="dxa"/>
            <w:vMerge/>
            <w:vAlign w:val="center"/>
          </w:tcPr>
          <w:p w:rsidR="00851B9D" w:rsidRPr="000A5B5D" w:rsidRDefault="00851B9D" w:rsidP="00851B9D">
            <w:pPr>
              <w:widowControl/>
              <w:jc w:val="center"/>
              <w:rPr>
                <w:rFonts w:ascii="Arial" w:hAnsi="Arial" w:cs="Arial"/>
                <w:kern w:val="0"/>
              </w:rPr>
            </w:pPr>
          </w:p>
        </w:tc>
        <w:tc>
          <w:tcPr>
            <w:tcW w:w="1134"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营业收入</w:t>
            </w:r>
          </w:p>
        </w:tc>
        <w:tc>
          <w:tcPr>
            <w:tcW w:w="1051"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净利润</w:t>
            </w:r>
          </w:p>
        </w:tc>
        <w:tc>
          <w:tcPr>
            <w:tcW w:w="1050"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综合收益</w:t>
            </w:r>
          </w:p>
          <w:p w:rsidR="00851B9D" w:rsidRPr="000A5B5D" w:rsidRDefault="00851B9D" w:rsidP="00851B9D">
            <w:pPr>
              <w:widowControl/>
              <w:jc w:val="center"/>
              <w:rPr>
                <w:rFonts w:ascii="Arial" w:hAnsi="Arial" w:cs="Arial"/>
                <w:kern w:val="0"/>
              </w:rPr>
            </w:pPr>
            <w:r w:rsidRPr="000A5B5D">
              <w:rPr>
                <w:rFonts w:ascii="Arial" w:hAnsi="Arial" w:cs="Arial" w:hint="eastAsia"/>
                <w:kern w:val="0"/>
              </w:rPr>
              <w:t>总额</w:t>
            </w:r>
          </w:p>
        </w:tc>
        <w:tc>
          <w:tcPr>
            <w:tcW w:w="986"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经营活动现金流量</w:t>
            </w:r>
          </w:p>
        </w:tc>
        <w:tc>
          <w:tcPr>
            <w:tcW w:w="1147"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营业收入</w:t>
            </w:r>
          </w:p>
        </w:tc>
        <w:tc>
          <w:tcPr>
            <w:tcW w:w="882"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净利润</w:t>
            </w:r>
          </w:p>
        </w:tc>
        <w:tc>
          <w:tcPr>
            <w:tcW w:w="887"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综合收益总额</w:t>
            </w:r>
          </w:p>
        </w:tc>
        <w:tc>
          <w:tcPr>
            <w:tcW w:w="1031" w:type="dxa"/>
            <w:vAlign w:val="center"/>
          </w:tcPr>
          <w:p w:rsidR="00851B9D" w:rsidRPr="000A5B5D" w:rsidRDefault="00851B9D" w:rsidP="00851B9D">
            <w:pPr>
              <w:widowControl/>
              <w:jc w:val="center"/>
              <w:rPr>
                <w:rFonts w:ascii="Arial" w:hAnsi="Arial" w:cs="Arial"/>
                <w:kern w:val="0"/>
              </w:rPr>
            </w:pPr>
            <w:r w:rsidRPr="000A5B5D">
              <w:rPr>
                <w:rFonts w:ascii="Arial" w:hAnsi="Arial" w:cs="Arial" w:hint="eastAsia"/>
                <w:kern w:val="0"/>
              </w:rPr>
              <w:t>经营活动现金流量</w:t>
            </w:r>
          </w:p>
        </w:tc>
      </w:tr>
      <w:tr w:rsidR="00851B9D" w:rsidRPr="000A5B5D" w:rsidTr="00851B9D">
        <w:trPr>
          <w:trHeight w:val="425"/>
          <w:jc w:val="center"/>
        </w:trPr>
        <w:tc>
          <w:tcPr>
            <w:tcW w:w="1154"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宁波恒逸贸易有限公司</w:t>
            </w:r>
          </w:p>
        </w:tc>
        <w:tc>
          <w:tcPr>
            <w:tcW w:w="1134" w:type="dxa"/>
            <w:vAlign w:val="center"/>
          </w:tcPr>
          <w:p w:rsidR="00851B9D" w:rsidRPr="000A5B5D" w:rsidRDefault="00851B9D" w:rsidP="00851B9D">
            <w:pPr>
              <w:jc w:val="right"/>
              <w:rPr>
                <w:rFonts w:ascii="Arial" w:hAnsi="Arial" w:cs="Arial"/>
              </w:rPr>
            </w:pPr>
            <w:r w:rsidRPr="000A5B5D">
              <w:rPr>
                <w:rFonts w:ascii="Arial" w:hAnsi="Arial" w:cs="Arial"/>
              </w:rPr>
              <w:t>1,212,428.80</w:t>
            </w:r>
          </w:p>
        </w:tc>
        <w:tc>
          <w:tcPr>
            <w:tcW w:w="1051" w:type="dxa"/>
            <w:vAlign w:val="center"/>
          </w:tcPr>
          <w:p w:rsidR="00851B9D" w:rsidRPr="000A5B5D" w:rsidRDefault="00851B9D" w:rsidP="00851B9D">
            <w:pPr>
              <w:jc w:val="right"/>
              <w:rPr>
                <w:rFonts w:ascii="Arial" w:hAnsi="Arial" w:cs="Arial"/>
              </w:rPr>
            </w:pPr>
            <w:r w:rsidRPr="000A5B5D">
              <w:rPr>
                <w:rFonts w:ascii="Arial" w:hAnsi="Arial" w:cs="Arial"/>
              </w:rPr>
              <w:t>-10,809.39</w:t>
            </w:r>
          </w:p>
        </w:tc>
        <w:tc>
          <w:tcPr>
            <w:tcW w:w="1050" w:type="dxa"/>
            <w:vAlign w:val="center"/>
          </w:tcPr>
          <w:p w:rsidR="00851B9D" w:rsidRPr="000A5B5D" w:rsidRDefault="00851B9D" w:rsidP="00851B9D">
            <w:pPr>
              <w:jc w:val="right"/>
              <w:rPr>
                <w:rFonts w:ascii="Arial" w:hAnsi="Arial" w:cs="Arial"/>
              </w:rPr>
            </w:pPr>
            <w:r w:rsidRPr="000A5B5D">
              <w:rPr>
                <w:rFonts w:ascii="Arial" w:hAnsi="Arial" w:cs="Arial"/>
              </w:rPr>
              <w:t>-10,799.46</w:t>
            </w:r>
          </w:p>
        </w:tc>
        <w:tc>
          <w:tcPr>
            <w:tcW w:w="986" w:type="dxa"/>
            <w:vAlign w:val="center"/>
          </w:tcPr>
          <w:p w:rsidR="00851B9D" w:rsidRPr="000A5B5D" w:rsidRDefault="00851B9D" w:rsidP="00851B9D">
            <w:pPr>
              <w:jc w:val="right"/>
              <w:rPr>
                <w:rFonts w:ascii="Arial" w:hAnsi="Arial" w:cs="Arial"/>
              </w:rPr>
            </w:pPr>
            <w:r w:rsidRPr="000A5B5D">
              <w:rPr>
                <w:rFonts w:ascii="Arial" w:hAnsi="Arial" w:cs="Arial"/>
              </w:rPr>
              <w:t>-7,390.55</w:t>
            </w:r>
          </w:p>
        </w:tc>
        <w:tc>
          <w:tcPr>
            <w:tcW w:w="1147" w:type="dxa"/>
            <w:vAlign w:val="center"/>
          </w:tcPr>
          <w:p w:rsidR="00851B9D" w:rsidRPr="000A5B5D" w:rsidRDefault="00851B9D" w:rsidP="00851B9D">
            <w:pPr>
              <w:jc w:val="right"/>
              <w:rPr>
                <w:rFonts w:ascii="Arial" w:hAnsi="Arial" w:cs="Arial"/>
              </w:rPr>
            </w:pPr>
            <w:r w:rsidRPr="000A5B5D">
              <w:rPr>
                <w:rFonts w:ascii="Arial" w:hAnsi="Arial" w:cs="Arial"/>
              </w:rPr>
              <w:t>1,561,143.96</w:t>
            </w:r>
          </w:p>
        </w:tc>
        <w:tc>
          <w:tcPr>
            <w:tcW w:w="882" w:type="dxa"/>
            <w:vAlign w:val="center"/>
          </w:tcPr>
          <w:p w:rsidR="00851B9D" w:rsidRPr="000A5B5D" w:rsidRDefault="00851B9D" w:rsidP="00851B9D">
            <w:pPr>
              <w:jc w:val="right"/>
              <w:rPr>
                <w:rFonts w:ascii="Arial" w:hAnsi="Arial" w:cs="Arial"/>
              </w:rPr>
            </w:pPr>
            <w:r w:rsidRPr="000A5B5D">
              <w:rPr>
                <w:rFonts w:ascii="Arial" w:hAnsi="Arial" w:cs="Arial"/>
              </w:rPr>
              <w:t>-3,728.74</w:t>
            </w:r>
          </w:p>
        </w:tc>
        <w:tc>
          <w:tcPr>
            <w:tcW w:w="887" w:type="dxa"/>
            <w:vAlign w:val="center"/>
          </w:tcPr>
          <w:p w:rsidR="00851B9D" w:rsidRPr="000A5B5D" w:rsidRDefault="00851B9D" w:rsidP="00851B9D">
            <w:pPr>
              <w:jc w:val="right"/>
              <w:rPr>
                <w:rFonts w:ascii="Arial" w:hAnsi="Arial" w:cs="Arial"/>
              </w:rPr>
            </w:pPr>
            <w:r w:rsidRPr="000A5B5D">
              <w:rPr>
                <w:rFonts w:ascii="Arial" w:hAnsi="Arial" w:cs="Arial"/>
              </w:rPr>
              <w:t>-3,728.74</w:t>
            </w:r>
          </w:p>
        </w:tc>
        <w:tc>
          <w:tcPr>
            <w:tcW w:w="1031" w:type="dxa"/>
            <w:vAlign w:val="center"/>
          </w:tcPr>
          <w:p w:rsidR="00851B9D" w:rsidRPr="000A5B5D" w:rsidRDefault="00851B9D" w:rsidP="00851B9D">
            <w:pPr>
              <w:jc w:val="right"/>
              <w:rPr>
                <w:rFonts w:ascii="Arial" w:hAnsi="Arial" w:cs="Arial"/>
              </w:rPr>
            </w:pPr>
            <w:r w:rsidRPr="000A5B5D">
              <w:rPr>
                <w:rFonts w:ascii="Arial" w:hAnsi="Arial" w:cs="Arial"/>
              </w:rPr>
              <w:t>93,207.03</w:t>
            </w:r>
          </w:p>
        </w:tc>
      </w:tr>
      <w:tr w:rsidR="00851B9D" w:rsidRPr="000A5B5D" w:rsidTr="00851B9D">
        <w:trPr>
          <w:trHeight w:val="425"/>
          <w:jc w:val="center"/>
        </w:trPr>
        <w:tc>
          <w:tcPr>
            <w:tcW w:w="1154" w:type="dxa"/>
            <w:vAlign w:val="center"/>
          </w:tcPr>
          <w:p w:rsidR="00851B9D" w:rsidRPr="000A5B5D" w:rsidRDefault="00851B9D" w:rsidP="00851B9D">
            <w:pPr>
              <w:widowControl/>
              <w:rPr>
                <w:rFonts w:ascii="Arial" w:hAnsi="Arial" w:cs="Arial"/>
                <w:b/>
                <w:kern w:val="0"/>
              </w:rPr>
            </w:pPr>
            <w:r w:rsidRPr="000A5B5D">
              <w:rPr>
                <w:rFonts w:ascii="Arial" w:hAnsi="Arial" w:cs="Arial" w:hint="eastAsia"/>
              </w:rPr>
              <w:t>浙江恒逸聚合物有限公司</w:t>
            </w:r>
          </w:p>
        </w:tc>
        <w:tc>
          <w:tcPr>
            <w:tcW w:w="1134" w:type="dxa"/>
            <w:vAlign w:val="center"/>
          </w:tcPr>
          <w:p w:rsidR="00851B9D" w:rsidRPr="000A5B5D" w:rsidRDefault="00851B9D" w:rsidP="00851B9D">
            <w:pPr>
              <w:jc w:val="right"/>
              <w:rPr>
                <w:rFonts w:ascii="Arial" w:hAnsi="Arial" w:cs="Arial"/>
              </w:rPr>
            </w:pPr>
            <w:r w:rsidRPr="000A5B5D">
              <w:rPr>
                <w:rFonts w:ascii="Arial" w:hAnsi="Arial" w:cs="Arial"/>
              </w:rPr>
              <w:t>295,410.05</w:t>
            </w:r>
          </w:p>
        </w:tc>
        <w:tc>
          <w:tcPr>
            <w:tcW w:w="1051" w:type="dxa"/>
            <w:vAlign w:val="center"/>
          </w:tcPr>
          <w:p w:rsidR="00851B9D" w:rsidRPr="000A5B5D" w:rsidRDefault="00851B9D" w:rsidP="00851B9D">
            <w:pPr>
              <w:jc w:val="right"/>
              <w:rPr>
                <w:rFonts w:ascii="Arial" w:hAnsi="Arial" w:cs="Arial"/>
              </w:rPr>
            </w:pPr>
            <w:r w:rsidRPr="000A5B5D">
              <w:rPr>
                <w:rFonts w:ascii="Arial" w:hAnsi="Arial" w:cs="Arial"/>
              </w:rPr>
              <w:t>-2,619.97</w:t>
            </w:r>
          </w:p>
        </w:tc>
        <w:tc>
          <w:tcPr>
            <w:tcW w:w="1050" w:type="dxa"/>
            <w:vAlign w:val="center"/>
          </w:tcPr>
          <w:p w:rsidR="00851B9D" w:rsidRPr="000A5B5D" w:rsidRDefault="00851B9D" w:rsidP="00851B9D">
            <w:pPr>
              <w:jc w:val="right"/>
              <w:rPr>
                <w:rFonts w:ascii="Arial" w:hAnsi="Arial" w:cs="Arial"/>
              </w:rPr>
            </w:pPr>
            <w:r w:rsidRPr="000A5B5D">
              <w:rPr>
                <w:rFonts w:ascii="Arial" w:hAnsi="Arial" w:cs="Arial"/>
              </w:rPr>
              <w:t>-2,619.97</w:t>
            </w:r>
          </w:p>
        </w:tc>
        <w:tc>
          <w:tcPr>
            <w:tcW w:w="986" w:type="dxa"/>
            <w:vAlign w:val="center"/>
          </w:tcPr>
          <w:p w:rsidR="00851B9D" w:rsidRPr="000A5B5D" w:rsidRDefault="00851B9D" w:rsidP="00851B9D">
            <w:pPr>
              <w:jc w:val="right"/>
              <w:rPr>
                <w:rFonts w:ascii="Arial" w:hAnsi="Arial" w:cs="Arial"/>
              </w:rPr>
            </w:pPr>
            <w:r w:rsidRPr="000A5B5D">
              <w:rPr>
                <w:rFonts w:ascii="Arial" w:hAnsi="Arial" w:cs="Arial"/>
              </w:rPr>
              <w:t>33,928.53</w:t>
            </w:r>
          </w:p>
        </w:tc>
        <w:tc>
          <w:tcPr>
            <w:tcW w:w="1147" w:type="dxa"/>
            <w:vAlign w:val="center"/>
          </w:tcPr>
          <w:p w:rsidR="00851B9D" w:rsidRPr="000A5B5D" w:rsidRDefault="00851B9D" w:rsidP="00851B9D">
            <w:pPr>
              <w:jc w:val="right"/>
              <w:rPr>
                <w:rFonts w:ascii="Arial" w:hAnsi="Arial" w:cs="Arial"/>
              </w:rPr>
            </w:pPr>
            <w:r w:rsidRPr="000A5B5D">
              <w:rPr>
                <w:rFonts w:ascii="Arial" w:hAnsi="Arial" w:cs="Arial"/>
              </w:rPr>
              <w:t>342,248.80</w:t>
            </w:r>
          </w:p>
        </w:tc>
        <w:tc>
          <w:tcPr>
            <w:tcW w:w="882" w:type="dxa"/>
            <w:vAlign w:val="center"/>
          </w:tcPr>
          <w:p w:rsidR="00851B9D" w:rsidRPr="000A5B5D" w:rsidRDefault="00851B9D" w:rsidP="00851B9D">
            <w:pPr>
              <w:jc w:val="right"/>
              <w:rPr>
                <w:rFonts w:ascii="Arial" w:hAnsi="Arial" w:cs="Arial"/>
              </w:rPr>
            </w:pPr>
            <w:r w:rsidRPr="000A5B5D">
              <w:rPr>
                <w:rFonts w:ascii="Arial" w:hAnsi="Arial" w:cs="Arial"/>
              </w:rPr>
              <w:t>2,092.18</w:t>
            </w:r>
          </w:p>
        </w:tc>
        <w:tc>
          <w:tcPr>
            <w:tcW w:w="887" w:type="dxa"/>
            <w:vAlign w:val="center"/>
          </w:tcPr>
          <w:p w:rsidR="00851B9D" w:rsidRPr="000A5B5D" w:rsidRDefault="00851B9D" w:rsidP="00851B9D">
            <w:pPr>
              <w:jc w:val="right"/>
              <w:rPr>
                <w:rFonts w:ascii="Arial" w:hAnsi="Arial" w:cs="Arial"/>
              </w:rPr>
            </w:pPr>
            <w:r w:rsidRPr="000A5B5D">
              <w:rPr>
                <w:rFonts w:ascii="Arial" w:hAnsi="Arial" w:cs="Arial"/>
              </w:rPr>
              <w:t>2,092.18</w:t>
            </w:r>
          </w:p>
        </w:tc>
        <w:tc>
          <w:tcPr>
            <w:tcW w:w="1031" w:type="dxa"/>
            <w:vAlign w:val="center"/>
          </w:tcPr>
          <w:p w:rsidR="00851B9D" w:rsidRPr="000A5B5D" w:rsidRDefault="00851B9D" w:rsidP="00851B9D">
            <w:pPr>
              <w:jc w:val="right"/>
              <w:rPr>
                <w:rFonts w:ascii="Arial" w:hAnsi="Arial" w:cs="Arial"/>
              </w:rPr>
            </w:pPr>
            <w:r w:rsidRPr="000A5B5D">
              <w:rPr>
                <w:rFonts w:ascii="Arial" w:hAnsi="Arial" w:cs="Arial"/>
              </w:rPr>
              <w:t>15,822.14</w:t>
            </w:r>
          </w:p>
        </w:tc>
      </w:tr>
      <w:tr w:rsidR="00851B9D" w:rsidRPr="000A5B5D" w:rsidTr="00851B9D">
        <w:trPr>
          <w:trHeight w:val="425"/>
          <w:jc w:val="center"/>
        </w:trPr>
        <w:tc>
          <w:tcPr>
            <w:tcW w:w="1154" w:type="dxa"/>
            <w:tcBorders>
              <w:bottom w:val="single" w:sz="12" w:space="0" w:color="auto"/>
            </w:tcBorders>
            <w:vAlign w:val="center"/>
          </w:tcPr>
          <w:p w:rsidR="00851B9D" w:rsidRPr="000A5B5D" w:rsidRDefault="00851B9D" w:rsidP="00851B9D">
            <w:pPr>
              <w:widowControl/>
              <w:rPr>
                <w:rFonts w:ascii="Arial" w:hAnsi="Arial" w:cs="Arial"/>
              </w:rPr>
            </w:pPr>
            <w:r w:rsidRPr="000A5B5D">
              <w:rPr>
                <w:rFonts w:ascii="Arial" w:hAnsi="Arial" w:cs="Arial" w:hint="eastAsia"/>
              </w:rPr>
              <w:t>浙江逸盛石化有限公司</w:t>
            </w:r>
          </w:p>
        </w:tc>
        <w:tc>
          <w:tcPr>
            <w:tcW w:w="1134"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1,973,938.53</w:t>
            </w:r>
          </w:p>
        </w:tc>
        <w:tc>
          <w:tcPr>
            <w:tcW w:w="1051"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8,923.40</w:t>
            </w:r>
          </w:p>
        </w:tc>
        <w:tc>
          <w:tcPr>
            <w:tcW w:w="1050"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9,079.53</w:t>
            </w:r>
          </w:p>
        </w:tc>
        <w:tc>
          <w:tcPr>
            <w:tcW w:w="986"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122,202.75</w:t>
            </w:r>
          </w:p>
        </w:tc>
        <w:tc>
          <w:tcPr>
            <w:tcW w:w="1147"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1,774,296.07</w:t>
            </w:r>
          </w:p>
        </w:tc>
        <w:tc>
          <w:tcPr>
            <w:tcW w:w="882"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3,658.19</w:t>
            </w:r>
          </w:p>
        </w:tc>
        <w:tc>
          <w:tcPr>
            <w:tcW w:w="887"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3,658.19</w:t>
            </w:r>
          </w:p>
        </w:tc>
        <w:tc>
          <w:tcPr>
            <w:tcW w:w="1031" w:type="dxa"/>
            <w:tcBorders>
              <w:bottom w:val="single" w:sz="12" w:space="0" w:color="auto"/>
            </w:tcBorders>
            <w:vAlign w:val="center"/>
          </w:tcPr>
          <w:p w:rsidR="00851B9D" w:rsidRPr="000A5B5D" w:rsidRDefault="00851B9D" w:rsidP="00851B9D">
            <w:pPr>
              <w:jc w:val="right"/>
              <w:rPr>
                <w:rFonts w:ascii="Arial" w:hAnsi="Arial" w:cs="Arial"/>
              </w:rPr>
            </w:pPr>
            <w:r w:rsidRPr="000A5B5D">
              <w:rPr>
                <w:rFonts w:ascii="Arial" w:hAnsi="Arial" w:cs="Arial"/>
              </w:rPr>
              <w:t>-115,272.44</w:t>
            </w:r>
          </w:p>
        </w:tc>
      </w:tr>
    </w:tbl>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w:t>
      </w:r>
      <w:r w:rsidRPr="000A5B5D">
        <w:rPr>
          <w:rFonts w:ascii="Arial" w:hAnsi="Arial" w:cs="Arial" w:hint="eastAsia"/>
          <w:b/>
          <w:bCs/>
          <w:sz w:val="24"/>
        </w:rPr>
        <w:t>、在子公司的所有者权益份额发生变化且仍控制子公司的交易</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本公司本年度无在子公司的所有者权益份额发生变化且仍控制子公司的交易</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3</w:t>
      </w:r>
      <w:r w:rsidRPr="000A5B5D">
        <w:rPr>
          <w:rFonts w:ascii="Arial" w:hAnsi="Arial" w:cs="Arial" w:hint="eastAsia"/>
          <w:b/>
          <w:bCs/>
          <w:sz w:val="24"/>
        </w:rPr>
        <w:t>、在合营企业或联营企业中的权益</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）合营企业或联营企业</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082"/>
        <w:gridCol w:w="798"/>
        <w:gridCol w:w="616"/>
        <w:gridCol w:w="1651"/>
        <w:gridCol w:w="700"/>
        <w:gridCol w:w="826"/>
        <w:gridCol w:w="1541"/>
      </w:tblGrid>
      <w:tr w:rsidR="00851B9D" w:rsidRPr="000A5B5D" w:rsidTr="00851B9D">
        <w:trPr>
          <w:trHeight w:val="397"/>
          <w:tblHeader/>
        </w:trPr>
        <w:tc>
          <w:tcPr>
            <w:tcW w:w="3082"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合营企业或联营企业名称</w:t>
            </w:r>
          </w:p>
        </w:tc>
        <w:tc>
          <w:tcPr>
            <w:tcW w:w="798"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主要经营地</w:t>
            </w:r>
          </w:p>
        </w:tc>
        <w:tc>
          <w:tcPr>
            <w:tcW w:w="616"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注册地</w:t>
            </w:r>
          </w:p>
        </w:tc>
        <w:tc>
          <w:tcPr>
            <w:tcW w:w="1651"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业务性质</w:t>
            </w:r>
          </w:p>
        </w:tc>
        <w:tc>
          <w:tcPr>
            <w:tcW w:w="1526" w:type="dxa"/>
            <w:gridSpan w:val="2"/>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持股比例</w:t>
            </w:r>
            <w:r w:rsidRPr="000A5B5D">
              <w:rPr>
                <w:rFonts w:ascii="Arial" w:hAnsi="Arial" w:cs="Arial"/>
                <w:kern w:val="0"/>
                <w:szCs w:val="21"/>
              </w:rPr>
              <w:t>(%)</w:t>
            </w:r>
          </w:p>
        </w:tc>
        <w:tc>
          <w:tcPr>
            <w:tcW w:w="1541"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lang w:val="en-GB"/>
              </w:rPr>
              <w:t>对合营企业或联营企业投资的</w:t>
            </w:r>
            <w:r w:rsidRPr="000A5B5D">
              <w:rPr>
                <w:rFonts w:ascii="Arial" w:hAnsi="Arial" w:cs="Arial" w:hint="eastAsia"/>
              </w:rPr>
              <w:t>会计处理方法</w:t>
            </w:r>
          </w:p>
        </w:tc>
      </w:tr>
      <w:tr w:rsidR="00851B9D" w:rsidRPr="000A5B5D" w:rsidTr="00851B9D">
        <w:trPr>
          <w:trHeight w:val="397"/>
        </w:trPr>
        <w:tc>
          <w:tcPr>
            <w:tcW w:w="3082" w:type="dxa"/>
            <w:vMerge/>
            <w:vAlign w:val="center"/>
          </w:tcPr>
          <w:p w:rsidR="00851B9D" w:rsidRPr="000A5B5D" w:rsidRDefault="00851B9D" w:rsidP="00851B9D">
            <w:pPr>
              <w:widowControl/>
              <w:jc w:val="left"/>
              <w:rPr>
                <w:rFonts w:ascii="Arial" w:hAnsi="Arial" w:cs="Arial"/>
                <w:kern w:val="0"/>
                <w:szCs w:val="21"/>
              </w:rPr>
            </w:pPr>
          </w:p>
        </w:tc>
        <w:tc>
          <w:tcPr>
            <w:tcW w:w="798" w:type="dxa"/>
            <w:vMerge/>
            <w:vAlign w:val="center"/>
          </w:tcPr>
          <w:p w:rsidR="00851B9D" w:rsidRPr="000A5B5D" w:rsidRDefault="00851B9D" w:rsidP="00851B9D">
            <w:pPr>
              <w:widowControl/>
              <w:rPr>
                <w:rFonts w:ascii="Arial" w:hAnsi="Arial" w:cs="Arial"/>
                <w:kern w:val="0"/>
                <w:szCs w:val="21"/>
              </w:rPr>
            </w:pPr>
          </w:p>
        </w:tc>
        <w:tc>
          <w:tcPr>
            <w:tcW w:w="616" w:type="dxa"/>
            <w:vMerge/>
            <w:vAlign w:val="center"/>
          </w:tcPr>
          <w:p w:rsidR="00851B9D" w:rsidRPr="000A5B5D" w:rsidRDefault="00851B9D" w:rsidP="00851B9D">
            <w:pPr>
              <w:widowControl/>
              <w:rPr>
                <w:rFonts w:ascii="Arial" w:hAnsi="Arial" w:cs="Arial"/>
                <w:kern w:val="0"/>
                <w:szCs w:val="21"/>
              </w:rPr>
            </w:pPr>
          </w:p>
        </w:tc>
        <w:tc>
          <w:tcPr>
            <w:tcW w:w="1651" w:type="dxa"/>
            <w:vMerge/>
            <w:vAlign w:val="center"/>
          </w:tcPr>
          <w:p w:rsidR="00851B9D" w:rsidRPr="000A5B5D" w:rsidRDefault="00851B9D" w:rsidP="00851B9D">
            <w:pPr>
              <w:widowControl/>
              <w:rPr>
                <w:rFonts w:ascii="Arial" w:hAnsi="Arial" w:cs="Arial"/>
                <w:kern w:val="0"/>
                <w:szCs w:val="21"/>
              </w:rPr>
            </w:pPr>
          </w:p>
        </w:tc>
        <w:tc>
          <w:tcPr>
            <w:tcW w:w="700" w:type="dxa"/>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直接</w:t>
            </w:r>
          </w:p>
        </w:tc>
        <w:tc>
          <w:tcPr>
            <w:tcW w:w="826" w:type="dxa"/>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间接</w:t>
            </w:r>
          </w:p>
        </w:tc>
        <w:tc>
          <w:tcPr>
            <w:tcW w:w="1541" w:type="dxa"/>
            <w:vMerge/>
            <w:vAlign w:val="center"/>
          </w:tcPr>
          <w:p w:rsidR="00851B9D" w:rsidRPr="000A5B5D" w:rsidRDefault="00851B9D" w:rsidP="00851B9D">
            <w:pPr>
              <w:widowControl/>
              <w:rPr>
                <w:rFonts w:ascii="Arial" w:hAnsi="Arial" w:cs="Arial"/>
                <w:kern w:val="0"/>
                <w:szCs w:val="21"/>
              </w:rPr>
            </w:pPr>
          </w:p>
        </w:tc>
      </w:tr>
      <w:tr w:rsidR="00851B9D" w:rsidRPr="000A5B5D" w:rsidTr="00851B9D">
        <w:trPr>
          <w:trHeight w:val="397"/>
        </w:trPr>
        <w:tc>
          <w:tcPr>
            <w:tcW w:w="3082"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rPr>
              <w:t>浙江巴陵恒逸已内酰胺有限责任公司</w:t>
            </w:r>
          </w:p>
        </w:tc>
        <w:tc>
          <w:tcPr>
            <w:tcW w:w="798" w:type="dxa"/>
            <w:vAlign w:val="center"/>
          </w:tcPr>
          <w:p w:rsidR="00851B9D" w:rsidRPr="000A5B5D" w:rsidRDefault="00851B9D" w:rsidP="00851B9D">
            <w:pPr>
              <w:widowControl/>
              <w:jc w:val="right"/>
              <w:rPr>
                <w:rFonts w:ascii="Arial" w:hAnsi="Arial" w:cs="Arial"/>
                <w:kern w:val="0"/>
                <w:szCs w:val="21"/>
              </w:rPr>
            </w:pPr>
            <w:r w:rsidRPr="000A5B5D">
              <w:rPr>
                <w:rFonts w:ascii="Arial" w:hAnsi="Arial" w:cs="Arial" w:hint="eastAsia"/>
                <w:kern w:val="0"/>
              </w:rPr>
              <w:t>萧山</w:t>
            </w:r>
          </w:p>
        </w:tc>
        <w:tc>
          <w:tcPr>
            <w:tcW w:w="616" w:type="dxa"/>
            <w:vAlign w:val="center"/>
          </w:tcPr>
          <w:p w:rsidR="00851B9D" w:rsidRPr="000A5B5D" w:rsidRDefault="00851B9D" w:rsidP="00851B9D">
            <w:pPr>
              <w:widowControl/>
              <w:jc w:val="right"/>
              <w:rPr>
                <w:rFonts w:ascii="Arial" w:hAnsi="Arial" w:cs="Arial"/>
                <w:kern w:val="0"/>
                <w:szCs w:val="21"/>
              </w:rPr>
            </w:pPr>
            <w:r w:rsidRPr="000A5B5D">
              <w:rPr>
                <w:rFonts w:ascii="Arial" w:hAnsi="Arial" w:cs="Arial" w:hint="eastAsia"/>
                <w:kern w:val="0"/>
              </w:rPr>
              <w:t>萧山</w:t>
            </w:r>
          </w:p>
        </w:tc>
        <w:tc>
          <w:tcPr>
            <w:tcW w:w="1651" w:type="dxa"/>
            <w:vAlign w:val="center"/>
          </w:tcPr>
          <w:p w:rsidR="00851B9D" w:rsidRPr="000A5B5D" w:rsidRDefault="00851B9D" w:rsidP="00851B9D">
            <w:pPr>
              <w:widowControl/>
              <w:jc w:val="right"/>
              <w:rPr>
                <w:rFonts w:ascii="Arial" w:hAnsi="Arial" w:cs="Arial"/>
                <w:kern w:val="0"/>
                <w:szCs w:val="21"/>
              </w:rPr>
            </w:pPr>
            <w:r w:rsidRPr="000A5B5D">
              <w:rPr>
                <w:rFonts w:ascii="Arial" w:hAnsi="Arial" w:cs="Arial" w:hint="eastAsia"/>
                <w:kern w:val="0"/>
              </w:rPr>
              <w:t>化纤产品制造</w:t>
            </w:r>
          </w:p>
        </w:tc>
        <w:tc>
          <w:tcPr>
            <w:tcW w:w="700"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2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50.00</w:t>
            </w:r>
          </w:p>
        </w:tc>
        <w:tc>
          <w:tcPr>
            <w:tcW w:w="1541" w:type="dxa"/>
            <w:vAlign w:val="center"/>
          </w:tcPr>
          <w:p w:rsidR="00851B9D" w:rsidRPr="000A5B5D" w:rsidRDefault="00851B9D" w:rsidP="00851B9D">
            <w:pPr>
              <w:widowControl/>
              <w:ind w:right="105"/>
              <w:jc w:val="right"/>
              <w:rPr>
                <w:rFonts w:ascii="Arial" w:hAnsi="Arial" w:cs="Arial"/>
                <w:kern w:val="0"/>
              </w:rPr>
            </w:pPr>
            <w:r w:rsidRPr="000A5B5D">
              <w:rPr>
                <w:rFonts w:ascii="Arial" w:hAnsi="Arial" w:cs="Arial" w:hint="eastAsia"/>
                <w:kern w:val="0"/>
              </w:rPr>
              <w:t>权益法</w:t>
            </w:r>
          </w:p>
        </w:tc>
      </w:tr>
      <w:tr w:rsidR="00851B9D" w:rsidRPr="000A5B5D" w:rsidTr="00851B9D">
        <w:trPr>
          <w:trHeight w:val="397"/>
        </w:trPr>
        <w:tc>
          <w:tcPr>
            <w:tcW w:w="3082" w:type="dxa"/>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大连逸盛投资有限公司</w:t>
            </w:r>
          </w:p>
        </w:tc>
        <w:tc>
          <w:tcPr>
            <w:tcW w:w="798"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大连</w:t>
            </w:r>
          </w:p>
        </w:tc>
        <w:tc>
          <w:tcPr>
            <w:tcW w:w="616"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大连</w:t>
            </w:r>
          </w:p>
        </w:tc>
        <w:tc>
          <w:tcPr>
            <w:tcW w:w="1651" w:type="dxa"/>
            <w:vAlign w:val="center"/>
          </w:tcPr>
          <w:p w:rsidR="00851B9D" w:rsidRPr="000A5B5D" w:rsidRDefault="00851B9D" w:rsidP="00851B9D">
            <w:pPr>
              <w:widowControl/>
              <w:ind w:rightChars="20" w:right="36"/>
              <w:jc w:val="right"/>
              <w:rPr>
                <w:rFonts w:ascii="Arial" w:hAnsi="Arial" w:cs="Arial"/>
                <w:kern w:val="0"/>
              </w:rPr>
            </w:pPr>
            <w:r w:rsidRPr="000A5B5D">
              <w:rPr>
                <w:rFonts w:ascii="Arial" w:hAnsi="Arial" w:cs="Arial" w:hint="eastAsia"/>
                <w:kern w:val="0"/>
              </w:rPr>
              <w:t>贸易、投资</w:t>
            </w:r>
          </w:p>
        </w:tc>
        <w:tc>
          <w:tcPr>
            <w:tcW w:w="700"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2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30.00</w:t>
            </w:r>
          </w:p>
        </w:tc>
        <w:tc>
          <w:tcPr>
            <w:tcW w:w="154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权益法</w:t>
            </w:r>
          </w:p>
        </w:tc>
      </w:tr>
      <w:tr w:rsidR="00851B9D" w:rsidRPr="000A5B5D" w:rsidTr="00851B9D">
        <w:trPr>
          <w:trHeight w:val="397"/>
        </w:trPr>
        <w:tc>
          <w:tcPr>
            <w:tcW w:w="3082" w:type="dxa"/>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逸盛大化石化有限公司</w:t>
            </w:r>
          </w:p>
        </w:tc>
        <w:tc>
          <w:tcPr>
            <w:tcW w:w="798"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rPr>
              <w:t>大连</w:t>
            </w:r>
          </w:p>
        </w:tc>
        <w:tc>
          <w:tcPr>
            <w:tcW w:w="616"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rPr>
              <w:t>大连</w:t>
            </w:r>
          </w:p>
        </w:tc>
        <w:tc>
          <w:tcPr>
            <w:tcW w:w="1651" w:type="dxa"/>
            <w:vAlign w:val="center"/>
          </w:tcPr>
          <w:p w:rsidR="00851B9D" w:rsidRPr="000A5B5D" w:rsidRDefault="00851B9D" w:rsidP="00851B9D">
            <w:pPr>
              <w:ind w:rightChars="20" w:right="36"/>
              <w:jc w:val="right"/>
              <w:rPr>
                <w:rFonts w:ascii="Arial" w:hAnsi="Arial" w:cs="Arial"/>
                <w:kern w:val="0"/>
              </w:rPr>
            </w:pPr>
            <w:r w:rsidRPr="000A5B5D">
              <w:rPr>
                <w:rFonts w:ascii="Arial" w:hAnsi="Arial" w:cs="Arial" w:hint="eastAsia"/>
              </w:rPr>
              <w:t>生产销售对二甲苯</w:t>
            </w:r>
          </w:p>
        </w:tc>
        <w:tc>
          <w:tcPr>
            <w:tcW w:w="700"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2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25.38</w:t>
            </w:r>
          </w:p>
        </w:tc>
        <w:tc>
          <w:tcPr>
            <w:tcW w:w="154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权益法</w:t>
            </w:r>
          </w:p>
        </w:tc>
      </w:tr>
      <w:tr w:rsidR="00851B9D" w:rsidRPr="000A5B5D" w:rsidTr="00851B9D">
        <w:trPr>
          <w:trHeight w:val="397"/>
        </w:trPr>
        <w:tc>
          <w:tcPr>
            <w:tcW w:w="3082" w:type="dxa"/>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海南逸盛石化有限公司</w:t>
            </w:r>
          </w:p>
        </w:tc>
        <w:tc>
          <w:tcPr>
            <w:tcW w:w="798"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rPr>
              <w:t>海南</w:t>
            </w:r>
          </w:p>
        </w:tc>
        <w:tc>
          <w:tcPr>
            <w:tcW w:w="616"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rPr>
              <w:t>海南</w:t>
            </w:r>
          </w:p>
        </w:tc>
        <w:tc>
          <w:tcPr>
            <w:tcW w:w="1651" w:type="dxa"/>
            <w:vAlign w:val="center"/>
          </w:tcPr>
          <w:p w:rsidR="00851B9D" w:rsidRPr="000A5B5D" w:rsidRDefault="00851B9D" w:rsidP="00851B9D">
            <w:pPr>
              <w:ind w:rightChars="20" w:right="36"/>
              <w:jc w:val="right"/>
              <w:rPr>
                <w:rFonts w:ascii="Arial" w:hAnsi="Arial" w:cs="Arial"/>
                <w:kern w:val="0"/>
              </w:rPr>
            </w:pPr>
            <w:r w:rsidRPr="000A5B5D">
              <w:rPr>
                <w:rFonts w:ascii="Arial" w:hAnsi="Arial" w:cs="Arial" w:hint="eastAsia"/>
              </w:rPr>
              <w:t>生产销售、进出口</w:t>
            </w:r>
          </w:p>
        </w:tc>
        <w:tc>
          <w:tcPr>
            <w:tcW w:w="700"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26" w:type="dxa"/>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37.50</w:t>
            </w:r>
          </w:p>
        </w:tc>
        <w:tc>
          <w:tcPr>
            <w:tcW w:w="1541" w:type="dxa"/>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权益法</w:t>
            </w:r>
          </w:p>
        </w:tc>
      </w:tr>
      <w:tr w:rsidR="00851B9D" w:rsidRPr="000A5B5D" w:rsidTr="00851B9D">
        <w:trPr>
          <w:trHeight w:val="397"/>
        </w:trPr>
        <w:tc>
          <w:tcPr>
            <w:tcW w:w="3082" w:type="dxa"/>
            <w:tcBorders>
              <w:bottom w:val="single" w:sz="12" w:space="0" w:color="auto"/>
            </w:tcBorders>
            <w:vAlign w:val="center"/>
          </w:tcPr>
          <w:p w:rsidR="00851B9D" w:rsidRPr="000A5B5D" w:rsidRDefault="00851B9D" w:rsidP="00851B9D">
            <w:pPr>
              <w:widowControl/>
              <w:rPr>
                <w:rFonts w:ascii="Arial" w:hAnsi="Arial" w:cs="Arial"/>
                <w:kern w:val="0"/>
              </w:rPr>
            </w:pPr>
            <w:r w:rsidRPr="000A5B5D">
              <w:rPr>
                <w:rFonts w:ascii="Arial" w:hAnsi="Arial" w:cs="Arial" w:hint="eastAsia"/>
                <w:kern w:val="0"/>
              </w:rPr>
              <w:t>浙商银行股份有限公司</w:t>
            </w:r>
          </w:p>
        </w:tc>
        <w:tc>
          <w:tcPr>
            <w:tcW w:w="798" w:type="dxa"/>
            <w:tcBorders>
              <w:bottom w:val="single" w:sz="12" w:space="0" w:color="auto"/>
            </w:tcBorders>
            <w:vAlign w:val="center"/>
          </w:tcPr>
          <w:p w:rsidR="00851B9D" w:rsidRPr="000A5B5D" w:rsidRDefault="00851B9D" w:rsidP="00851B9D">
            <w:pPr>
              <w:widowControl/>
              <w:jc w:val="right"/>
              <w:rPr>
                <w:rFonts w:ascii="Arial" w:hAnsi="Arial" w:cs="Arial"/>
              </w:rPr>
            </w:pPr>
            <w:r w:rsidRPr="000A5B5D">
              <w:rPr>
                <w:rFonts w:ascii="Arial" w:hAnsi="Arial" w:cs="Arial" w:hint="eastAsia"/>
              </w:rPr>
              <w:t>杭州</w:t>
            </w:r>
          </w:p>
        </w:tc>
        <w:tc>
          <w:tcPr>
            <w:tcW w:w="616" w:type="dxa"/>
            <w:tcBorders>
              <w:bottom w:val="single" w:sz="12" w:space="0" w:color="auto"/>
            </w:tcBorders>
            <w:vAlign w:val="center"/>
          </w:tcPr>
          <w:p w:rsidR="00851B9D" w:rsidRPr="000A5B5D" w:rsidRDefault="00851B9D" w:rsidP="00851B9D">
            <w:pPr>
              <w:widowControl/>
              <w:jc w:val="right"/>
              <w:rPr>
                <w:rFonts w:ascii="Arial" w:hAnsi="Arial" w:cs="Arial"/>
              </w:rPr>
            </w:pPr>
            <w:r w:rsidRPr="000A5B5D">
              <w:rPr>
                <w:rFonts w:ascii="Arial" w:hAnsi="Arial" w:cs="Arial" w:hint="eastAsia"/>
              </w:rPr>
              <w:t>杭州</w:t>
            </w:r>
          </w:p>
        </w:tc>
        <w:tc>
          <w:tcPr>
            <w:tcW w:w="1651" w:type="dxa"/>
            <w:tcBorders>
              <w:bottom w:val="single" w:sz="12" w:space="0" w:color="auto"/>
            </w:tcBorders>
            <w:vAlign w:val="center"/>
          </w:tcPr>
          <w:p w:rsidR="00851B9D" w:rsidRPr="000A5B5D" w:rsidRDefault="00851B9D" w:rsidP="00851B9D">
            <w:pPr>
              <w:ind w:rightChars="20" w:right="36"/>
              <w:jc w:val="right"/>
              <w:rPr>
                <w:rFonts w:ascii="Arial" w:hAnsi="Arial" w:cs="Arial"/>
              </w:rPr>
            </w:pPr>
            <w:r w:rsidRPr="000A5B5D">
              <w:rPr>
                <w:rFonts w:ascii="Arial" w:hAnsi="Arial" w:cs="Arial" w:hint="eastAsia"/>
              </w:rPr>
              <w:t>金融业</w:t>
            </w:r>
          </w:p>
        </w:tc>
        <w:tc>
          <w:tcPr>
            <w:tcW w:w="700"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0.00</w:t>
            </w:r>
          </w:p>
        </w:tc>
        <w:tc>
          <w:tcPr>
            <w:tcW w:w="826"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kern w:val="0"/>
              </w:rPr>
              <w:t>5.16</w:t>
            </w:r>
          </w:p>
        </w:tc>
        <w:tc>
          <w:tcPr>
            <w:tcW w:w="1541" w:type="dxa"/>
            <w:tcBorders>
              <w:bottom w:val="single" w:sz="12" w:space="0" w:color="auto"/>
            </w:tcBorders>
            <w:vAlign w:val="center"/>
          </w:tcPr>
          <w:p w:rsidR="00851B9D" w:rsidRPr="000A5B5D" w:rsidRDefault="00851B9D" w:rsidP="00851B9D">
            <w:pPr>
              <w:widowControl/>
              <w:jc w:val="right"/>
              <w:rPr>
                <w:rFonts w:ascii="Arial" w:hAnsi="Arial" w:cs="Arial"/>
                <w:kern w:val="0"/>
              </w:rPr>
            </w:pPr>
            <w:r w:rsidRPr="000A5B5D">
              <w:rPr>
                <w:rFonts w:ascii="Arial" w:hAnsi="Arial" w:cs="Arial" w:hint="eastAsia"/>
                <w:kern w:val="0"/>
              </w:rPr>
              <w:t>权益法</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bCs/>
          <w:sz w:val="24"/>
        </w:rPr>
        <w:t>注</w:t>
      </w:r>
      <w:r w:rsidRPr="000A5B5D">
        <w:rPr>
          <w:rFonts w:ascii="Arial" w:hAnsi="Arial" w:cs="Arial"/>
          <w:bCs/>
          <w:sz w:val="24"/>
        </w:rPr>
        <w:t>1</w:t>
      </w:r>
      <w:r w:rsidRPr="000A5B5D">
        <w:rPr>
          <w:rFonts w:ascii="Arial" w:hAnsi="Arial" w:cs="Arial" w:hint="eastAsia"/>
          <w:bCs/>
          <w:sz w:val="24"/>
        </w:rPr>
        <w:t>：</w:t>
      </w:r>
      <w:r w:rsidRPr="000A5B5D">
        <w:rPr>
          <w:rFonts w:ascii="Arial" w:hAnsi="Arial" w:cs="Arial" w:hint="eastAsia"/>
          <w:sz w:val="24"/>
        </w:rPr>
        <w:t>本公司通过</w:t>
      </w:r>
      <w:r w:rsidRPr="000A5B5D">
        <w:rPr>
          <w:rFonts w:ascii="Arial" w:hAnsi="Arial" w:cs="Arial" w:hint="eastAsia"/>
          <w:bCs/>
          <w:sz w:val="24"/>
          <w:szCs w:val="24"/>
        </w:rPr>
        <w:t>恒逸有限</w:t>
      </w:r>
      <w:r w:rsidRPr="000A5B5D">
        <w:rPr>
          <w:rFonts w:ascii="Arial" w:hAnsi="Arial" w:cs="Arial" w:hint="eastAsia"/>
          <w:sz w:val="24"/>
        </w:rPr>
        <w:t>的联营企业大连逸盛投资有限公司（以下简称</w:t>
      </w:r>
      <w:r w:rsidRPr="000A5B5D">
        <w:rPr>
          <w:rFonts w:ascii="Arial" w:hAnsi="Arial" w:cs="Arial"/>
          <w:sz w:val="24"/>
        </w:rPr>
        <w:t>“</w:t>
      </w:r>
      <w:r w:rsidRPr="000A5B5D">
        <w:rPr>
          <w:rFonts w:ascii="Arial" w:hAnsi="Arial" w:cs="Arial" w:hint="eastAsia"/>
          <w:sz w:val="24"/>
        </w:rPr>
        <w:t>逸盛投资</w:t>
      </w:r>
      <w:r w:rsidRPr="000A5B5D">
        <w:rPr>
          <w:rFonts w:ascii="Arial" w:hAnsi="Arial" w:cs="Arial"/>
          <w:sz w:val="24"/>
        </w:rPr>
        <w:t>”</w:t>
      </w:r>
      <w:r w:rsidRPr="000A5B5D">
        <w:rPr>
          <w:rFonts w:ascii="Arial" w:hAnsi="Arial" w:cs="Arial" w:hint="eastAsia"/>
          <w:sz w:val="24"/>
        </w:rPr>
        <w:t>）间</w:t>
      </w:r>
      <w:r w:rsidRPr="000A5B5D">
        <w:rPr>
          <w:rFonts w:ascii="Arial" w:hAnsi="Arial" w:cs="Arial" w:hint="eastAsia"/>
          <w:sz w:val="24"/>
        </w:rPr>
        <w:lastRenderedPageBreak/>
        <w:t>接享有其控股子公司（期末持股比例</w:t>
      </w:r>
      <w:r w:rsidRPr="000A5B5D">
        <w:rPr>
          <w:rFonts w:ascii="Arial" w:hAnsi="Arial" w:cs="Arial"/>
          <w:sz w:val="24"/>
        </w:rPr>
        <w:t>39.08%</w:t>
      </w:r>
      <w:r w:rsidRPr="000A5B5D">
        <w:rPr>
          <w:rFonts w:ascii="Arial" w:hAnsi="Arial" w:cs="Arial" w:hint="eastAsia"/>
          <w:sz w:val="24"/>
        </w:rPr>
        <w:t>）逸盛大化石化有限公司（以下简称</w:t>
      </w:r>
      <w:r w:rsidRPr="000A5B5D">
        <w:rPr>
          <w:rFonts w:ascii="Arial" w:hAnsi="Arial" w:cs="Arial"/>
          <w:sz w:val="24"/>
        </w:rPr>
        <w:t>“</w:t>
      </w:r>
      <w:r w:rsidRPr="000A5B5D">
        <w:rPr>
          <w:rFonts w:ascii="Arial" w:hAnsi="Arial" w:cs="Arial" w:hint="eastAsia"/>
          <w:sz w:val="24"/>
        </w:rPr>
        <w:t>逸盛大化</w:t>
      </w:r>
      <w:r w:rsidRPr="000A5B5D">
        <w:rPr>
          <w:rFonts w:ascii="Arial" w:hAnsi="Arial" w:cs="Arial"/>
          <w:sz w:val="24"/>
        </w:rPr>
        <w:t>”</w:t>
      </w:r>
      <w:r w:rsidRPr="000A5B5D">
        <w:rPr>
          <w:rFonts w:ascii="Arial" w:hAnsi="Arial" w:cs="Arial" w:hint="eastAsia"/>
          <w:sz w:val="24"/>
        </w:rPr>
        <w:t>）</w:t>
      </w:r>
      <w:r w:rsidRPr="000A5B5D">
        <w:rPr>
          <w:rFonts w:ascii="Arial" w:hAnsi="Arial" w:cs="Arial"/>
          <w:sz w:val="24"/>
        </w:rPr>
        <w:t>11.73%</w:t>
      </w:r>
      <w:r w:rsidRPr="000A5B5D">
        <w:rPr>
          <w:rFonts w:ascii="Arial" w:hAnsi="Arial" w:cs="Arial" w:hint="eastAsia"/>
          <w:sz w:val="24"/>
        </w:rPr>
        <w:t>的权益。同时，本公司之全资子公司香港天逸持有逸盛大化公司</w:t>
      </w:r>
      <w:r w:rsidRPr="000A5B5D">
        <w:rPr>
          <w:rFonts w:ascii="Arial" w:hAnsi="Arial" w:cs="Arial"/>
          <w:sz w:val="24"/>
        </w:rPr>
        <w:t>13.65%</w:t>
      </w:r>
      <w:r w:rsidRPr="000A5B5D">
        <w:rPr>
          <w:rFonts w:ascii="Arial" w:hAnsi="Arial" w:cs="Arial" w:hint="eastAsia"/>
          <w:sz w:val="24"/>
        </w:rPr>
        <w:t>的股权。根据逸盛大化</w:t>
      </w:r>
      <w:r w:rsidRPr="000A5B5D">
        <w:rPr>
          <w:rFonts w:ascii="Arial" w:hAnsi="Arial" w:cs="Arial"/>
          <w:sz w:val="24"/>
        </w:rPr>
        <w:t>2012</w:t>
      </w:r>
      <w:r w:rsidRPr="000A5B5D">
        <w:rPr>
          <w:rFonts w:ascii="Arial" w:hAnsi="Arial" w:cs="Arial" w:hint="eastAsia"/>
          <w:sz w:val="24"/>
        </w:rPr>
        <w:t>年</w:t>
      </w:r>
      <w:r w:rsidRPr="000A5B5D">
        <w:rPr>
          <w:rFonts w:ascii="Arial" w:hAnsi="Arial" w:cs="Arial"/>
          <w:sz w:val="24"/>
        </w:rPr>
        <w:t>9</w:t>
      </w:r>
      <w:r w:rsidRPr="000A5B5D">
        <w:rPr>
          <w:rFonts w:ascii="Arial" w:hAnsi="Arial" w:cs="Arial" w:hint="eastAsia"/>
          <w:sz w:val="24"/>
        </w:rPr>
        <w:t>月</w:t>
      </w:r>
      <w:r w:rsidRPr="000A5B5D">
        <w:rPr>
          <w:rFonts w:ascii="Arial" w:hAnsi="Arial" w:cs="Arial"/>
          <w:sz w:val="24"/>
        </w:rPr>
        <w:t>20</w:t>
      </w:r>
      <w:r w:rsidRPr="000A5B5D">
        <w:rPr>
          <w:rFonts w:ascii="Arial" w:hAnsi="Arial" w:cs="Arial" w:hint="eastAsia"/>
          <w:sz w:val="24"/>
        </w:rPr>
        <w:t>日的股东会决议，逸盛大化董事会由</w:t>
      </w:r>
      <w:r w:rsidRPr="000A5B5D">
        <w:rPr>
          <w:rFonts w:ascii="Arial" w:hAnsi="Arial" w:cs="Arial"/>
          <w:sz w:val="24"/>
        </w:rPr>
        <w:t>7</w:t>
      </w:r>
      <w:r w:rsidRPr="000A5B5D">
        <w:rPr>
          <w:rFonts w:ascii="Arial" w:hAnsi="Arial" w:cs="Arial" w:hint="eastAsia"/>
          <w:sz w:val="24"/>
        </w:rPr>
        <w:t>名董事组成，其中一名由香港天逸委派；此外，在逸盛投资向逸盛大化委派的董事中包括一名由恒逸有限委派至逸盛投资的董事会成员。据此，本公司对逸盛大化具有重大影响，对相关投资采用权益法核算。</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注</w:t>
      </w:r>
      <w:r w:rsidRPr="000A5B5D">
        <w:rPr>
          <w:rFonts w:ascii="Arial" w:hAnsi="Arial" w:cs="Arial"/>
          <w:bCs/>
          <w:sz w:val="24"/>
        </w:rPr>
        <w:t>2</w:t>
      </w:r>
      <w:r w:rsidRPr="000A5B5D">
        <w:rPr>
          <w:rFonts w:ascii="Arial" w:hAnsi="Arial" w:cs="Arial" w:hint="eastAsia"/>
          <w:bCs/>
          <w:sz w:val="24"/>
        </w:rPr>
        <w:t>：本公司持有浙商银行股份有限公司</w:t>
      </w:r>
      <w:r w:rsidRPr="000A5B5D">
        <w:rPr>
          <w:rFonts w:ascii="Arial" w:hAnsi="Arial" w:cs="Arial"/>
          <w:bCs/>
          <w:sz w:val="24"/>
        </w:rPr>
        <w:t>5.16%</w:t>
      </w:r>
      <w:r w:rsidRPr="000A5B5D">
        <w:rPr>
          <w:rFonts w:ascii="Arial" w:hAnsi="Arial" w:cs="Arial" w:hint="eastAsia"/>
          <w:bCs/>
          <w:sz w:val="24"/>
        </w:rPr>
        <w:t>的股份，并在该公司董事会中派有代表，享有实质性的参与决策权，公司可以通过该代表参与浙商银行股份有限公司财务和经营政策的制定，达到对其施加重大影响。</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2</w:t>
      </w:r>
      <w:r w:rsidRPr="000A5B5D">
        <w:rPr>
          <w:rFonts w:ascii="Arial" w:hAnsi="Arial" w:cs="Arial" w:hint="eastAsia"/>
          <w:bCs/>
          <w:sz w:val="24"/>
        </w:rPr>
        <w:t>）重要合营企业的主要财务信息</w:t>
      </w:r>
      <w:r w:rsidRPr="000A5B5D">
        <w:rPr>
          <w:rFonts w:ascii="Arial" w:hAnsi="Arial" w:cs="Arial"/>
          <w:bCs/>
          <w:sz w:val="24"/>
        </w:rPr>
        <w:t xml:space="preserve">                              </w:t>
      </w:r>
      <w:r w:rsidRPr="000A5B5D">
        <w:rPr>
          <w:rFonts w:ascii="Arial" w:hAnsi="Arial" w:cs="Arial" w:hint="eastAsia"/>
          <w:bCs/>
          <w:sz w:val="24"/>
        </w:rPr>
        <w:t>单位：万元</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769"/>
        <w:gridCol w:w="2144"/>
        <w:gridCol w:w="2143"/>
      </w:tblGrid>
      <w:tr w:rsidR="00851B9D" w:rsidRPr="000A5B5D" w:rsidTr="00851B9D">
        <w:trPr>
          <w:trHeight w:val="397"/>
          <w:tblHeader/>
          <w:jc w:val="center"/>
        </w:trPr>
        <w:tc>
          <w:tcPr>
            <w:tcW w:w="4769" w:type="dxa"/>
            <w:vMerge w:val="restart"/>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项</w:t>
            </w:r>
            <w:r w:rsidRPr="000A5B5D">
              <w:rPr>
                <w:rFonts w:ascii="Arial" w:hAnsi="Arial" w:cs="Arial"/>
                <w:kern w:val="0"/>
                <w:szCs w:val="21"/>
              </w:rPr>
              <w:t xml:space="preserve">    </w:t>
            </w:r>
            <w:r w:rsidRPr="000A5B5D">
              <w:rPr>
                <w:rFonts w:ascii="Arial" w:hAnsi="Arial" w:cs="Arial" w:hint="eastAsia"/>
                <w:kern w:val="0"/>
                <w:szCs w:val="21"/>
              </w:rPr>
              <w:t>目</w:t>
            </w:r>
          </w:p>
        </w:tc>
        <w:tc>
          <w:tcPr>
            <w:tcW w:w="2144"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年末余额</w:t>
            </w:r>
            <w:r w:rsidRPr="000A5B5D">
              <w:rPr>
                <w:rFonts w:ascii="Arial" w:hAnsi="Arial" w:cs="Arial"/>
                <w:kern w:val="0"/>
                <w:szCs w:val="21"/>
              </w:rPr>
              <w:t>/</w:t>
            </w:r>
            <w:r w:rsidRPr="000A5B5D">
              <w:rPr>
                <w:rFonts w:ascii="Arial" w:hAnsi="Arial" w:cs="Arial" w:hint="eastAsia"/>
                <w:kern w:val="0"/>
                <w:szCs w:val="21"/>
              </w:rPr>
              <w:t>本年发生额</w:t>
            </w:r>
          </w:p>
        </w:tc>
        <w:tc>
          <w:tcPr>
            <w:tcW w:w="2143" w:type="dxa"/>
            <w:tcBorders>
              <w:top w:val="single" w:sz="12" w:space="0" w:color="auto"/>
            </w:tcBorders>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年初余额</w:t>
            </w:r>
            <w:r w:rsidRPr="000A5B5D">
              <w:rPr>
                <w:rFonts w:ascii="Arial" w:hAnsi="Arial" w:cs="Arial"/>
                <w:kern w:val="0"/>
                <w:szCs w:val="21"/>
              </w:rPr>
              <w:t>/</w:t>
            </w:r>
            <w:r w:rsidRPr="000A5B5D">
              <w:rPr>
                <w:rFonts w:ascii="Arial" w:hAnsi="Arial" w:cs="Arial" w:hint="eastAsia"/>
                <w:kern w:val="0"/>
                <w:szCs w:val="21"/>
              </w:rPr>
              <w:t>上年发生额</w:t>
            </w:r>
          </w:p>
        </w:tc>
      </w:tr>
      <w:tr w:rsidR="00851B9D" w:rsidRPr="000A5B5D" w:rsidTr="00851B9D">
        <w:trPr>
          <w:trHeight w:val="397"/>
          <w:tblHeader/>
          <w:jc w:val="center"/>
        </w:trPr>
        <w:tc>
          <w:tcPr>
            <w:tcW w:w="4769" w:type="dxa"/>
            <w:vMerge/>
            <w:vAlign w:val="center"/>
          </w:tcPr>
          <w:p w:rsidR="00851B9D" w:rsidRPr="000A5B5D" w:rsidRDefault="00851B9D" w:rsidP="00851B9D">
            <w:pPr>
              <w:widowControl/>
              <w:jc w:val="center"/>
              <w:rPr>
                <w:rFonts w:ascii="Arial" w:hAnsi="Arial" w:cs="Arial"/>
                <w:kern w:val="0"/>
                <w:szCs w:val="21"/>
              </w:rPr>
            </w:pPr>
          </w:p>
        </w:tc>
        <w:tc>
          <w:tcPr>
            <w:tcW w:w="2144" w:type="dxa"/>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浙江巴陵恒逸已内酰胺有限责任公司</w:t>
            </w:r>
          </w:p>
        </w:tc>
        <w:tc>
          <w:tcPr>
            <w:tcW w:w="2143" w:type="dxa"/>
            <w:vAlign w:val="center"/>
          </w:tcPr>
          <w:p w:rsidR="00851B9D" w:rsidRPr="000A5B5D" w:rsidRDefault="00851B9D" w:rsidP="00851B9D">
            <w:pPr>
              <w:widowControl/>
              <w:jc w:val="center"/>
              <w:rPr>
                <w:rFonts w:ascii="Arial" w:hAnsi="Arial" w:cs="Arial"/>
                <w:kern w:val="0"/>
                <w:szCs w:val="21"/>
              </w:rPr>
            </w:pPr>
            <w:r w:rsidRPr="000A5B5D">
              <w:rPr>
                <w:rFonts w:ascii="Arial" w:hAnsi="Arial" w:cs="Arial" w:hint="eastAsia"/>
                <w:kern w:val="0"/>
                <w:szCs w:val="21"/>
              </w:rPr>
              <w:t>浙江巴陵恒逸已内酰胺有限责任公司</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流动资产</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74,673.95</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81,692.57</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其中：现金和现金等价物</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4,365.53</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8,841.20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非流动资产</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343,443.25</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336,055.92</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资产合计</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418,117.21</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417,748.49</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流动负债</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168,352.24</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207,130.30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非流动负债</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103,540.87</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56,631.70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负债合计</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271,893.12</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263,762.00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少数股东权益</w:t>
            </w:r>
          </w:p>
        </w:tc>
        <w:tc>
          <w:tcPr>
            <w:tcW w:w="2144" w:type="dxa"/>
            <w:vAlign w:val="center"/>
          </w:tcPr>
          <w:p w:rsidR="00851B9D" w:rsidRPr="000A5B5D" w:rsidRDefault="00851B9D" w:rsidP="00851B9D">
            <w:pPr>
              <w:jc w:val="right"/>
              <w:rPr>
                <w:rFonts w:ascii="Arial Narrow" w:hAnsi="Arial Narrow"/>
                <w:szCs w:val="21"/>
              </w:rPr>
            </w:pP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归属于母公司股东权益</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146,224.09</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153,986.49</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按持股比例计算的净资产份额</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73,112.05</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76,993.25</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调整事项</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w:t>
            </w:r>
            <w:r w:rsidRPr="000A5B5D">
              <w:rPr>
                <w:rFonts w:ascii="Arial" w:hAnsi="Arial" w:cs="Arial" w:hint="eastAsia"/>
                <w:kern w:val="0"/>
                <w:szCs w:val="21"/>
              </w:rPr>
              <w:t>商誉</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w:t>
            </w:r>
            <w:r w:rsidRPr="000A5B5D">
              <w:rPr>
                <w:rFonts w:ascii="Arial" w:hAnsi="Arial" w:cs="Arial" w:hint="eastAsia"/>
                <w:kern w:val="0"/>
                <w:szCs w:val="21"/>
              </w:rPr>
              <w:t>内部交易未实现利润</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kern w:val="0"/>
                <w:szCs w:val="21"/>
              </w:rPr>
              <w:t>—</w:t>
            </w:r>
            <w:r w:rsidRPr="000A5B5D">
              <w:rPr>
                <w:rFonts w:ascii="Arial" w:hAnsi="Arial" w:cs="Arial" w:hint="eastAsia"/>
                <w:kern w:val="0"/>
                <w:szCs w:val="21"/>
              </w:rPr>
              <w:t>其他</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2,010.08</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对合营企业权益投资的账面价值</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 xml:space="preserve">75,122.12 </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79,003.32</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存在公开报价的合营企业权益投资的公允价值</w:t>
            </w:r>
          </w:p>
        </w:tc>
        <w:tc>
          <w:tcPr>
            <w:tcW w:w="2144" w:type="dxa"/>
            <w:vAlign w:val="center"/>
          </w:tcPr>
          <w:p w:rsidR="00851B9D" w:rsidRPr="000A5B5D" w:rsidRDefault="00851B9D" w:rsidP="00851B9D">
            <w:pPr>
              <w:jc w:val="right"/>
              <w:rPr>
                <w:rFonts w:ascii="Arial Narrow" w:hAnsi="Arial Narrow"/>
                <w:szCs w:val="21"/>
              </w:rPr>
            </w:pP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营业收入</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279,945.14</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374,037.79</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财务费用</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12,444.39</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16,204.84</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所得税费用</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694.27</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3,590.07</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净利润</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3,808.35</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10,722.20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终止经营的净利润</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其他综合收益</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r w:rsidR="00851B9D" w:rsidRPr="000A5B5D" w:rsidTr="00851B9D">
        <w:trPr>
          <w:trHeight w:val="397"/>
          <w:jc w:val="center"/>
        </w:trPr>
        <w:tc>
          <w:tcPr>
            <w:tcW w:w="4769" w:type="dxa"/>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lastRenderedPageBreak/>
              <w:t>综合收益总额</w:t>
            </w:r>
          </w:p>
        </w:tc>
        <w:tc>
          <w:tcPr>
            <w:tcW w:w="2144"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3,808.35</w:t>
            </w:r>
          </w:p>
        </w:tc>
        <w:tc>
          <w:tcPr>
            <w:tcW w:w="2143" w:type="dxa"/>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10,722.20</w:t>
            </w:r>
          </w:p>
        </w:tc>
      </w:tr>
      <w:tr w:rsidR="00851B9D" w:rsidRPr="000A5B5D" w:rsidTr="00851B9D">
        <w:trPr>
          <w:trHeight w:val="397"/>
          <w:jc w:val="center"/>
        </w:trPr>
        <w:tc>
          <w:tcPr>
            <w:tcW w:w="4769" w:type="dxa"/>
            <w:tcBorders>
              <w:bottom w:val="single" w:sz="12" w:space="0" w:color="auto"/>
            </w:tcBorders>
            <w:vAlign w:val="center"/>
          </w:tcPr>
          <w:p w:rsidR="00851B9D" w:rsidRPr="000A5B5D" w:rsidRDefault="00851B9D" w:rsidP="00851B9D">
            <w:pPr>
              <w:widowControl/>
              <w:rPr>
                <w:rFonts w:ascii="Arial" w:hAnsi="Arial" w:cs="Arial"/>
                <w:kern w:val="0"/>
                <w:szCs w:val="21"/>
              </w:rPr>
            </w:pPr>
            <w:r w:rsidRPr="000A5B5D">
              <w:rPr>
                <w:rFonts w:ascii="Arial" w:hAnsi="Arial" w:cs="Arial" w:hint="eastAsia"/>
                <w:kern w:val="0"/>
                <w:szCs w:val="21"/>
              </w:rPr>
              <w:t>本年度收到的来自合营企业的股利</w:t>
            </w:r>
          </w:p>
        </w:tc>
        <w:tc>
          <w:tcPr>
            <w:tcW w:w="2144" w:type="dxa"/>
            <w:tcBorders>
              <w:bottom w:val="single" w:sz="12" w:space="0" w:color="auto"/>
            </w:tcBorders>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5,785.38</w:t>
            </w:r>
          </w:p>
        </w:tc>
        <w:tc>
          <w:tcPr>
            <w:tcW w:w="2143" w:type="dxa"/>
            <w:tcBorders>
              <w:bottom w:val="single" w:sz="12" w:space="0" w:color="auto"/>
            </w:tcBorders>
            <w:vAlign w:val="center"/>
          </w:tcPr>
          <w:p w:rsidR="00851B9D" w:rsidRPr="000A5B5D" w:rsidRDefault="00851B9D" w:rsidP="00851B9D">
            <w:pPr>
              <w:jc w:val="right"/>
              <w:rPr>
                <w:rFonts w:ascii="Arial Narrow" w:hAnsi="Arial Narrow"/>
                <w:szCs w:val="21"/>
              </w:rPr>
            </w:pPr>
            <w:r w:rsidRPr="000A5B5D">
              <w:rPr>
                <w:rFonts w:ascii="Arial Narrow" w:hAnsi="Arial Narrow"/>
                <w:szCs w:val="21"/>
              </w:rPr>
              <w:t>0.00</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3</w:t>
      </w:r>
      <w:r w:rsidRPr="000A5B5D">
        <w:rPr>
          <w:rFonts w:ascii="Arial" w:hAnsi="Arial" w:cs="Arial" w:hint="eastAsia"/>
          <w:bCs/>
          <w:sz w:val="24"/>
        </w:rPr>
        <w:t>）重要联营企业的主要财务信息</w:t>
      </w:r>
      <w:r w:rsidRPr="000A5B5D">
        <w:rPr>
          <w:rFonts w:ascii="Arial" w:hAnsi="Arial" w:cs="Arial"/>
          <w:bCs/>
          <w:sz w:val="24"/>
        </w:rPr>
        <w:t xml:space="preserve">                              </w:t>
      </w:r>
      <w:r w:rsidRPr="000A5B5D">
        <w:rPr>
          <w:rFonts w:ascii="Arial" w:hAnsi="Arial" w:cs="Arial" w:hint="eastAsia"/>
          <w:bCs/>
          <w:sz w:val="24"/>
        </w:rPr>
        <w:t>单位：万元</w:t>
      </w:r>
    </w:p>
    <w:tbl>
      <w:tblPr>
        <w:tblW w:w="9130"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1908"/>
        <w:gridCol w:w="1041"/>
        <w:gridCol w:w="1085"/>
        <w:gridCol w:w="993"/>
        <w:gridCol w:w="1155"/>
        <w:gridCol w:w="1008"/>
        <w:gridCol w:w="1008"/>
        <w:gridCol w:w="932"/>
      </w:tblGrid>
      <w:tr w:rsidR="00851B9D" w:rsidRPr="000A5B5D" w:rsidTr="00851B9D">
        <w:trPr>
          <w:trHeight w:val="397"/>
          <w:tblHeader/>
          <w:jc w:val="center"/>
        </w:trPr>
        <w:tc>
          <w:tcPr>
            <w:tcW w:w="190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项目</w:t>
            </w:r>
          </w:p>
        </w:tc>
        <w:tc>
          <w:tcPr>
            <w:tcW w:w="4274" w:type="dxa"/>
            <w:gridSpan w:val="4"/>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年末余额</w:t>
            </w:r>
            <w:r w:rsidRPr="000A5B5D">
              <w:rPr>
                <w:rFonts w:ascii="Arial Narrow" w:hAnsi="Arial Narrow" w:cs="Arial"/>
                <w:kern w:val="0"/>
              </w:rPr>
              <w:t>/</w:t>
            </w:r>
            <w:r w:rsidRPr="000A5B5D">
              <w:rPr>
                <w:rFonts w:ascii="Arial Narrow" w:hAnsi="Arial Narrow" w:cs="Arial" w:hint="eastAsia"/>
                <w:kern w:val="0"/>
              </w:rPr>
              <w:t>本年发生额</w:t>
            </w:r>
          </w:p>
        </w:tc>
        <w:tc>
          <w:tcPr>
            <w:tcW w:w="2948"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年初余额</w:t>
            </w:r>
            <w:r w:rsidRPr="000A5B5D">
              <w:rPr>
                <w:rFonts w:ascii="Arial Narrow" w:hAnsi="Arial Narrow" w:cs="Arial"/>
                <w:kern w:val="0"/>
              </w:rPr>
              <w:t>/</w:t>
            </w:r>
            <w:r w:rsidRPr="000A5B5D">
              <w:rPr>
                <w:rFonts w:ascii="Arial Narrow" w:hAnsi="Arial Narrow" w:cs="Arial" w:hint="eastAsia"/>
                <w:kern w:val="0"/>
              </w:rPr>
              <w:t>上年发生额</w:t>
            </w:r>
          </w:p>
        </w:tc>
      </w:tr>
      <w:tr w:rsidR="00851B9D" w:rsidRPr="000A5B5D" w:rsidTr="00851B9D">
        <w:trPr>
          <w:trHeight w:val="397"/>
          <w:tblHeader/>
          <w:jc w:val="center"/>
        </w:trPr>
        <w:tc>
          <w:tcPr>
            <w:tcW w:w="1908" w:type="dxa"/>
            <w:vMerge/>
            <w:vAlign w:val="center"/>
          </w:tcPr>
          <w:p w:rsidR="00851B9D" w:rsidRPr="000A5B5D" w:rsidRDefault="00851B9D" w:rsidP="00851B9D">
            <w:pPr>
              <w:widowControl/>
              <w:jc w:val="center"/>
              <w:rPr>
                <w:rFonts w:ascii="Arial Narrow" w:hAnsi="Arial Narrow" w:cs="Arial"/>
                <w:kern w:val="0"/>
              </w:rPr>
            </w:pPr>
          </w:p>
        </w:tc>
        <w:tc>
          <w:tcPr>
            <w:tcW w:w="1041"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逸盛投资</w:t>
            </w:r>
          </w:p>
        </w:tc>
        <w:tc>
          <w:tcPr>
            <w:tcW w:w="1085"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逸盛大化</w:t>
            </w:r>
          </w:p>
        </w:tc>
        <w:tc>
          <w:tcPr>
            <w:tcW w:w="993"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海南逸盛</w:t>
            </w:r>
          </w:p>
        </w:tc>
        <w:tc>
          <w:tcPr>
            <w:tcW w:w="1155"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浙商银行</w:t>
            </w:r>
          </w:p>
        </w:tc>
        <w:tc>
          <w:tcPr>
            <w:tcW w:w="1008"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逸盛投资</w:t>
            </w:r>
          </w:p>
        </w:tc>
        <w:tc>
          <w:tcPr>
            <w:tcW w:w="1008"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逸盛大化</w:t>
            </w:r>
          </w:p>
        </w:tc>
        <w:tc>
          <w:tcPr>
            <w:tcW w:w="932" w:type="dxa"/>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海南逸盛</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流动资产</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595,428.32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621,438.16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284,447.90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17,960,877.20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558,660.73</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577,169.36</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330,048.90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非流动资产</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850,463.07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801,542.64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666,945.56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85,204,161.40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890,640.16</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840,337.42</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666,416.76</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资产合计</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1,445,891.39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1,422,980.81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951,393.46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103,165,038.60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1,449,300.89</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1,417,506.78</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996,465.67</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流动负债</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948,663.39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948,603.39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577,429.53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89,205,728.60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841,540.64</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841,480.64</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559,786.31</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非流动负债</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15,797.39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15,797.39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237,668.35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8,993,603.60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108,930.09</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108,930.09</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296,226.14</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负债合计</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964,460.78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964,400.78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815,097.87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98,199,332.20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950,470.73</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950,410.73</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856,012.46</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少数股东权益</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178,230.47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0.00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183,418.36</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归属于母公司股东权益</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303,200.14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458,580.03 </w:t>
            </w:r>
          </w:p>
        </w:tc>
        <w:tc>
          <w:tcPr>
            <w:tcW w:w="993" w:type="dxa"/>
            <w:vAlign w:val="center"/>
          </w:tcPr>
          <w:p w:rsidR="00851B9D" w:rsidRPr="000A5B5D" w:rsidRDefault="00851B9D" w:rsidP="00851B9D">
            <w:pPr>
              <w:jc w:val="right"/>
              <w:rPr>
                <w:rFonts w:ascii="Arial Narrow" w:hAnsi="Arial Narrow" w:cs="宋体"/>
                <w:szCs w:val="21"/>
              </w:rPr>
            </w:pPr>
            <w:r w:rsidRPr="000A5B5D">
              <w:rPr>
                <w:rFonts w:ascii="Arial Narrow" w:hAnsi="Arial Narrow"/>
                <w:szCs w:val="21"/>
              </w:rPr>
              <w:t xml:space="preserve">136,295.59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4,965,706.40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315,411.80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467,096.05</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140,453.21</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按持股比例计算的净资产份额</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90,960.04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62,596.17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51,110.85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256,230.45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94,623.54</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63,758.61</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52,669.95</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调整事项</w:t>
            </w: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w:t>
            </w:r>
            <w:r w:rsidRPr="000A5B5D">
              <w:rPr>
                <w:rFonts w:ascii="Arial Narrow" w:hAnsi="Arial Narrow" w:cs="Arial" w:hint="eastAsia"/>
                <w:kern w:val="0"/>
              </w:rPr>
              <w:t>商誉</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w:t>
            </w:r>
            <w:r w:rsidRPr="000A5B5D">
              <w:rPr>
                <w:rFonts w:ascii="Arial Narrow" w:hAnsi="Arial Narrow" w:cs="Arial" w:hint="eastAsia"/>
                <w:kern w:val="0"/>
              </w:rPr>
              <w:t>内部交易未实现利润</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-1,347.84</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-1,451.52</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kern w:val="0"/>
              </w:rPr>
              <w:t>—</w:t>
            </w:r>
            <w:r w:rsidRPr="000A5B5D">
              <w:rPr>
                <w:rFonts w:ascii="Arial Narrow" w:hAnsi="Arial Narrow" w:cs="Arial" w:hint="eastAsia"/>
                <w:kern w:val="0"/>
              </w:rPr>
              <w:t>其他</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对联营企业权益投资的账面价值</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96,469.25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29,891.96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49,763.01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255,904.45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100,135.72</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29,058.93</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51,218.43</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存在公开报价的联营企业权益投资的公允价值</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营业收入</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2,115,880.16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2,115,880.16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997,008.32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2,500,548.80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2,655,960.94</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2,655,960.94</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766,836.24</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净利润</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-17,252.87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-8,359.42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-24,184.08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705,069.00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-66,998.52</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-50,082.52</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-45,523.95</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终止经营的净利润</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lastRenderedPageBreak/>
              <w:t>其他综合收益</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0.00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26.46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80,806.80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-85.58</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-85.58</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综合收益总额</w:t>
            </w:r>
          </w:p>
        </w:tc>
        <w:tc>
          <w:tcPr>
            <w:tcW w:w="104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-17,252.87  </w:t>
            </w:r>
          </w:p>
        </w:tc>
        <w:tc>
          <w:tcPr>
            <w:tcW w:w="108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-8,516.01 </w:t>
            </w:r>
          </w:p>
        </w:tc>
        <w:tc>
          <w:tcPr>
            <w:tcW w:w="99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-24,157.62  </w:t>
            </w:r>
          </w:p>
        </w:tc>
        <w:tc>
          <w:tcPr>
            <w:tcW w:w="115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785,875.80 </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-67,084.10</w:t>
            </w:r>
          </w:p>
        </w:tc>
        <w:tc>
          <w:tcPr>
            <w:tcW w:w="1008"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-50,168.10</w:t>
            </w:r>
          </w:p>
        </w:tc>
        <w:tc>
          <w:tcPr>
            <w:tcW w:w="93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-45,523.95</w:t>
            </w:r>
          </w:p>
        </w:tc>
      </w:tr>
      <w:tr w:rsidR="00851B9D" w:rsidRPr="000A5B5D" w:rsidTr="00851B9D">
        <w:trPr>
          <w:trHeight w:val="397"/>
          <w:jc w:val="center"/>
        </w:trPr>
        <w:tc>
          <w:tcPr>
            <w:tcW w:w="1908" w:type="dxa"/>
            <w:vAlign w:val="center"/>
          </w:tcPr>
          <w:p w:rsidR="00851B9D" w:rsidRPr="000A5B5D" w:rsidRDefault="00851B9D" w:rsidP="00851B9D">
            <w:pPr>
              <w:widowControl/>
              <w:rPr>
                <w:rFonts w:ascii="Arial Narrow" w:hAnsi="Arial Narrow" w:cs="Arial"/>
                <w:kern w:val="0"/>
              </w:rPr>
            </w:pPr>
          </w:p>
        </w:tc>
        <w:tc>
          <w:tcPr>
            <w:tcW w:w="1041" w:type="dxa"/>
            <w:vAlign w:val="center"/>
          </w:tcPr>
          <w:p w:rsidR="00851B9D" w:rsidRPr="000A5B5D" w:rsidRDefault="00851B9D" w:rsidP="00851B9D">
            <w:pPr>
              <w:jc w:val="right"/>
              <w:rPr>
                <w:rFonts w:ascii="Arial Narrow" w:hAnsi="Arial Narrow" w:cs="Arial"/>
              </w:rPr>
            </w:pPr>
          </w:p>
        </w:tc>
        <w:tc>
          <w:tcPr>
            <w:tcW w:w="1085" w:type="dxa"/>
            <w:vAlign w:val="center"/>
          </w:tcPr>
          <w:p w:rsidR="00851B9D" w:rsidRPr="000A5B5D" w:rsidRDefault="00851B9D" w:rsidP="00851B9D">
            <w:pPr>
              <w:jc w:val="right"/>
              <w:rPr>
                <w:rFonts w:ascii="Arial Narrow" w:hAnsi="Arial Narrow" w:cs="Arial"/>
              </w:rPr>
            </w:pPr>
          </w:p>
        </w:tc>
        <w:tc>
          <w:tcPr>
            <w:tcW w:w="993" w:type="dxa"/>
            <w:vAlign w:val="center"/>
          </w:tcPr>
          <w:p w:rsidR="00851B9D" w:rsidRPr="000A5B5D" w:rsidRDefault="00851B9D" w:rsidP="00851B9D">
            <w:pPr>
              <w:widowControl/>
              <w:jc w:val="right"/>
              <w:rPr>
                <w:rFonts w:ascii="Arial Narrow" w:hAnsi="Arial Narrow" w:cs="Arial"/>
              </w:rPr>
            </w:pPr>
          </w:p>
        </w:tc>
        <w:tc>
          <w:tcPr>
            <w:tcW w:w="1155"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1008" w:type="dxa"/>
            <w:vAlign w:val="center"/>
          </w:tcPr>
          <w:p w:rsidR="00851B9D" w:rsidRPr="000A5B5D" w:rsidRDefault="00851B9D" w:rsidP="00851B9D">
            <w:pPr>
              <w:jc w:val="right"/>
              <w:rPr>
                <w:rFonts w:ascii="Arial Narrow" w:hAnsi="Arial Narrow" w:cs="Arial"/>
              </w:rPr>
            </w:pPr>
          </w:p>
        </w:tc>
        <w:tc>
          <w:tcPr>
            <w:tcW w:w="932" w:type="dxa"/>
            <w:vAlign w:val="center"/>
          </w:tcPr>
          <w:p w:rsidR="00851B9D" w:rsidRPr="000A5B5D" w:rsidRDefault="00851B9D" w:rsidP="00851B9D">
            <w:pPr>
              <w:jc w:val="right"/>
              <w:rPr>
                <w:rFonts w:ascii="Arial Narrow" w:hAnsi="Arial Narrow" w:cs="Arial"/>
              </w:rPr>
            </w:pPr>
          </w:p>
        </w:tc>
      </w:tr>
      <w:tr w:rsidR="00851B9D" w:rsidRPr="000A5B5D" w:rsidTr="00851B9D">
        <w:trPr>
          <w:trHeight w:val="397"/>
          <w:jc w:val="center"/>
        </w:trPr>
        <w:tc>
          <w:tcPr>
            <w:tcW w:w="1908" w:type="dxa"/>
            <w:tcBorders>
              <w:bottom w:val="single" w:sz="12" w:space="0" w:color="auto"/>
            </w:tcBorders>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本年度收到的来自联营企业的股利</w:t>
            </w:r>
          </w:p>
        </w:tc>
        <w:tc>
          <w:tcPr>
            <w:tcW w:w="104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8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93"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15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008"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3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注：逸盛投资</w:t>
      </w:r>
      <w:r w:rsidRPr="000A5B5D">
        <w:rPr>
          <w:rFonts w:ascii="Arial" w:hAnsi="Arial" w:cs="Arial"/>
          <w:bCs/>
          <w:sz w:val="24"/>
        </w:rPr>
        <w:t>2015</w:t>
      </w:r>
      <w:r w:rsidRPr="000A5B5D">
        <w:rPr>
          <w:rFonts w:ascii="Arial" w:hAnsi="Arial" w:cs="Arial" w:hint="eastAsia"/>
          <w:bCs/>
          <w:sz w:val="24"/>
        </w:rPr>
        <w:t>年度归属于母公司所有者的净利润为</w:t>
      </w:r>
      <w:r w:rsidRPr="000A5B5D">
        <w:rPr>
          <w:rFonts w:ascii="Arial" w:hAnsi="Arial" w:cs="Arial"/>
          <w:bCs/>
          <w:sz w:val="24"/>
        </w:rPr>
        <w:t>-12,160.38</w:t>
      </w:r>
      <w:r w:rsidRPr="000A5B5D">
        <w:rPr>
          <w:rFonts w:ascii="Arial" w:hAnsi="Arial" w:cs="Arial" w:hint="eastAsia"/>
          <w:bCs/>
          <w:sz w:val="24"/>
        </w:rPr>
        <w:t>万元，归属母公司股东的其他综合收益的税后净额为</w:t>
      </w:r>
      <w:r w:rsidRPr="000A5B5D">
        <w:rPr>
          <w:rFonts w:ascii="Arial" w:hAnsi="Arial" w:cs="Arial"/>
          <w:bCs/>
          <w:sz w:val="24"/>
        </w:rPr>
        <w:t>-51.27</w:t>
      </w:r>
      <w:r w:rsidRPr="000A5B5D">
        <w:rPr>
          <w:rFonts w:ascii="Arial" w:hAnsi="Arial" w:cs="Arial" w:hint="eastAsia"/>
          <w:bCs/>
          <w:sz w:val="24"/>
        </w:rPr>
        <w:t>万元。</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4</w:t>
      </w:r>
      <w:r w:rsidRPr="000A5B5D">
        <w:rPr>
          <w:rFonts w:ascii="Arial" w:hAnsi="Arial" w:cs="Arial" w:hint="eastAsia"/>
          <w:bCs/>
          <w:sz w:val="24"/>
        </w:rPr>
        <w:t>）合营企业或联营企业发生的超额亏损</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截止</w:t>
      </w:r>
      <w:r w:rsidRPr="000A5B5D">
        <w:rPr>
          <w:rFonts w:ascii="Arial" w:hAnsi="Arial" w:cs="Arial"/>
          <w:bCs/>
          <w:sz w:val="24"/>
        </w:rPr>
        <w:t>2015</w:t>
      </w:r>
      <w:r w:rsidRPr="000A5B5D">
        <w:rPr>
          <w:rFonts w:ascii="Arial" w:hAnsi="Arial" w:cs="Arial" w:hint="eastAsia"/>
          <w:bCs/>
          <w:sz w:val="24"/>
        </w:rPr>
        <w:t>年</w:t>
      </w:r>
      <w:r w:rsidRPr="000A5B5D">
        <w:rPr>
          <w:rFonts w:ascii="Arial" w:hAnsi="Arial" w:cs="Arial"/>
          <w:bCs/>
          <w:sz w:val="24"/>
        </w:rPr>
        <w:t>12</w:t>
      </w:r>
      <w:r w:rsidRPr="000A5B5D">
        <w:rPr>
          <w:rFonts w:ascii="Arial" w:hAnsi="Arial" w:cs="Arial" w:hint="eastAsia"/>
          <w:bCs/>
          <w:sz w:val="24"/>
        </w:rPr>
        <w:t>月</w:t>
      </w:r>
      <w:r w:rsidRPr="000A5B5D">
        <w:rPr>
          <w:rFonts w:ascii="Arial" w:hAnsi="Arial" w:cs="Arial"/>
          <w:bCs/>
          <w:sz w:val="24"/>
        </w:rPr>
        <w:t>31</w:t>
      </w:r>
      <w:r w:rsidRPr="000A5B5D">
        <w:rPr>
          <w:rFonts w:ascii="Arial" w:hAnsi="Arial" w:cs="Arial" w:hint="eastAsia"/>
          <w:bCs/>
          <w:sz w:val="24"/>
        </w:rPr>
        <w:t>日，本公司的合营企业、联营企业未发生超额亏损情况。</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5</w:t>
      </w:r>
      <w:r w:rsidRPr="000A5B5D">
        <w:rPr>
          <w:rFonts w:ascii="Arial" w:hAnsi="Arial" w:cs="Arial" w:hint="eastAsia"/>
          <w:bCs/>
          <w:sz w:val="24"/>
        </w:rPr>
        <w:t>）与合营企业投资相关的未确认承诺</w:t>
      </w:r>
    </w:p>
    <w:p w:rsidR="00851B9D" w:rsidRPr="000A5B5D" w:rsidRDefault="00851B9D" w:rsidP="00851B9D">
      <w:pPr>
        <w:spacing w:line="400" w:lineRule="exact"/>
        <w:ind w:firstLineChars="200" w:firstLine="480"/>
        <w:rPr>
          <w:rFonts w:ascii="Arial" w:hAnsi="Arial" w:cs="Arial"/>
        </w:rPr>
      </w:pPr>
      <w:r w:rsidRPr="000A5B5D">
        <w:rPr>
          <w:rFonts w:ascii="Arial" w:hAnsi="Arial" w:cs="Arial" w:hint="eastAsia"/>
          <w:sz w:val="24"/>
          <w:szCs w:val="24"/>
        </w:rPr>
        <w:t>截止</w:t>
      </w:r>
      <w:r w:rsidRPr="000A5B5D">
        <w:rPr>
          <w:rFonts w:ascii="Arial" w:hAnsi="Arial" w:cs="Arial"/>
          <w:sz w:val="24"/>
          <w:szCs w:val="24"/>
        </w:rPr>
        <w:t>2015</w:t>
      </w:r>
      <w:r w:rsidRPr="000A5B5D">
        <w:rPr>
          <w:rFonts w:ascii="Arial" w:hAnsi="Arial" w:cs="Arial" w:hint="eastAsia"/>
          <w:sz w:val="24"/>
          <w:szCs w:val="24"/>
        </w:rPr>
        <w:t>年</w:t>
      </w:r>
      <w:r w:rsidRPr="000A5B5D">
        <w:rPr>
          <w:rFonts w:ascii="Arial" w:hAnsi="Arial" w:cs="Arial"/>
          <w:sz w:val="24"/>
          <w:szCs w:val="24"/>
        </w:rPr>
        <w:t>12</w:t>
      </w:r>
      <w:r w:rsidRPr="000A5B5D">
        <w:rPr>
          <w:rFonts w:ascii="Arial" w:hAnsi="Arial" w:cs="Arial" w:hint="eastAsia"/>
          <w:sz w:val="24"/>
          <w:szCs w:val="24"/>
        </w:rPr>
        <w:t>月</w:t>
      </w:r>
      <w:r w:rsidRPr="000A5B5D">
        <w:rPr>
          <w:rFonts w:ascii="Arial" w:hAnsi="Arial" w:cs="Arial"/>
          <w:sz w:val="24"/>
          <w:szCs w:val="24"/>
        </w:rPr>
        <w:t>31</w:t>
      </w:r>
      <w:r w:rsidRPr="000A5B5D">
        <w:rPr>
          <w:rFonts w:ascii="Arial" w:hAnsi="Arial" w:cs="Arial" w:hint="eastAsia"/>
          <w:sz w:val="24"/>
          <w:szCs w:val="24"/>
        </w:rPr>
        <w:t>日，本公司无与合营企业投资相关的未确认承诺。</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6</w:t>
      </w:r>
      <w:r w:rsidRPr="000A5B5D">
        <w:rPr>
          <w:rFonts w:ascii="Arial" w:hAnsi="Arial" w:cs="Arial" w:hint="eastAsia"/>
          <w:bCs/>
          <w:sz w:val="24"/>
        </w:rPr>
        <w:t>）与合营企业或联营企业投资相关的或有负债</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截止</w:t>
      </w:r>
      <w:r w:rsidRPr="000A5B5D">
        <w:rPr>
          <w:rFonts w:ascii="Arial" w:hAnsi="Arial" w:cs="Arial"/>
          <w:bCs/>
          <w:sz w:val="24"/>
        </w:rPr>
        <w:t>2015</w:t>
      </w:r>
      <w:r w:rsidRPr="000A5B5D">
        <w:rPr>
          <w:rFonts w:ascii="Arial" w:hAnsi="Arial" w:cs="Arial" w:hint="eastAsia"/>
          <w:bCs/>
          <w:sz w:val="24"/>
        </w:rPr>
        <w:t>年</w:t>
      </w:r>
      <w:r w:rsidRPr="000A5B5D">
        <w:rPr>
          <w:rFonts w:ascii="Arial" w:hAnsi="Arial" w:cs="Arial"/>
          <w:bCs/>
          <w:sz w:val="24"/>
        </w:rPr>
        <w:t>12</w:t>
      </w:r>
      <w:r w:rsidRPr="000A5B5D">
        <w:rPr>
          <w:rFonts w:ascii="Arial" w:hAnsi="Arial" w:cs="Arial" w:hint="eastAsia"/>
          <w:bCs/>
          <w:sz w:val="24"/>
        </w:rPr>
        <w:t>月</w:t>
      </w:r>
      <w:r w:rsidRPr="000A5B5D">
        <w:rPr>
          <w:rFonts w:ascii="Arial" w:hAnsi="Arial" w:cs="Arial"/>
          <w:bCs/>
          <w:sz w:val="24"/>
        </w:rPr>
        <w:t>31</w:t>
      </w:r>
      <w:r w:rsidRPr="000A5B5D">
        <w:rPr>
          <w:rFonts w:ascii="Arial" w:hAnsi="Arial" w:cs="Arial" w:hint="eastAsia"/>
          <w:bCs/>
          <w:sz w:val="24"/>
        </w:rPr>
        <w:t>日，本公司无与合营企业或联营企业投资相关的或有负债。</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4</w:t>
      </w:r>
      <w:r w:rsidRPr="000A5B5D">
        <w:rPr>
          <w:rFonts w:ascii="Arial" w:hAnsi="Arial" w:cs="Arial" w:hint="eastAsia"/>
          <w:b/>
          <w:bCs/>
          <w:sz w:val="24"/>
        </w:rPr>
        <w:t>、在未纳入合并财务报表范围的结构化主体中的权益</w:t>
      </w:r>
    </w:p>
    <w:p w:rsidR="00851B9D" w:rsidRPr="000A5B5D" w:rsidRDefault="00851B9D" w:rsidP="00851B9D">
      <w:pPr>
        <w:spacing w:line="400" w:lineRule="exact"/>
        <w:ind w:firstLineChars="200" w:firstLine="480"/>
        <w:rPr>
          <w:rFonts w:ascii="Arial" w:hAnsi="Arial" w:cs="Arial"/>
        </w:rPr>
      </w:pPr>
      <w:r w:rsidRPr="000A5B5D">
        <w:rPr>
          <w:rFonts w:ascii="Arial" w:hAnsi="Arial" w:cs="Arial" w:hint="eastAsia"/>
          <w:bCs/>
          <w:sz w:val="24"/>
        </w:rPr>
        <w:t>本公司无在未纳入合并财务报表范围的结构化主体中的权益。</w:t>
      </w:r>
    </w:p>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与金融工具相关的风险</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w:t>
      </w:r>
      <w:r w:rsidRPr="000A5B5D">
        <w:rPr>
          <w:rFonts w:ascii="Arial" w:hAnsi="Arial" w:cs="Arial" w:hint="eastAsia"/>
          <w:bCs/>
          <w:sz w:val="24"/>
        </w:rPr>
        <w:t>公司</w:t>
      </w:r>
      <w:r w:rsidRPr="000A5B5D">
        <w:rPr>
          <w:rFonts w:ascii="Arial" w:hAnsi="Arial" w:cs="Arial" w:hint="eastAsia"/>
          <w:bCs/>
          <w:sz w:val="24"/>
          <w:szCs w:val="24"/>
        </w:rPr>
        <w:t>的主要金融工具包括</w:t>
      </w:r>
      <w:r w:rsidRPr="000A5B5D">
        <w:rPr>
          <w:rFonts w:ascii="Arial" w:hAnsi="Arial" w:cs="Arial" w:hint="eastAsia"/>
          <w:bCs/>
          <w:sz w:val="24"/>
        </w:rPr>
        <w:t>货币资金</w:t>
      </w:r>
      <w:r w:rsidRPr="000A5B5D">
        <w:rPr>
          <w:rFonts w:ascii="Arial" w:hAnsi="Arial" w:cs="Arial" w:hint="eastAsia"/>
          <w:bCs/>
          <w:sz w:val="24"/>
          <w:szCs w:val="24"/>
        </w:rPr>
        <w:t>、以公允价值计量且其变动计入当期损益的金融资产、可供出售金融资产、借款、应收账款、应付账款等，各项金融工具的详细情况说明见</w:t>
      </w:r>
      <w:r w:rsidRPr="000A5B5D">
        <w:rPr>
          <w:rFonts w:ascii="Arial" w:hAnsi="Arial" w:cs="Arial" w:hint="eastAsia"/>
          <w:bCs/>
          <w:sz w:val="24"/>
        </w:rPr>
        <w:t>本</w:t>
      </w:r>
      <w:r w:rsidRPr="000A5B5D">
        <w:rPr>
          <w:rFonts w:ascii="Arial" w:hAnsi="Arial" w:cs="Arial" w:hint="eastAsia"/>
          <w:bCs/>
          <w:sz w:val="24"/>
          <w:szCs w:val="24"/>
        </w:rPr>
        <w:t>附注六</w:t>
      </w:r>
      <w:r w:rsidRPr="000A5B5D">
        <w:rPr>
          <w:rFonts w:ascii="Arial" w:hAnsi="Arial" w:cs="Arial" w:hint="eastAsia"/>
          <w:bCs/>
          <w:sz w:val="24"/>
        </w:rPr>
        <w:t>相关项目</w:t>
      </w:r>
      <w:r w:rsidRPr="000A5B5D">
        <w:rPr>
          <w:rFonts w:ascii="Arial" w:hAnsi="Arial" w:cs="Arial" w:hint="eastAsia"/>
          <w:bCs/>
          <w:sz w:val="24"/>
          <w:szCs w:val="24"/>
        </w:rPr>
        <w:t>。与这些金融工具有关的风险，以及本</w:t>
      </w:r>
      <w:r w:rsidRPr="000A5B5D">
        <w:rPr>
          <w:rFonts w:ascii="Arial" w:hAnsi="Arial" w:cs="Arial" w:hint="eastAsia"/>
          <w:bCs/>
          <w:sz w:val="24"/>
        </w:rPr>
        <w:t>公司</w:t>
      </w:r>
      <w:r w:rsidRPr="000A5B5D">
        <w:rPr>
          <w:rFonts w:ascii="Arial" w:hAnsi="Arial" w:cs="Arial" w:hint="eastAsia"/>
          <w:bCs/>
          <w:sz w:val="24"/>
          <w:szCs w:val="24"/>
        </w:rPr>
        <w:t>为降低这些风险所采取的风险管理政策如下所述。本</w:t>
      </w:r>
      <w:r w:rsidRPr="000A5B5D">
        <w:rPr>
          <w:rFonts w:ascii="Arial" w:hAnsi="Arial" w:cs="Arial" w:hint="eastAsia"/>
          <w:bCs/>
          <w:sz w:val="24"/>
        </w:rPr>
        <w:t>公司</w:t>
      </w:r>
      <w:r w:rsidRPr="000A5B5D">
        <w:rPr>
          <w:rFonts w:ascii="Arial" w:hAnsi="Arial" w:cs="Arial" w:hint="eastAsia"/>
          <w:bCs/>
          <w:sz w:val="24"/>
          <w:szCs w:val="24"/>
        </w:rPr>
        <w:t>管理层对这些风险敞口进行管理和监控以确保将上述风险控制在限定的范围之内。</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公司采用敏感性分析技术分析风险变量的合理、可能变化对当期损益或股东权益可能产生的影响。由于任何风险变量很少孤立地发生变化，而变量之间存在的相关性对某一风险变量的变化的最终影响金额将产生重大作用，因此下述内容是在假设每一变量的变化是在独立的情况下进行的。</w:t>
      </w:r>
    </w:p>
    <w:p w:rsidR="00851B9D" w:rsidRPr="000A5B5D" w:rsidRDefault="00851B9D" w:rsidP="00851B9D">
      <w:pPr>
        <w:spacing w:line="400" w:lineRule="exact"/>
        <w:ind w:firstLineChars="200" w:firstLine="482"/>
        <w:outlineLvl w:val="1"/>
        <w:rPr>
          <w:rFonts w:ascii="Arial" w:hAnsi="Arial" w:cs="Arial"/>
          <w:b/>
          <w:bCs/>
          <w:sz w:val="24"/>
          <w:szCs w:val="24"/>
        </w:rPr>
      </w:pPr>
      <w:r w:rsidRPr="000A5B5D">
        <w:rPr>
          <w:rFonts w:ascii="Arial" w:hAnsi="Arial" w:cs="Arial" w:hint="eastAsia"/>
          <w:b/>
          <w:bCs/>
          <w:sz w:val="24"/>
          <w:szCs w:val="24"/>
        </w:rPr>
        <w:t>（一）风险管理目标和政策</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rPr>
        <w:t>本公司</w:t>
      </w:r>
      <w:r w:rsidRPr="000A5B5D">
        <w:rPr>
          <w:rFonts w:ascii="Arial" w:hAnsi="Arial" w:cs="Arial" w:hint="eastAsia"/>
          <w:bCs/>
          <w:sz w:val="24"/>
          <w:szCs w:val="24"/>
        </w:rPr>
        <w:t>从事风险管理的目标是在风险和收益之间取得适当的平衡，将风险对</w:t>
      </w:r>
      <w:r w:rsidRPr="000A5B5D">
        <w:rPr>
          <w:rFonts w:ascii="Arial" w:hAnsi="Arial" w:cs="Arial" w:hint="eastAsia"/>
          <w:bCs/>
          <w:sz w:val="24"/>
        </w:rPr>
        <w:t>本公司</w:t>
      </w:r>
      <w:r w:rsidRPr="000A5B5D">
        <w:rPr>
          <w:rFonts w:ascii="Arial" w:hAnsi="Arial" w:cs="Arial" w:hint="eastAsia"/>
          <w:bCs/>
          <w:sz w:val="24"/>
          <w:szCs w:val="24"/>
        </w:rPr>
        <w:t>经营业绩的负面影响降低到最低水平，使股东及其其他权益投资者的利益最大化。基于该风险管理目标，</w:t>
      </w:r>
      <w:r w:rsidRPr="000A5B5D">
        <w:rPr>
          <w:rFonts w:ascii="Arial" w:hAnsi="Arial" w:cs="Arial" w:hint="eastAsia"/>
          <w:bCs/>
          <w:sz w:val="24"/>
        </w:rPr>
        <w:t>本公司</w:t>
      </w:r>
      <w:r w:rsidRPr="000A5B5D">
        <w:rPr>
          <w:rFonts w:ascii="Arial" w:hAnsi="Arial" w:cs="Arial" w:hint="eastAsia"/>
          <w:bCs/>
          <w:sz w:val="24"/>
          <w:szCs w:val="24"/>
        </w:rPr>
        <w:t>风险管理的基本策略是确定和分析</w:t>
      </w:r>
      <w:r w:rsidRPr="000A5B5D">
        <w:rPr>
          <w:rFonts w:ascii="Arial" w:hAnsi="Arial" w:cs="Arial" w:hint="eastAsia"/>
          <w:bCs/>
          <w:sz w:val="24"/>
        </w:rPr>
        <w:t>本公司</w:t>
      </w:r>
      <w:r w:rsidRPr="000A5B5D">
        <w:rPr>
          <w:rFonts w:ascii="Arial" w:hAnsi="Arial" w:cs="Arial" w:hint="eastAsia"/>
          <w:bCs/>
          <w:sz w:val="24"/>
          <w:szCs w:val="24"/>
        </w:rPr>
        <w:t>所面临的各种风险，建立适当的风险承受底线和进行风险管理，并及时可靠地对各种风险进行监督，将风险控制在限定的范围</w:t>
      </w:r>
      <w:r w:rsidRPr="000A5B5D">
        <w:rPr>
          <w:rFonts w:ascii="Arial" w:hAnsi="Arial" w:cs="Arial" w:hint="eastAsia"/>
          <w:bCs/>
          <w:sz w:val="24"/>
          <w:szCs w:val="24"/>
        </w:rPr>
        <w:lastRenderedPageBreak/>
        <w:t>之内。</w:t>
      </w:r>
    </w:p>
    <w:p w:rsidR="00851B9D" w:rsidRPr="000A5B5D" w:rsidRDefault="00851B9D" w:rsidP="00851B9D">
      <w:pPr>
        <w:spacing w:line="400" w:lineRule="exact"/>
        <w:ind w:firstLineChars="200" w:firstLine="482"/>
        <w:outlineLvl w:val="1"/>
        <w:rPr>
          <w:rFonts w:ascii="Arial" w:hAnsi="Arial" w:cs="Arial"/>
          <w:b/>
          <w:bCs/>
          <w:sz w:val="24"/>
          <w:szCs w:val="24"/>
        </w:rPr>
      </w:pPr>
      <w:r w:rsidRPr="000A5B5D">
        <w:rPr>
          <w:rFonts w:ascii="Arial" w:hAnsi="Arial" w:cs="Arial"/>
          <w:b/>
          <w:bCs/>
          <w:sz w:val="24"/>
        </w:rPr>
        <w:t>1</w:t>
      </w:r>
      <w:r w:rsidRPr="000A5B5D">
        <w:rPr>
          <w:rFonts w:ascii="Arial" w:hAnsi="Arial" w:cs="Arial" w:hint="eastAsia"/>
          <w:b/>
          <w:bCs/>
          <w:sz w:val="24"/>
        </w:rPr>
        <w:t>、</w:t>
      </w:r>
      <w:r w:rsidRPr="000A5B5D">
        <w:rPr>
          <w:rFonts w:ascii="Arial" w:hAnsi="Arial" w:cs="Arial" w:hint="eastAsia"/>
          <w:b/>
          <w:bCs/>
          <w:sz w:val="24"/>
          <w:szCs w:val="24"/>
        </w:rPr>
        <w:t>市场风险</w:t>
      </w:r>
    </w:p>
    <w:p w:rsidR="00851B9D" w:rsidRPr="000A5B5D" w:rsidRDefault="00851B9D" w:rsidP="00851B9D">
      <w:pPr>
        <w:spacing w:line="400" w:lineRule="exact"/>
        <w:ind w:firstLineChars="200" w:firstLine="482"/>
        <w:rPr>
          <w:rFonts w:ascii="Arial" w:hAnsi="Arial" w:cs="Arial"/>
          <w:b/>
          <w:bCs/>
          <w:sz w:val="24"/>
          <w:szCs w:val="24"/>
        </w:rPr>
      </w:pPr>
      <w:r w:rsidRPr="000A5B5D">
        <w:rPr>
          <w:rFonts w:ascii="Arial" w:hAnsi="Arial" w:cs="Arial" w:hint="eastAsia"/>
          <w:b/>
          <w:bCs/>
          <w:sz w:val="24"/>
          <w:szCs w:val="24"/>
        </w:rPr>
        <w:t>（</w:t>
      </w:r>
      <w:r w:rsidRPr="000A5B5D">
        <w:rPr>
          <w:rFonts w:ascii="Arial" w:hAnsi="Arial" w:cs="Arial"/>
          <w:b/>
          <w:bCs/>
          <w:sz w:val="24"/>
          <w:szCs w:val="24"/>
        </w:rPr>
        <w:t>1</w:t>
      </w:r>
      <w:r w:rsidRPr="000A5B5D">
        <w:rPr>
          <w:rFonts w:ascii="Arial" w:hAnsi="Arial" w:cs="Arial" w:hint="eastAsia"/>
          <w:b/>
          <w:bCs/>
          <w:sz w:val="24"/>
          <w:szCs w:val="24"/>
        </w:rPr>
        <w:t>）外汇风险</w:t>
      </w:r>
      <w:r w:rsidRPr="000A5B5D">
        <w:rPr>
          <w:rFonts w:ascii="Arial" w:hAnsi="Arial" w:cs="Arial"/>
          <w:b/>
          <w:bCs/>
          <w:sz w:val="24"/>
          <w:szCs w:val="24"/>
        </w:rPr>
        <w:t xml:space="preserve"> </w:t>
      </w:r>
    </w:p>
    <w:p w:rsidR="00851B9D" w:rsidRPr="000A5B5D" w:rsidRDefault="00851B9D" w:rsidP="00851B9D">
      <w:pPr>
        <w:spacing w:line="400" w:lineRule="exact"/>
        <w:ind w:firstLineChars="200" w:firstLine="480"/>
        <w:rPr>
          <w:rFonts w:ascii="Arial" w:hAnsi="Arial" w:cs="Arial"/>
        </w:rPr>
      </w:pPr>
      <w:r w:rsidRPr="000A5B5D">
        <w:rPr>
          <w:rFonts w:ascii="Arial" w:hAnsi="Arial" w:cs="Arial" w:hint="eastAsia"/>
          <w:bCs/>
          <w:sz w:val="24"/>
          <w:szCs w:val="24"/>
        </w:rPr>
        <w:t>外汇风险指因汇率变动产生损失的风险。</w:t>
      </w:r>
      <w:r w:rsidRPr="000A5B5D">
        <w:rPr>
          <w:rFonts w:ascii="Arial" w:hAnsi="Arial" w:cs="Arial" w:hint="eastAsia"/>
          <w:bCs/>
          <w:sz w:val="24"/>
        </w:rPr>
        <w:t>本公司</w:t>
      </w:r>
      <w:r w:rsidRPr="000A5B5D">
        <w:rPr>
          <w:rFonts w:ascii="Arial" w:hAnsi="Arial" w:cs="Arial" w:hint="eastAsia"/>
          <w:bCs/>
          <w:sz w:val="24"/>
          <w:szCs w:val="24"/>
        </w:rPr>
        <w:t>承受外汇风险主要与美元、欧元有关，除</w:t>
      </w:r>
      <w:r w:rsidRPr="000A5B5D">
        <w:rPr>
          <w:rFonts w:ascii="Arial" w:hAnsi="Arial" w:cs="Arial" w:hint="eastAsia"/>
          <w:bCs/>
          <w:sz w:val="24"/>
        </w:rPr>
        <w:t>本公司</w:t>
      </w:r>
      <w:r w:rsidRPr="000A5B5D">
        <w:rPr>
          <w:rFonts w:ascii="Arial" w:hAnsi="Arial" w:cs="Arial" w:hint="eastAsia"/>
          <w:bCs/>
          <w:sz w:val="24"/>
          <w:szCs w:val="24"/>
        </w:rPr>
        <w:t>的几个下属子公司以美元进行采购和销售外，</w:t>
      </w:r>
      <w:r w:rsidRPr="000A5B5D">
        <w:rPr>
          <w:rFonts w:ascii="Arial" w:hAnsi="Arial" w:cs="Arial" w:hint="eastAsia"/>
          <w:bCs/>
          <w:sz w:val="24"/>
        </w:rPr>
        <w:t>本公司</w:t>
      </w:r>
      <w:r w:rsidRPr="000A5B5D">
        <w:rPr>
          <w:rFonts w:ascii="Arial" w:hAnsi="Arial" w:cs="Arial" w:hint="eastAsia"/>
          <w:bCs/>
          <w:sz w:val="24"/>
          <w:szCs w:val="24"/>
        </w:rPr>
        <w:t>的其他主要业务活动以人民币计价结算。于</w:t>
      </w:r>
      <w:r w:rsidRPr="000A5B5D">
        <w:rPr>
          <w:rFonts w:ascii="Arial" w:hAnsi="Arial" w:cs="Arial"/>
          <w:bCs/>
          <w:sz w:val="24"/>
          <w:szCs w:val="24"/>
        </w:rPr>
        <w:t>2015</w:t>
      </w:r>
      <w:r w:rsidRPr="000A5B5D">
        <w:rPr>
          <w:rFonts w:ascii="Arial" w:hAnsi="Arial" w:cs="Arial" w:hint="eastAsia"/>
          <w:bCs/>
          <w:sz w:val="24"/>
          <w:szCs w:val="24"/>
        </w:rPr>
        <w:t>年</w:t>
      </w:r>
      <w:r w:rsidRPr="000A5B5D">
        <w:rPr>
          <w:rFonts w:ascii="Arial" w:hAnsi="Arial" w:cs="Arial"/>
          <w:bCs/>
          <w:sz w:val="24"/>
          <w:szCs w:val="24"/>
        </w:rPr>
        <w:t>12</w:t>
      </w:r>
      <w:r w:rsidRPr="000A5B5D">
        <w:rPr>
          <w:rFonts w:ascii="Arial" w:hAnsi="Arial" w:cs="Arial" w:hint="eastAsia"/>
          <w:bCs/>
          <w:sz w:val="24"/>
          <w:szCs w:val="24"/>
        </w:rPr>
        <w:t>月</w:t>
      </w:r>
      <w:r w:rsidRPr="000A5B5D">
        <w:rPr>
          <w:rFonts w:ascii="Arial" w:hAnsi="Arial" w:cs="Arial"/>
          <w:bCs/>
          <w:sz w:val="24"/>
          <w:szCs w:val="24"/>
        </w:rPr>
        <w:t>31</w:t>
      </w:r>
      <w:r w:rsidRPr="000A5B5D">
        <w:rPr>
          <w:rFonts w:ascii="Arial" w:hAnsi="Arial" w:cs="Arial" w:hint="eastAsia"/>
          <w:bCs/>
          <w:sz w:val="24"/>
          <w:szCs w:val="24"/>
        </w:rPr>
        <w:t>日，除下表所述资产或负债为美元、欧元余额外，</w:t>
      </w:r>
      <w:r w:rsidRPr="000A5B5D">
        <w:rPr>
          <w:rFonts w:ascii="Arial" w:hAnsi="Arial" w:cs="Arial" w:hint="eastAsia"/>
          <w:bCs/>
          <w:sz w:val="24"/>
        </w:rPr>
        <w:t>本公司</w:t>
      </w:r>
      <w:r w:rsidRPr="000A5B5D">
        <w:rPr>
          <w:rFonts w:ascii="Arial" w:hAnsi="Arial" w:cs="Arial" w:hint="eastAsia"/>
          <w:bCs/>
          <w:sz w:val="24"/>
          <w:szCs w:val="24"/>
        </w:rPr>
        <w:t>的资产及负债多为人民币余额。该等外币余额的资产和负债产生的外汇风险可能对</w:t>
      </w:r>
      <w:r w:rsidRPr="000A5B5D">
        <w:rPr>
          <w:rFonts w:ascii="Arial" w:hAnsi="Arial" w:cs="Arial" w:hint="eastAsia"/>
          <w:bCs/>
          <w:sz w:val="24"/>
        </w:rPr>
        <w:t>本公司</w:t>
      </w:r>
      <w:r w:rsidRPr="000A5B5D">
        <w:rPr>
          <w:rFonts w:ascii="Arial" w:hAnsi="Arial" w:cs="Arial" w:hint="eastAsia"/>
          <w:bCs/>
          <w:sz w:val="24"/>
          <w:szCs w:val="24"/>
        </w:rPr>
        <w:t>的经营业绩产生影响。</w:t>
      </w:r>
    </w:p>
    <w:tbl>
      <w:tblPr>
        <w:tblW w:w="5000" w:type="pct"/>
        <w:tblBorders>
          <w:top w:val="single" w:sz="12" w:space="0" w:color="auto"/>
          <w:bottom w:val="single" w:sz="12" w:space="0" w:color="auto"/>
          <w:insideH w:val="dotted" w:sz="4" w:space="0" w:color="auto"/>
          <w:insideV w:val="dotted" w:sz="4" w:space="0" w:color="auto"/>
        </w:tblBorders>
        <w:tblLook w:val="04A0" w:firstRow="1" w:lastRow="0" w:firstColumn="1" w:lastColumn="0" w:noHBand="0" w:noVBand="1"/>
      </w:tblPr>
      <w:tblGrid>
        <w:gridCol w:w="2781"/>
        <w:gridCol w:w="1717"/>
        <w:gridCol w:w="1714"/>
        <w:gridCol w:w="1712"/>
        <w:gridCol w:w="1714"/>
      </w:tblGrid>
      <w:tr w:rsidR="00851B9D" w:rsidRPr="000A5B5D" w:rsidTr="00851B9D">
        <w:trPr>
          <w:trHeight w:val="397"/>
          <w:tblHeader/>
        </w:trPr>
        <w:tc>
          <w:tcPr>
            <w:tcW w:w="1443" w:type="pct"/>
            <w:vMerge w:val="restart"/>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项目</w:t>
            </w:r>
          </w:p>
        </w:tc>
        <w:tc>
          <w:tcPr>
            <w:tcW w:w="1780" w:type="pct"/>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年末数</w:t>
            </w:r>
          </w:p>
        </w:tc>
        <w:tc>
          <w:tcPr>
            <w:tcW w:w="1777" w:type="pct"/>
            <w:gridSpan w:val="2"/>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年初数</w:t>
            </w:r>
          </w:p>
        </w:tc>
      </w:tr>
      <w:tr w:rsidR="00851B9D" w:rsidRPr="000A5B5D" w:rsidTr="00851B9D">
        <w:trPr>
          <w:trHeight w:val="397"/>
          <w:tblHeader/>
        </w:trPr>
        <w:tc>
          <w:tcPr>
            <w:tcW w:w="1443" w:type="pct"/>
            <w:vMerge/>
            <w:vAlign w:val="center"/>
          </w:tcPr>
          <w:p w:rsidR="00851B9D" w:rsidRPr="000A5B5D" w:rsidRDefault="00851B9D" w:rsidP="00851B9D">
            <w:pPr>
              <w:jc w:val="center"/>
              <w:rPr>
                <w:rFonts w:ascii="Arial Narrow" w:hAnsi="Arial Narrow" w:cs="Arial"/>
                <w:szCs w:val="21"/>
              </w:rPr>
            </w:pPr>
          </w:p>
        </w:tc>
        <w:tc>
          <w:tcPr>
            <w:tcW w:w="891" w:type="pct"/>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美元</w:t>
            </w:r>
          </w:p>
        </w:tc>
        <w:tc>
          <w:tcPr>
            <w:tcW w:w="888" w:type="pct"/>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欧元</w:t>
            </w:r>
          </w:p>
        </w:tc>
        <w:tc>
          <w:tcPr>
            <w:tcW w:w="888" w:type="pct"/>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美元</w:t>
            </w:r>
          </w:p>
        </w:tc>
        <w:tc>
          <w:tcPr>
            <w:tcW w:w="889" w:type="pct"/>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欧元</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现金及现金等价物</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85,625,751.88</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7,697.26</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65,166,684.88</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36.27</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应收账款</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68,129,943.79</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90,062,491.55</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其他应收款</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662,155.14</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b/>
                <w:szCs w:val="21"/>
              </w:rPr>
            </w:pPr>
            <w:r w:rsidRPr="000A5B5D">
              <w:rPr>
                <w:rFonts w:ascii="Arial Narrow" w:hAnsi="Arial Narrow" w:cs="Arial" w:hint="eastAsia"/>
                <w:szCs w:val="21"/>
              </w:rPr>
              <w:t>应付账款</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58,111,576.75</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2,701,397.08</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366,753,652.87</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509,762.37</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b/>
                <w:szCs w:val="21"/>
              </w:rPr>
            </w:pPr>
            <w:r w:rsidRPr="000A5B5D">
              <w:rPr>
                <w:rFonts w:ascii="Arial Narrow" w:hAnsi="Arial Narrow" w:cs="Arial" w:hint="eastAsia"/>
                <w:szCs w:val="21"/>
              </w:rPr>
              <w:t>其他应付款</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1,290,000.00</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13,580,108.80</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sz w:val="20"/>
              </w:rPr>
            </w:pPr>
            <w:r w:rsidRPr="000A5B5D">
              <w:rPr>
                <w:rFonts w:ascii="Arial Narrow" w:hAnsi="Arial Narrow" w:cs="Arial" w:hint="eastAsia"/>
                <w:szCs w:val="21"/>
              </w:rPr>
              <w:t>短期借款</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520,830,459.86</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108,099,438.64</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1,418,224,596.66</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1443" w:type="pct"/>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一年内到期的非流动负债</w:t>
            </w:r>
          </w:p>
        </w:tc>
        <w:tc>
          <w:tcPr>
            <w:tcW w:w="891"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94,000,000.00</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8"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20,000,000.00</w:t>
            </w:r>
          </w:p>
        </w:tc>
        <w:tc>
          <w:tcPr>
            <w:tcW w:w="889" w:type="pct"/>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1443" w:type="pct"/>
            <w:tcBorders>
              <w:bottom w:val="single" w:sz="12" w:space="0" w:color="auto"/>
            </w:tcBorders>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长期借款</w:t>
            </w:r>
          </w:p>
        </w:tc>
        <w:tc>
          <w:tcPr>
            <w:tcW w:w="891" w:type="pct"/>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118,900,000.00</w:t>
            </w:r>
          </w:p>
        </w:tc>
        <w:tc>
          <w:tcPr>
            <w:tcW w:w="889" w:type="pct"/>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888" w:type="pct"/>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183,900,000.00</w:t>
            </w:r>
          </w:p>
        </w:tc>
        <w:tc>
          <w:tcPr>
            <w:tcW w:w="889" w:type="pct"/>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bl>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公司密切关注汇率变动对本公司外汇风险的影响，规定公司不进行以投机为目的的外汇衍生品交易，所有外汇衍生品交易业务均以正常生产经营为基础，以具体经营业务为依托，以规避和防范汇率或利率风险为目的。</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外汇风险敏感性分析：</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本公司承受外汇风险主要与美元及欧元对人民币的汇率变化有关。下表列示了本公司相关外币与人民币汇率变动</w:t>
      </w:r>
      <w:r w:rsidRPr="000A5B5D">
        <w:rPr>
          <w:rFonts w:ascii="Arial" w:hAnsi="Arial" w:cs="Arial"/>
          <w:bCs/>
          <w:sz w:val="24"/>
        </w:rPr>
        <w:t>1%</w:t>
      </w:r>
      <w:r w:rsidRPr="000A5B5D">
        <w:rPr>
          <w:rFonts w:ascii="Arial" w:hAnsi="Arial" w:cs="Arial" w:hint="eastAsia"/>
          <w:bCs/>
          <w:sz w:val="24"/>
        </w:rPr>
        <w:t>假设下的敏感性分析。在管理层进行敏感性分析时，</w:t>
      </w:r>
      <w:r w:rsidRPr="000A5B5D">
        <w:rPr>
          <w:rFonts w:ascii="Arial" w:hAnsi="Arial" w:cs="Arial"/>
          <w:bCs/>
          <w:sz w:val="24"/>
        </w:rPr>
        <w:t>1%</w:t>
      </w:r>
      <w:r w:rsidRPr="000A5B5D">
        <w:rPr>
          <w:rFonts w:ascii="Arial" w:hAnsi="Arial" w:cs="Arial" w:hint="eastAsia"/>
          <w:bCs/>
          <w:sz w:val="24"/>
        </w:rPr>
        <w:t>的增减变动被认为合理反映了汇率变化的可能范围。在上述假设的基础上，在其他变量不变的情况下，汇率可能发生的合理变动对当期损益和股东权益的税前影响如下：</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880"/>
        <w:gridCol w:w="2048"/>
        <w:gridCol w:w="2179"/>
        <w:gridCol w:w="2109"/>
      </w:tblGrid>
      <w:tr w:rsidR="00851B9D" w:rsidRPr="000A5B5D" w:rsidTr="00851B9D">
        <w:trPr>
          <w:trHeight w:val="369"/>
          <w:tblHeader/>
        </w:trPr>
        <w:tc>
          <w:tcPr>
            <w:tcW w:w="2880" w:type="dxa"/>
            <w:vMerge w:val="restart"/>
            <w:tcBorders>
              <w:top w:val="single" w:sz="12" w:space="0" w:color="auto"/>
            </w:tcBorders>
            <w:vAlign w:val="center"/>
          </w:tcPr>
          <w:p w:rsidR="00851B9D" w:rsidRPr="000A5B5D" w:rsidRDefault="00851B9D" w:rsidP="00851B9D">
            <w:pPr>
              <w:jc w:val="center"/>
              <w:rPr>
                <w:rFonts w:ascii="Arial Narrow" w:hAnsi="Arial Narrow" w:cs="Arial"/>
                <w:bCs/>
                <w:kern w:val="0"/>
                <w:szCs w:val="21"/>
              </w:rPr>
            </w:pPr>
            <w:r w:rsidRPr="000A5B5D">
              <w:rPr>
                <w:rFonts w:ascii="Arial Narrow" w:hAnsi="Arial Narrow" w:cs="Arial" w:hint="eastAsia"/>
                <w:bCs/>
                <w:kern w:val="0"/>
                <w:szCs w:val="21"/>
              </w:rPr>
              <w:t>项目</w:t>
            </w:r>
          </w:p>
        </w:tc>
        <w:tc>
          <w:tcPr>
            <w:tcW w:w="2048" w:type="dxa"/>
            <w:vMerge w:val="restart"/>
            <w:tcBorders>
              <w:top w:val="single" w:sz="12" w:space="0" w:color="auto"/>
            </w:tcBorders>
            <w:vAlign w:val="center"/>
          </w:tcPr>
          <w:p w:rsidR="00851B9D" w:rsidRPr="000A5B5D" w:rsidRDefault="00851B9D" w:rsidP="00851B9D">
            <w:pPr>
              <w:jc w:val="center"/>
              <w:rPr>
                <w:rFonts w:ascii="Arial Narrow" w:hAnsi="Arial Narrow" w:cs="Arial"/>
                <w:bCs/>
                <w:kern w:val="0"/>
                <w:szCs w:val="21"/>
              </w:rPr>
            </w:pPr>
            <w:r w:rsidRPr="000A5B5D">
              <w:rPr>
                <w:rFonts w:ascii="Arial Narrow" w:hAnsi="Arial Narrow" w:cs="Arial" w:hint="eastAsia"/>
                <w:bCs/>
                <w:kern w:val="0"/>
                <w:szCs w:val="21"/>
              </w:rPr>
              <w:t>汇率变动</w:t>
            </w:r>
          </w:p>
        </w:tc>
        <w:tc>
          <w:tcPr>
            <w:tcW w:w="4288" w:type="dxa"/>
            <w:gridSpan w:val="2"/>
            <w:tcBorders>
              <w:top w:val="single" w:sz="12" w:space="0" w:color="auto"/>
              <w:right w:val="nil"/>
            </w:tcBorders>
            <w:vAlign w:val="center"/>
          </w:tcPr>
          <w:p w:rsidR="00851B9D" w:rsidRPr="000A5B5D" w:rsidRDefault="00851B9D" w:rsidP="00851B9D">
            <w:pPr>
              <w:jc w:val="center"/>
              <w:rPr>
                <w:rFonts w:ascii="Arial Narrow" w:hAnsi="Arial Narrow" w:cs="Arial"/>
                <w:bCs/>
                <w:kern w:val="0"/>
                <w:szCs w:val="21"/>
              </w:rPr>
            </w:pPr>
            <w:r w:rsidRPr="000A5B5D">
              <w:rPr>
                <w:rFonts w:ascii="Arial Narrow" w:hAnsi="Arial Narrow" w:cs="Arial" w:hint="eastAsia"/>
                <w:bCs/>
                <w:kern w:val="0"/>
                <w:szCs w:val="21"/>
              </w:rPr>
              <w:t>对当期损益和股东权益的税前影响</w:t>
            </w:r>
          </w:p>
        </w:tc>
      </w:tr>
      <w:tr w:rsidR="00851B9D" w:rsidRPr="000A5B5D" w:rsidTr="00851B9D">
        <w:trPr>
          <w:trHeight w:val="369"/>
          <w:tblHeader/>
        </w:trPr>
        <w:tc>
          <w:tcPr>
            <w:tcW w:w="2880" w:type="dxa"/>
            <w:vMerge/>
            <w:vAlign w:val="center"/>
          </w:tcPr>
          <w:p w:rsidR="00851B9D" w:rsidRPr="000A5B5D" w:rsidRDefault="00851B9D" w:rsidP="00851B9D">
            <w:pPr>
              <w:jc w:val="center"/>
              <w:rPr>
                <w:rFonts w:ascii="Arial Narrow" w:hAnsi="Arial Narrow" w:cs="Arial"/>
                <w:bCs/>
                <w:kern w:val="0"/>
                <w:szCs w:val="21"/>
              </w:rPr>
            </w:pPr>
          </w:p>
        </w:tc>
        <w:tc>
          <w:tcPr>
            <w:tcW w:w="2048" w:type="dxa"/>
            <w:vMerge/>
            <w:vAlign w:val="center"/>
          </w:tcPr>
          <w:p w:rsidR="00851B9D" w:rsidRPr="000A5B5D" w:rsidRDefault="00851B9D" w:rsidP="00851B9D">
            <w:pPr>
              <w:jc w:val="center"/>
              <w:rPr>
                <w:rFonts w:ascii="Arial Narrow" w:hAnsi="Arial Narrow" w:cs="Arial"/>
                <w:bCs/>
                <w:kern w:val="0"/>
                <w:szCs w:val="21"/>
              </w:rPr>
            </w:pPr>
          </w:p>
        </w:tc>
        <w:tc>
          <w:tcPr>
            <w:tcW w:w="2179" w:type="dxa"/>
            <w:vAlign w:val="center"/>
          </w:tcPr>
          <w:p w:rsidR="00851B9D" w:rsidRPr="000A5B5D" w:rsidRDefault="00851B9D" w:rsidP="00851B9D">
            <w:pPr>
              <w:jc w:val="center"/>
              <w:rPr>
                <w:rFonts w:ascii="Arial Narrow" w:hAnsi="Arial Narrow" w:cs="Arial"/>
                <w:bCs/>
                <w:kern w:val="0"/>
                <w:szCs w:val="21"/>
              </w:rPr>
            </w:pPr>
            <w:r w:rsidRPr="000A5B5D">
              <w:rPr>
                <w:rFonts w:ascii="Arial Narrow" w:hAnsi="Arial Narrow" w:cs="Arial" w:hint="eastAsia"/>
                <w:bCs/>
                <w:kern w:val="0"/>
                <w:szCs w:val="21"/>
              </w:rPr>
              <w:t>本年度</w:t>
            </w:r>
          </w:p>
        </w:tc>
        <w:tc>
          <w:tcPr>
            <w:tcW w:w="2109" w:type="dxa"/>
            <w:vAlign w:val="center"/>
          </w:tcPr>
          <w:p w:rsidR="00851B9D" w:rsidRPr="000A5B5D" w:rsidRDefault="00851B9D" w:rsidP="00851B9D">
            <w:pPr>
              <w:jc w:val="center"/>
              <w:rPr>
                <w:rFonts w:ascii="Arial Narrow" w:hAnsi="Arial Narrow" w:cs="Arial"/>
                <w:bCs/>
                <w:kern w:val="0"/>
                <w:szCs w:val="21"/>
              </w:rPr>
            </w:pPr>
            <w:r w:rsidRPr="000A5B5D">
              <w:rPr>
                <w:rFonts w:ascii="Arial Narrow" w:hAnsi="Arial Narrow" w:cs="Arial" w:hint="eastAsia"/>
                <w:bCs/>
                <w:kern w:val="0"/>
                <w:szCs w:val="21"/>
              </w:rPr>
              <w:t>上年度</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美元货币性资产</w:t>
            </w:r>
          </w:p>
        </w:tc>
        <w:tc>
          <w:tcPr>
            <w:tcW w:w="2048" w:type="dxa"/>
            <w:vMerge w:val="restart"/>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对人民币升值</w:t>
            </w:r>
            <w:r w:rsidRPr="000A5B5D">
              <w:rPr>
                <w:rFonts w:ascii="Arial Narrow" w:hAnsi="Arial Narrow" w:cs="Arial"/>
                <w:bCs/>
                <w:kern w:val="0"/>
                <w:szCs w:val="21"/>
              </w:rPr>
              <w:t>1%</w:t>
            </w: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10,027,277.56</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9,498,473.31</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美元货币性负债</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-51,502,821.93</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-122,530,426.95</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净影响额</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-41,475,544.37</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-113,031,953.64</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美元货币性资产</w:t>
            </w:r>
          </w:p>
        </w:tc>
        <w:tc>
          <w:tcPr>
            <w:tcW w:w="2048" w:type="dxa"/>
            <w:vMerge w:val="restart"/>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对人民币贬值</w:t>
            </w:r>
            <w:r w:rsidRPr="000A5B5D">
              <w:rPr>
                <w:rFonts w:ascii="Arial Narrow" w:hAnsi="Arial Narrow" w:cs="Arial"/>
                <w:bCs/>
                <w:kern w:val="0"/>
                <w:szCs w:val="21"/>
              </w:rPr>
              <w:t>1%</w:t>
            </w: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-10,027,277.56</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-9,498,473.31</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美元货币性负债</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51,502,821.93</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122,530,426.95</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lastRenderedPageBreak/>
              <w:t>净影响额</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41,475,544.37</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 xml:space="preserve">113,031,953.64   </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欧元货币性资产</w:t>
            </w:r>
          </w:p>
        </w:tc>
        <w:tc>
          <w:tcPr>
            <w:tcW w:w="2048" w:type="dxa"/>
            <w:vMerge w:val="restart"/>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对人民币升值</w:t>
            </w:r>
            <w:r w:rsidRPr="000A5B5D">
              <w:rPr>
                <w:rFonts w:ascii="Arial Narrow" w:hAnsi="Arial Narrow" w:cs="Arial"/>
                <w:bCs/>
                <w:kern w:val="0"/>
                <w:szCs w:val="21"/>
              </w:rPr>
              <w:t>1%</w:t>
            </w: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546.14</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2.70</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欧元货币性负债</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-7,861,540.90</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-38,005.84</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净影响额</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-7,860,994.76</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-38,003.14</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欧元货币性资产</w:t>
            </w:r>
          </w:p>
        </w:tc>
        <w:tc>
          <w:tcPr>
            <w:tcW w:w="2048" w:type="dxa"/>
            <w:vMerge w:val="restart"/>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对人民币贬值</w:t>
            </w:r>
            <w:r w:rsidRPr="000A5B5D">
              <w:rPr>
                <w:rFonts w:ascii="Arial Narrow" w:hAnsi="Arial Narrow" w:cs="Arial"/>
                <w:bCs/>
                <w:kern w:val="0"/>
                <w:szCs w:val="21"/>
              </w:rPr>
              <w:t>1%</w:t>
            </w: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-546.14</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-2.70</w:t>
            </w:r>
          </w:p>
        </w:tc>
      </w:tr>
      <w:tr w:rsidR="00851B9D" w:rsidRPr="000A5B5D" w:rsidTr="00851B9D">
        <w:trPr>
          <w:trHeight w:val="369"/>
        </w:trPr>
        <w:tc>
          <w:tcPr>
            <w:tcW w:w="2880" w:type="dxa"/>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欧元货币性负债</w:t>
            </w:r>
          </w:p>
        </w:tc>
        <w:tc>
          <w:tcPr>
            <w:tcW w:w="2048" w:type="dxa"/>
            <w:vMerge/>
            <w:vAlign w:val="center"/>
          </w:tcPr>
          <w:p w:rsidR="00851B9D" w:rsidRPr="000A5B5D" w:rsidRDefault="00851B9D" w:rsidP="00851B9D">
            <w:pPr>
              <w:rPr>
                <w:rFonts w:ascii="Arial Narrow" w:hAnsi="Arial Narrow" w:cs="Arial"/>
                <w:bCs/>
                <w:kern w:val="0"/>
                <w:szCs w:val="21"/>
              </w:rPr>
            </w:pPr>
          </w:p>
        </w:tc>
        <w:tc>
          <w:tcPr>
            <w:tcW w:w="217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7,861,540.90</w:t>
            </w:r>
          </w:p>
        </w:tc>
        <w:tc>
          <w:tcPr>
            <w:tcW w:w="2109" w:type="dxa"/>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38,005.84</w:t>
            </w:r>
          </w:p>
        </w:tc>
      </w:tr>
      <w:tr w:rsidR="00851B9D" w:rsidRPr="000A5B5D" w:rsidTr="00851B9D">
        <w:trPr>
          <w:trHeight w:val="369"/>
        </w:trPr>
        <w:tc>
          <w:tcPr>
            <w:tcW w:w="2880" w:type="dxa"/>
            <w:tcBorders>
              <w:bottom w:val="single" w:sz="12" w:space="0" w:color="auto"/>
            </w:tcBorders>
            <w:vAlign w:val="center"/>
          </w:tcPr>
          <w:p w:rsidR="00851B9D" w:rsidRPr="000A5B5D" w:rsidRDefault="00851B9D" w:rsidP="00851B9D">
            <w:pPr>
              <w:rPr>
                <w:rFonts w:ascii="Arial Narrow" w:hAnsi="Arial Narrow" w:cs="Arial"/>
                <w:bCs/>
                <w:kern w:val="0"/>
                <w:szCs w:val="21"/>
              </w:rPr>
            </w:pPr>
            <w:r w:rsidRPr="000A5B5D">
              <w:rPr>
                <w:rFonts w:ascii="Arial Narrow" w:hAnsi="Arial Narrow" w:cs="Arial" w:hint="eastAsia"/>
                <w:bCs/>
                <w:kern w:val="0"/>
                <w:szCs w:val="21"/>
              </w:rPr>
              <w:t>净影响额</w:t>
            </w:r>
          </w:p>
        </w:tc>
        <w:tc>
          <w:tcPr>
            <w:tcW w:w="2048" w:type="dxa"/>
            <w:vMerge/>
            <w:tcBorders>
              <w:bottom w:val="single" w:sz="12" w:space="0" w:color="auto"/>
            </w:tcBorders>
            <w:vAlign w:val="center"/>
          </w:tcPr>
          <w:p w:rsidR="00851B9D" w:rsidRPr="000A5B5D" w:rsidRDefault="00851B9D" w:rsidP="00851B9D">
            <w:pPr>
              <w:rPr>
                <w:rFonts w:ascii="Arial Narrow" w:hAnsi="Arial Narrow" w:cs="Arial"/>
                <w:bCs/>
                <w:kern w:val="0"/>
                <w:szCs w:val="21"/>
              </w:rPr>
            </w:pPr>
          </w:p>
        </w:tc>
        <w:tc>
          <w:tcPr>
            <w:tcW w:w="2179" w:type="dxa"/>
            <w:tcBorders>
              <w:bottom w:val="single" w:sz="12" w:space="0" w:color="auto"/>
            </w:tcBorders>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7,860,994.76</w:t>
            </w:r>
          </w:p>
        </w:tc>
        <w:tc>
          <w:tcPr>
            <w:tcW w:w="2109" w:type="dxa"/>
            <w:tcBorders>
              <w:bottom w:val="single" w:sz="12" w:space="0" w:color="auto"/>
            </w:tcBorders>
            <w:vAlign w:val="center"/>
          </w:tcPr>
          <w:p w:rsidR="00851B9D" w:rsidRPr="000A5B5D" w:rsidRDefault="00851B9D" w:rsidP="00851B9D">
            <w:pPr>
              <w:jc w:val="right"/>
              <w:rPr>
                <w:rFonts w:ascii="Arial Narrow" w:hAnsi="Arial Narrow" w:cs="Arial"/>
                <w:bCs/>
                <w:kern w:val="0"/>
                <w:szCs w:val="21"/>
              </w:rPr>
            </w:pPr>
            <w:r w:rsidRPr="000A5B5D">
              <w:rPr>
                <w:rFonts w:ascii="Arial Narrow" w:hAnsi="Arial Narrow" w:cs="Arial"/>
                <w:bCs/>
                <w:kern w:val="0"/>
                <w:szCs w:val="21"/>
              </w:rPr>
              <w:t>38,003.14</w:t>
            </w:r>
          </w:p>
        </w:tc>
      </w:tr>
    </w:tbl>
    <w:p w:rsidR="00851B9D" w:rsidRPr="000A5B5D" w:rsidRDefault="00851B9D" w:rsidP="00851B9D">
      <w:pPr>
        <w:spacing w:line="400" w:lineRule="exact"/>
        <w:ind w:firstLineChars="200" w:firstLine="482"/>
        <w:rPr>
          <w:rFonts w:ascii="Arial" w:hAnsi="Arial" w:cs="Arial"/>
          <w:b/>
          <w:bCs/>
          <w:sz w:val="24"/>
          <w:szCs w:val="24"/>
        </w:rPr>
      </w:pPr>
      <w:r w:rsidRPr="000A5B5D">
        <w:rPr>
          <w:rFonts w:ascii="Arial" w:hAnsi="Arial" w:cs="Arial" w:hint="eastAsia"/>
          <w:b/>
          <w:bCs/>
          <w:sz w:val="24"/>
          <w:szCs w:val="24"/>
        </w:rPr>
        <w:t>（</w:t>
      </w:r>
      <w:r w:rsidRPr="000A5B5D">
        <w:rPr>
          <w:rFonts w:ascii="Arial" w:hAnsi="Arial" w:cs="Arial"/>
          <w:b/>
          <w:bCs/>
          <w:sz w:val="24"/>
          <w:szCs w:val="24"/>
        </w:rPr>
        <w:t>2</w:t>
      </w:r>
      <w:r w:rsidRPr="000A5B5D">
        <w:rPr>
          <w:rFonts w:ascii="Arial" w:hAnsi="Arial" w:cs="Arial" w:hint="eastAsia"/>
          <w:b/>
          <w:bCs/>
          <w:sz w:val="24"/>
          <w:szCs w:val="24"/>
        </w:rPr>
        <w:t>）利率风险－现金流量变动风险</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公司因利率变动引起金融工具公允价值变动的风险主要来自于当金融市场利率处于下行趋势环境中，公司固定利率的借款，将享受不到利率下调带来的成本节约；相反，当金融市场利率处于上行趋势环境中，公司浮动利率的借款，将会因为利率上调带来成本增加。由于公司借款中短期借款占到银行借款总额的</w:t>
      </w:r>
      <w:r w:rsidRPr="000A5B5D">
        <w:rPr>
          <w:rFonts w:ascii="Arial" w:hAnsi="Arial" w:cs="Arial"/>
          <w:bCs/>
          <w:sz w:val="24"/>
          <w:szCs w:val="24"/>
        </w:rPr>
        <w:t>85%</w:t>
      </w:r>
      <w:r w:rsidRPr="000A5B5D">
        <w:rPr>
          <w:rFonts w:ascii="Arial" w:hAnsi="Arial" w:cs="Arial" w:hint="eastAsia"/>
          <w:bCs/>
          <w:sz w:val="24"/>
          <w:szCs w:val="24"/>
        </w:rPr>
        <w:t>以上，且短期借款多为固定利率计息，中长期借款均为浮动利率计息，因此本公司管理层认为在当前宏观金融市场利率变动趋势下，公司利率风险</w:t>
      </w:r>
      <w:r w:rsidRPr="000A5B5D">
        <w:rPr>
          <w:rFonts w:ascii="Arial" w:hAnsi="Arial" w:cs="Arial"/>
          <w:bCs/>
          <w:sz w:val="24"/>
          <w:szCs w:val="24"/>
        </w:rPr>
        <w:t>-</w:t>
      </w:r>
      <w:r w:rsidRPr="000A5B5D">
        <w:rPr>
          <w:rFonts w:ascii="Arial" w:hAnsi="Arial" w:cs="Arial" w:hint="eastAsia"/>
          <w:bCs/>
          <w:sz w:val="24"/>
          <w:szCs w:val="24"/>
        </w:rPr>
        <w:t>公允价值变动风险并不重大。本公司目前并无利率对冲的政策。</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利率风险敏感性分析：</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利率风险敏感性分析基于市场利率变化影响可变利率金融工具的利息收入或费用的假设。对于短期借款，敏感性分析基于该借款在一个完整的会计年度内将可以继续循环借款。此外，在管理层进行敏感性分析时，</w:t>
      </w:r>
      <w:r w:rsidRPr="000A5B5D">
        <w:rPr>
          <w:rFonts w:ascii="Arial" w:hAnsi="Arial" w:cs="Arial"/>
          <w:bCs/>
          <w:sz w:val="24"/>
          <w:szCs w:val="24"/>
        </w:rPr>
        <w:t>50</w:t>
      </w:r>
      <w:r w:rsidRPr="000A5B5D">
        <w:rPr>
          <w:rFonts w:ascii="Arial" w:hAnsi="Arial" w:cs="Arial" w:hint="eastAsia"/>
          <w:bCs/>
          <w:sz w:val="24"/>
          <w:szCs w:val="24"/>
        </w:rPr>
        <w:t>个基点的增减变动被认为合理反映了利率变化的可能范围。在上述假设的基础上，在其他变量不变的情况下，利率增加</w:t>
      </w:r>
      <w:r w:rsidRPr="000A5B5D">
        <w:rPr>
          <w:rFonts w:ascii="Arial" w:hAnsi="Arial" w:cs="Arial"/>
          <w:bCs/>
          <w:sz w:val="24"/>
          <w:szCs w:val="24"/>
        </w:rPr>
        <w:t>/</w:t>
      </w:r>
      <w:r w:rsidRPr="000A5B5D">
        <w:rPr>
          <w:rFonts w:ascii="Arial" w:hAnsi="Arial" w:cs="Arial" w:hint="eastAsia"/>
          <w:bCs/>
          <w:sz w:val="24"/>
          <w:szCs w:val="24"/>
        </w:rPr>
        <w:t>降低</w:t>
      </w:r>
      <w:r w:rsidRPr="000A5B5D">
        <w:rPr>
          <w:rFonts w:ascii="Arial" w:hAnsi="Arial" w:cs="Arial"/>
          <w:bCs/>
          <w:sz w:val="24"/>
          <w:szCs w:val="24"/>
        </w:rPr>
        <w:t>50</w:t>
      </w:r>
      <w:r w:rsidRPr="000A5B5D">
        <w:rPr>
          <w:rFonts w:ascii="Arial" w:hAnsi="Arial" w:cs="Arial" w:hint="eastAsia"/>
          <w:bCs/>
          <w:sz w:val="24"/>
          <w:szCs w:val="24"/>
        </w:rPr>
        <w:t>个基点的情况下，利率可能发生的合理变动对当期损益和股东权益的税前影响如下：</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943"/>
        <w:gridCol w:w="3121"/>
        <w:gridCol w:w="1589"/>
        <w:gridCol w:w="1563"/>
      </w:tblGrid>
      <w:tr w:rsidR="00851B9D" w:rsidRPr="000A5B5D" w:rsidTr="00851B9D">
        <w:trPr>
          <w:trHeight w:val="397"/>
        </w:trPr>
        <w:tc>
          <w:tcPr>
            <w:tcW w:w="2943" w:type="dxa"/>
            <w:tcBorders>
              <w:top w:val="single" w:sz="12" w:space="0" w:color="auto"/>
            </w:tcBorders>
            <w:vAlign w:val="center"/>
          </w:tcPr>
          <w:p w:rsidR="00851B9D" w:rsidRPr="000A5B5D" w:rsidRDefault="00851B9D" w:rsidP="00851B9D">
            <w:pPr>
              <w:ind w:leftChars="-20" w:left="-36" w:rightChars="-35" w:right="-63"/>
              <w:jc w:val="center"/>
              <w:rPr>
                <w:rFonts w:ascii="Arial Narrow" w:hAnsi="Arial Narrow" w:cs="Arial"/>
                <w:bCs/>
                <w:kern w:val="0"/>
                <w:szCs w:val="21"/>
              </w:rPr>
            </w:pPr>
            <w:r w:rsidRPr="000A5B5D">
              <w:rPr>
                <w:rFonts w:ascii="Arial Narrow" w:hAnsi="Arial Narrow" w:cs="Arial" w:hint="eastAsia"/>
                <w:bCs/>
                <w:kern w:val="0"/>
                <w:szCs w:val="21"/>
              </w:rPr>
              <w:t>项目</w:t>
            </w:r>
          </w:p>
        </w:tc>
        <w:tc>
          <w:tcPr>
            <w:tcW w:w="3121" w:type="dxa"/>
            <w:tcBorders>
              <w:top w:val="single" w:sz="12" w:space="0" w:color="auto"/>
            </w:tcBorders>
            <w:vAlign w:val="center"/>
          </w:tcPr>
          <w:p w:rsidR="00851B9D" w:rsidRPr="000A5B5D" w:rsidRDefault="00851B9D" w:rsidP="00851B9D">
            <w:pPr>
              <w:ind w:rightChars="-35" w:right="-63"/>
              <w:jc w:val="center"/>
              <w:rPr>
                <w:rFonts w:ascii="Arial Narrow" w:hAnsi="Arial Narrow" w:cs="Arial"/>
                <w:bCs/>
                <w:kern w:val="0"/>
                <w:szCs w:val="21"/>
              </w:rPr>
            </w:pPr>
            <w:r w:rsidRPr="000A5B5D">
              <w:rPr>
                <w:rFonts w:ascii="Arial Narrow" w:hAnsi="Arial Narrow" w:cs="Arial" w:hint="eastAsia"/>
                <w:bCs/>
                <w:kern w:val="0"/>
                <w:szCs w:val="21"/>
              </w:rPr>
              <w:t>利率变动</w:t>
            </w:r>
          </w:p>
        </w:tc>
        <w:tc>
          <w:tcPr>
            <w:tcW w:w="1589" w:type="dxa"/>
            <w:tcBorders>
              <w:top w:val="single" w:sz="12" w:space="0" w:color="auto"/>
            </w:tcBorders>
            <w:vAlign w:val="center"/>
          </w:tcPr>
          <w:p w:rsidR="00851B9D" w:rsidRPr="000A5B5D" w:rsidRDefault="00851B9D" w:rsidP="00851B9D">
            <w:pPr>
              <w:ind w:rightChars="-35" w:right="-63"/>
              <w:jc w:val="center"/>
              <w:rPr>
                <w:rFonts w:ascii="Arial Narrow" w:hAnsi="Arial Narrow" w:cs="Arial"/>
                <w:bCs/>
                <w:kern w:val="0"/>
                <w:szCs w:val="21"/>
              </w:rPr>
            </w:pPr>
            <w:r w:rsidRPr="000A5B5D">
              <w:rPr>
                <w:rFonts w:ascii="Arial Narrow" w:hAnsi="Arial Narrow" w:cs="Arial" w:hint="eastAsia"/>
                <w:bCs/>
                <w:kern w:val="0"/>
                <w:szCs w:val="21"/>
              </w:rPr>
              <w:t>本年利润增加</w:t>
            </w:r>
          </w:p>
        </w:tc>
        <w:tc>
          <w:tcPr>
            <w:tcW w:w="1563" w:type="dxa"/>
            <w:tcBorders>
              <w:top w:val="single" w:sz="12" w:space="0" w:color="auto"/>
            </w:tcBorders>
            <w:vAlign w:val="center"/>
          </w:tcPr>
          <w:p w:rsidR="00851B9D" w:rsidRPr="000A5B5D" w:rsidRDefault="00851B9D" w:rsidP="00851B9D">
            <w:pPr>
              <w:ind w:rightChars="-35" w:right="-63"/>
              <w:jc w:val="center"/>
              <w:rPr>
                <w:rFonts w:ascii="Arial Narrow" w:hAnsi="Arial Narrow" w:cs="Arial"/>
                <w:bCs/>
                <w:kern w:val="0"/>
                <w:szCs w:val="21"/>
              </w:rPr>
            </w:pPr>
            <w:r w:rsidRPr="000A5B5D">
              <w:rPr>
                <w:rFonts w:ascii="Arial Narrow" w:hAnsi="Arial Narrow" w:cs="Arial" w:hint="eastAsia"/>
                <w:bCs/>
                <w:kern w:val="0"/>
                <w:szCs w:val="21"/>
              </w:rPr>
              <w:t>本年利润减少</w:t>
            </w:r>
          </w:p>
        </w:tc>
      </w:tr>
      <w:tr w:rsidR="00851B9D" w:rsidRPr="000A5B5D" w:rsidTr="00851B9D">
        <w:trPr>
          <w:trHeight w:val="397"/>
        </w:trPr>
        <w:tc>
          <w:tcPr>
            <w:tcW w:w="2943" w:type="dxa"/>
            <w:vAlign w:val="center"/>
          </w:tcPr>
          <w:p w:rsidR="00851B9D" w:rsidRPr="000A5B5D" w:rsidRDefault="00851B9D" w:rsidP="00851B9D">
            <w:pPr>
              <w:ind w:leftChars="-20" w:left="-36" w:rightChars="-35" w:right="-63"/>
              <w:rPr>
                <w:rFonts w:ascii="Arial Narrow" w:hAnsi="Arial Narrow" w:cs="Arial"/>
                <w:bCs/>
                <w:kern w:val="0"/>
                <w:szCs w:val="21"/>
              </w:rPr>
            </w:pPr>
            <w:r w:rsidRPr="000A5B5D">
              <w:rPr>
                <w:rFonts w:ascii="Arial Narrow" w:hAnsi="Arial Narrow" w:cs="Arial" w:hint="eastAsia"/>
                <w:bCs/>
                <w:kern w:val="0"/>
                <w:szCs w:val="21"/>
              </w:rPr>
              <w:t>以固定利率计息的短期借款</w:t>
            </w:r>
          </w:p>
        </w:tc>
        <w:tc>
          <w:tcPr>
            <w:tcW w:w="3121" w:type="dxa"/>
            <w:vAlign w:val="center"/>
          </w:tcPr>
          <w:p w:rsidR="00851B9D" w:rsidRPr="000A5B5D" w:rsidRDefault="00851B9D" w:rsidP="00851B9D">
            <w:pPr>
              <w:ind w:rightChars="-35" w:right="-63"/>
              <w:rPr>
                <w:rFonts w:ascii="Arial Narrow" w:hAnsi="Arial Narrow" w:cs="Arial"/>
                <w:bCs/>
                <w:kern w:val="0"/>
                <w:szCs w:val="21"/>
              </w:rPr>
            </w:pPr>
            <w:r w:rsidRPr="000A5B5D">
              <w:rPr>
                <w:rFonts w:ascii="Arial Narrow" w:hAnsi="Arial Narrow" w:cs="Arial" w:hint="eastAsia"/>
                <w:bCs/>
                <w:kern w:val="0"/>
                <w:szCs w:val="21"/>
              </w:rPr>
              <w:t>利率上行趋势，每增加</w:t>
            </w:r>
            <w:r w:rsidRPr="000A5B5D">
              <w:rPr>
                <w:rFonts w:ascii="Arial Narrow" w:hAnsi="Arial Narrow" w:cs="Arial"/>
                <w:bCs/>
                <w:kern w:val="0"/>
                <w:szCs w:val="21"/>
              </w:rPr>
              <w:t>50</w:t>
            </w:r>
            <w:r w:rsidRPr="000A5B5D">
              <w:rPr>
                <w:rFonts w:ascii="Arial Narrow" w:hAnsi="Arial Narrow" w:cs="Arial" w:hint="eastAsia"/>
                <w:bCs/>
                <w:kern w:val="0"/>
                <w:szCs w:val="21"/>
              </w:rPr>
              <w:t>个基点</w:t>
            </w:r>
          </w:p>
        </w:tc>
        <w:tc>
          <w:tcPr>
            <w:tcW w:w="1589"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54,362,532.59</w:t>
            </w:r>
          </w:p>
        </w:tc>
        <w:tc>
          <w:tcPr>
            <w:tcW w:w="1563"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w:t>
            </w:r>
          </w:p>
        </w:tc>
      </w:tr>
      <w:tr w:rsidR="00851B9D" w:rsidRPr="000A5B5D" w:rsidTr="00851B9D">
        <w:trPr>
          <w:trHeight w:val="397"/>
        </w:trPr>
        <w:tc>
          <w:tcPr>
            <w:tcW w:w="2943" w:type="dxa"/>
            <w:vAlign w:val="center"/>
          </w:tcPr>
          <w:p w:rsidR="00851B9D" w:rsidRPr="000A5B5D" w:rsidRDefault="00851B9D" w:rsidP="00851B9D">
            <w:pPr>
              <w:ind w:leftChars="-20" w:left="-36" w:rightChars="-35" w:right="-63"/>
              <w:rPr>
                <w:rFonts w:ascii="Arial Narrow" w:hAnsi="Arial Narrow" w:cs="Arial"/>
                <w:bCs/>
                <w:kern w:val="0"/>
                <w:szCs w:val="21"/>
              </w:rPr>
            </w:pPr>
            <w:r w:rsidRPr="000A5B5D">
              <w:rPr>
                <w:rFonts w:ascii="Arial Narrow" w:hAnsi="Arial Narrow" w:cs="Arial" w:hint="eastAsia"/>
                <w:bCs/>
                <w:kern w:val="0"/>
                <w:szCs w:val="21"/>
              </w:rPr>
              <w:t>以固定利率计息的短期借款</w:t>
            </w:r>
          </w:p>
        </w:tc>
        <w:tc>
          <w:tcPr>
            <w:tcW w:w="3121" w:type="dxa"/>
            <w:vAlign w:val="center"/>
          </w:tcPr>
          <w:p w:rsidR="00851B9D" w:rsidRPr="000A5B5D" w:rsidRDefault="00851B9D" w:rsidP="00851B9D">
            <w:pPr>
              <w:ind w:rightChars="-35" w:right="-63"/>
              <w:rPr>
                <w:rFonts w:ascii="Arial Narrow" w:hAnsi="Arial Narrow" w:cs="Arial"/>
                <w:bCs/>
                <w:kern w:val="0"/>
                <w:szCs w:val="21"/>
              </w:rPr>
            </w:pPr>
            <w:r w:rsidRPr="000A5B5D">
              <w:rPr>
                <w:rFonts w:ascii="Arial Narrow" w:hAnsi="Arial Narrow" w:cs="Arial" w:hint="eastAsia"/>
                <w:bCs/>
                <w:kern w:val="0"/>
                <w:szCs w:val="21"/>
              </w:rPr>
              <w:t>利率下行趋势，每减少</w:t>
            </w:r>
            <w:r w:rsidRPr="000A5B5D">
              <w:rPr>
                <w:rFonts w:ascii="Arial Narrow" w:hAnsi="Arial Narrow" w:cs="Arial"/>
                <w:bCs/>
                <w:kern w:val="0"/>
                <w:szCs w:val="21"/>
              </w:rPr>
              <w:t>50</w:t>
            </w:r>
            <w:r w:rsidRPr="000A5B5D">
              <w:rPr>
                <w:rFonts w:ascii="Arial Narrow" w:hAnsi="Arial Narrow" w:cs="Arial" w:hint="eastAsia"/>
                <w:bCs/>
                <w:kern w:val="0"/>
                <w:szCs w:val="21"/>
              </w:rPr>
              <w:t>个基点</w:t>
            </w:r>
          </w:p>
        </w:tc>
        <w:tc>
          <w:tcPr>
            <w:tcW w:w="1589"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w:t>
            </w:r>
          </w:p>
        </w:tc>
        <w:tc>
          <w:tcPr>
            <w:tcW w:w="1563"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54,362,532.59</w:t>
            </w:r>
          </w:p>
        </w:tc>
      </w:tr>
      <w:tr w:rsidR="00851B9D" w:rsidRPr="000A5B5D" w:rsidTr="00851B9D">
        <w:trPr>
          <w:trHeight w:val="397"/>
        </w:trPr>
        <w:tc>
          <w:tcPr>
            <w:tcW w:w="2943" w:type="dxa"/>
            <w:vAlign w:val="center"/>
          </w:tcPr>
          <w:p w:rsidR="00851B9D" w:rsidRPr="000A5B5D" w:rsidRDefault="00851B9D" w:rsidP="00851B9D">
            <w:pPr>
              <w:ind w:leftChars="-20" w:left="-36" w:rightChars="-35" w:right="-63"/>
              <w:rPr>
                <w:rFonts w:ascii="Arial Narrow" w:hAnsi="Arial Narrow" w:cs="Arial"/>
                <w:bCs/>
                <w:kern w:val="0"/>
                <w:szCs w:val="21"/>
              </w:rPr>
            </w:pPr>
            <w:r w:rsidRPr="000A5B5D">
              <w:rPr>
                <w:rFonts w:ascii="Arial Narrow" w:hAnsi="Arial Narrow" w:cs="Arial" w:hint="eastAsia"/>
                <w:bCs/>
                <w:kern w:val="0"/>
                <w:szCs w:val="21"/>
              </w:rPr>
              <w:t>以浮动利率计息的中长期借款</w:t>
            </w:r>
          </w:p>
        </w:tc>
        <w:tc>
          <w:tcPr>
            <w:tcW w:w="3121" w:type="dxa"/>
            <w:vAlign w:val="center"/>
          </w:tcPr>
          <w:p w:rsidR="00851B9D" w:rsidRPr="000A5B5D" w:rsidRDefault="00851B9D" w:rsidP="00851B9D">
            <w:pPr>
              <w:ind w:rightChars="-35" w:right="-63"/>
              <w:rPr>
                <w:rFonts w:ascii="Arial Narrow" w:hAnsi="Arial Narrow" w:cs="Arial"/>
                <w:bCs/>
                <w:kern w:val="0"/>
                <w:szCs w:val="21"/>
              </w:rPr>
            </w:pPr>
            <w:r w:rsidRPr="000A5B5D">
              <w:rPr>
                <w:rFonts w:ascii="Arial Narrow" w:hAnsi="Arial Narrow" w:cs="Arial" w:hint="eastAsia"/>
                <w:bCs/>
                <w:kern w:val="0"/>
                <w:szCs w:val="21"/>
              </w:rPr>
              <w:t>利率上行趋势，每增加</w:t>
            </w:r>
            <w:r w:rsidRPr="000A5B5D">
              <w:rPr>
                <w:rFonts w:ascii="Arial Narrow" w:hAnsi="Arial Narrow" w:cs="Arial"/>
                <w:bCs/>
                <w:kern w:val="0"/>
                <w:szCs w:val="21"/>
              </w:rPr>
              <w:t>50</w:t>
            </w:r>
            <w:r w:rsidRPr="000A5B5D">
              <w:rPr>
                <w:rFonts w:ascii="Arial Narrow" w:hAnsi="Arial Narrow" w:cs="Arial" w:hint="eastAsia"/>
                <w:bCs/>
                <w:kern w:val="0"/>
                <w:szCs w:val="21"/>
              </w:rPr>
              <w:t>个基点</w:t>
            </w:r>
          </w:p>
        </w:tc>
        <w:tc>
          <w:tcPr>
            <w:tcW w:w="1589"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w:t>
            </w:r>
          </w:p>
        </w:tc>
        <w:tc>
          <w:tcPr>
            <w:tcW w:w="1563" w:type="dxa"/>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6,679,712.08</w:t>
            </w:r>
          </w:p>
        </w:tc>
      </w:tr>
      <w:tr w:rsidR="00851B9D" w:rsidRPr="000A5B5D" w:rsidTr="00851B9D">
        <w:trPr>
          <w:trHeight w:val="397"/>
        </w:trPr>
        <w:tc>
          <w:tcPr>
            <w:tcW w:w="2943" w:type="dxa"/>
            <w:tcBorders>
              <w:bottom w:val="single" w:sz="12" w:space="0" w:color="auto"/>
            </w:tcBorders>
            <w:vAlign w:val="center"/>
          </w:tcPr>
          <w:p w:rsidR="00851B9D" w:rsidRPr="000A5B5D" w:rsidRDefault="00851B9D" w:rsidP="00851B9D">
            <w:pPr>
              <w:ind w:leftChars="-20" w:left="-36" w:rightChars="-35" w:right="-63"/>
              <w:rPr>
                <w:rFonts w:ascii="Arial Narrow" w:hAnsi="Arial Narrow" w:cs="Arial"/>
                <w:bCs/>
                <w:kern w:val="0"/>
                <w:szCs w:val="21"/>
              </w:rPr>
            </w:pPr>
            <w:r w:rsidRPr="000A5B5D">
              <w:rPr>
                <w:rFonts w:ascii="Arial Narrow" w:hAnsi="Arial Narrow" w:cs="Arial" w:hint="eastAsia"/>
                <w:bCs/>
                <w:kern w:val="0"/>
                <w:szCs w:val="21"/>
              </w:rPr>
              <w:t>以浮动利率计息的中长期借款</w:t>
            </w:r>
          </w:p>
        </w:tc>
        <w:tc>
          <w:tcPr>
            <w:tcW w:w="3121" w:type="dxa"/>
            <w:tcBorders>
              <w:bottom w:val="single" w:sz="12" w:space="0" w:color="auto"/>
            </w:tcBorders>
            <w:vAlign w:val="center"/>
          </w:tcPr>
          <w:p w:rsidR="00851B9D" w:rsidRPr="000A5B5D" w:rsidRDefault="00851B9D" w:rsidP="00851B9D">
            <w:pPr>
              <w:ind w:rightChars="-35" w:right="-63"/>
              <w:rPr>
                <w:rFonts w:ascii="Arial Narrow" w:hAnsi="Arial Narrow" w:cs="Arial"/>
                <w:bCs/>
                <w:kern w:val="0"/>
                <w:szCs w:val="21"/>
              </w:rPr>
            </w:pPr>
            <w:r w:rsidRPr="000A5B5D">
              <w:rPr>
                <w:rFonts w:ascii="Arial Narrow" w:hAnsi="Arial Narrow" w:cs="Arial" w:hint="eastAsia"/>
                <w:bCs/>
                <w:kern w:val="0"/>
                <w:szCs w:val="21"/>
              </w:rPr>
              <w:t>利率下行趋势，每减少</w:t>
            </w:r>
            <w:r w:rsidRPr="000A5B5D">
              <w:rPr>
                <w:rFonts w:ascii="Arial Narrow" w:hAnsi="Arial Narrow" w:cs="Arial"/>
                <w:bCs/>
                <w:kern w:val="0"/>
                <w:szCs w:val="21"/>
              </w:rPr>
              <w:t>50</w:t>
            </w:r>
            <w:r w:rsidRPr="000A5B5D">
              <w:rPr>
                <w:rFonts w:ascii="Arial Narrow" w:hAnsi="Arial Narrow" w:cs="Arial" w:hint="eastAsia"/>
                <w:bCs/>
                <w:kern w:val="0"/>
                <w:szCs w:val="21"/>
              </w:rPr>
              <w:t>个基点</w:t>
            </w:r>
          </w:p>
        </w:tc>
        <w:tc>
          <w:tcPr>
            <w:tcW w:w="1589" w:type="dxa"/>
            <w:tcBorders>
              <w:bottom w:val="single" w:sz="12" w:space="0" w:color="auto"/>
            </w:tcBorders>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6,679,712.08</w:t>
            </w:r>
          </w:p>
        </w:tc>
        <w:tc>
          <w:tcPr>
            <w:tcW w:w="1563" w:type="dxa"/>
            <w:tcBorders>
              <w:bottom w:val="single" w:sz="12" w:space="0" w:color="auto"/>
            </w:tcBorders>
            <w:vAlign w:val="center"/>
          </w:tcPr>
          <w:p w:rsidR="00851B9D" w:rsidRPr="000A5B5D" w:rsidRDefault="00851B9D" w:rsidP="00851B9D">
            <w:pPr>
              <w:ind w:rightChars="-35" w:right="-63"/>
              <w:jc w:val="right"/>
              <w:rPr>
                <w:rFonts w:ascii="Arial Narrow" w:hAnsi="Arial Narrow" w:cs="Arial"/>
                <w:bCs/>
                <w:kern w:val="0"/>
                <w:szCs w:val="21"/>
              </w:rPr>
            </w:pPr>
            <w:r w:rsidRPr="000A5B5D">
              <w:rPr>
                <w:rFonts w:ascii="Arial Narrow" w:hAnsi="Arial Narrow" w:cs="Arial"/>
                <w:bCs/>
                <w:kern w:val="0"/>
                <w:szCs w:val="21"/>
              </w:rPr>
              <w:t>--</w:t>
            </w:r>
          </w:p>
        </w:tc>
      </w:tr>
    </w:tbl>
    <w:p w:rsidR="00851B9D" w:rsidRPr="000A5B5D" w:rsidRDefault="00851B9D" w:rsidP="00851B9D">
      <w:pPr>
        <w:spacing w:line="400" w:lineRule="exact"/>
        <w:ind w:firstLineChars="200" w:firstLine="482"/>
        <w:rPr>
          <w:rFonts w:ascii="Arial" w:hAnsi="Arial" w:cs="Arial"/>
          <w:b/>
          <w:bCs/>
          <w:sz w:val="24"/>
          <w:szCs w:val="24"/>
        </w:rPr>
      </w:pPr>
      <w:r w:rsidRPr="000A5B5D">
        <w:rPr>
          <w:rFonts w:ascii="Arial" w:hAnsi="Arial" w:cs="Arial" w:hint="eastAsia"/>
          <w:b/>
          <w:bCs/>
          <w:sz w:val="24"/>
          <w:szCs w:val="24"/>
        </w:rPr>
        <w:t>（</w:t>
      </w:r>
      <w:r w:rsidRPr="000A5B5D">
        <w:rPr>
          <w:rFonts w:ascii="Arial" w:hAnsi="Arial" w:cs="Arial"/>
          <w:b/>
          <w:bCs/>
          <w:sz w:val="24"/>
          <w:szCs w:val="24"/>
        </w:rPr>
        <w:t>3</w:t>
      </w:r>
      <w:r w:rsidRPr="000A5B5D">
        <w:rPr>
          <w:rFonts w:ascii="Arial" w:hAnsi="Arial" w:cs="Arial" w:hint="eastAsia"/>
          <w:b/>
          <w:bCs/>
          <w:sz w:val="24"/>
          <w:szCs w:val="24"/>
        </w:rPr>
        <w:t>）其他价格风险</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公司持有的分类为交易性金融资产的投资在资产负债表日以公允价值计量。因此，本公司承担着相关资产价格变动的风险。本公司已于公司内部成立投资管理部分，由指定成员密切监控投资产品的价格变动。鉴于投资期货的必要性及杠杆风险的特性，公司董事会授权董事长组建公司期货领导小组，并授权由期货领导小组主管公司期货业务，制订</w:t>
      </w:r>
      <w:r w:rsidRPr="000A5B5D">
        <w:rPr>
          <w:rFonts w:ascii="Arial" w:hAnsi="Arial" w:cs="Arial"/>
          <w:bCs/>
          <w:sz w:val="24"/>
          <w:szCs w:val="24"/>
        </w:rPr>
        <w:t>PTA</w:t>
      </w:r>
      <w:r w:rsidRPr="000A5B5D">
        <w:rPr>
          <w:rFonts w:ascii="Arial" w:hAnsi="Arial" w:cs="Arial" w:hint="eastAsia"/>
          <w:bCs/>
          <w:sz w:val="24"/>
          <w:szCs w:val="24"/>
        </w:rPr>
        <w:t>期货业务工作思路，明确在公司投资管理部内组建公司期货交易小组负责根据期货领导小组的决定</w:t>
      </w:r>
      <w:r w:rsidRPr="000A5B5D">
        <w:rPr>
          <w:rFonts w:ascii="Arial" w:hAnsi="Arial" w:cs="Arial" w:hint="eastAsia"/>
          <w:bCs/>
          <w:sz w:val="24"/>
          <w:szCs w:val="24"/>
        </w:rPr>
        <w:lastRenderedPageBreak/>
        <w:t>组织落实交易执行等工作，明确在公司财务管理部内组建公司期货结算小组负责公司期货业务的资金管理、会计处理、交易确认和结算管理等工作，明确在公司审计稽核部内组建公司期货监督小组负责期货交易风险管控以及交易行为的定期审查等工作。同时，为加强公司对期货业务的内部控制，有效防范和化解可能在交易执行、实施过程中存在的各种风险，公司制定了《期货业务管理制度》，要求参与期货业务人员严格相关规定及流程进行操作。公司参与期货业务人员已经过专项培训并充分理解所涉及期货品种业务的特点与风险。因此本公司董事认为公司面临之价格风险已被缓解。</w:t>
      </w:r>
    </w:p>
    <w:p w:rsidR="00851B9D" w:rsidRPr="000A5B5D" w:rsidRDefault="00851B9D" w:rsidP="00851B9D">
      <w:pPr>
        <w:spacing w:line="400" w:lineRule="exact"/>
        <w:ind w:firstLineChars="200" w:firstLine="482"/>
        <w:outlineLvl w:val="1"/>
        <w:rPr>
          <w:rFonts w:ascii="Arial" w:hAnsi="Arial" w:cs="Arial"/>
          <w:b/>
          <w:bCs/>
          <w:sz w:val="24"/>
          <w:szCs w:val="24"/>
        </w:rPr>
      </w:pPr>
      <w:r w:rsidRPr="000A5B5D">
        <w:rPr>
          <w:rFonts w:ascii="Arial" w:hAnsi="Arial" w:cs="Arial"/>
          <w:b/>
          <w:bCs/>
          <w:sz w:val="24"/>
          <w:szCs w:val="24"/>
        </w:rPr>
        <w:t>2</w:t>
      </w:r>
      <w:r w:rsidRPr="000A5B5D">
        <w:rPr>
          <w:rFonts w:ascii="Arial" w:hAnsi="Arial" w:cs="Arial" w:hint="eastAsia"/>
          <w:b/>
          <w:bCs/>
          <w:sz w:val="24"/>
          <w:szCs w:val="24"/>
        </w:rPr>
        <w:t>、信用风险</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信用风险是指金融工具的一方不履行义务，造成另一方发生财务损失的风险。本公司的信用风险主要来自银行存款和应收款项。为控制上述相关风险，本公司分别采取了以下措施。</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szCs w:val="24"/>
        </w:rPr>
        <w:t>为降低信用风险，本公司成立了一个小组负责确定信用额度、进行信用审批，对未审批的客户采取款到发货政策。此外，本公司于每个资产负债表日审核每一单项应收款的回收情况，以确保就无法回收的款项计提充分的坏账准备。因此，本公司管理层认为本公司所承担的信用风险已经大为降低。</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szCs w:val="24"/>
        </w:rPr>
        <w:t>本公司的流动资金存放在信用评级较高的银行，故流动资金的信用风险较低。</w:t>
      </w:r>
    </w:p>
    <w:p w:rsidR="00851B9D" w:rsidRPr="000A5B5D" w:rsidRDefault="00851B9D" w:rsidP="00851B9D">
      <w:pPr>
        <w:spacing w:line="400" w:lineRule="exact"/>
        <w:ind w:firstLineChars="200" w:firstLine="482"/>
        <w:outlineLvl w:val="1"/>
        <w:rPr>
          <w:rFonts w:ascii="Arial" w:hAnsi="Arial" w:cs="Arial"/>
          <w:b/>
          <w:bCs/>
          <w:sz w:val="24"/>
          <w:szCs w:val="24"/>
        </w:rPr>
      </w:pPr>
      <w:r w:rsidRPr="000A5B5D">
        <w:rPr>
          <w:rFonts w:ascii="Arial" w:hAnsi="Arial" w:cs="Arial"/>
          <w:b/>
          <w:bCs/>
          <w:sz w:val="24"/>
          <w:szCs w:val="24"/>
        </w:rPr>
        <w:t>3</w:t>
      </w:r>
      <w:r w:rsidRPr="000A5B5D">
        <w:rPr>
          <w:rFonts w:ascii="Arial" w:hAnsi="Arial" w:cs="Arial" w:hint="eastAsia"/>
          <w:b/>
          <w:bCs/>
          <w:sz w:val="24"/>
          <w:szCs w:val="24"/>
        </w:rPr>
        <w:t>、流动风险</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管理流动风险时，本公司保持管理层认为充分的现金及现金等价物并对其进行监控，以满足本公司经营需要，并降低现金流量波动的影响。本公司管理层对银行借款的使用情况进行监控并确保遵守借款协议。</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bCs/>
          <w:sz w:val="24"/>
          <w:szCs w:val="24"/>
        </w:rPr>
        <w:t>本公司将银行借款作为主要资金来源。</w:t>
      </w:r>
      <w:r w:rsidRPr="000A5B5D">
        <w:rPr>
          <w:rFonts w:ascii="Arial" w:hAnsi="Arial" w:cs="Arial"/>
          <w:bCs/>
          <w:sz w:val="24"/>
          <w:szCs w:val="24"/>
        </w:rPr>
        <w:t>2015</w:t>
      </w:r>
      <w:r w:rsidRPr="000A5B5D">
        <w:rPr>
          <w:rFonts w:ascii="Arial" w:hAnsi="Arial" w:cs="Arial" w:hint="eastAsia"/>
          <w:bCs/>
          <w:sz w:val="24"/>
          <w:szCs w:val="24"/>
        </w:rPr>
        <w:t>年</w:t>
      </w:r>
      <w:r w:rsidRPr="000A5B5D">
        <w:rPr>
          <w:rFonts w:ascii="Arial" w:hAnsi="Arial" w:cs="Arial"/>
          <w:bCs/>
          <w:sz w:val="24"/>
          <w:szCs w:val="24"/>
        </w:rPr>
        <w:t>12</w:t>
      </w:r>
      <w:r w:rsidRPr="000A5B5D">
        <w:rPr>
          <w:rFonts w:ascii="Arial" w:hAnsi="Arial" w:cs="Arial" w:hint="eastAsia"/>
          <w:bCs/>
          <w:sz w:val="24"/>
          <w:szCs w:val="24"/>
        </w:rPr>
        <w:t>月</w:t>
      </w:r>
      <w:r w:rsidRPr="000A5B5D">
        <w:rPr>
          <w:rFonts w:ascii="Arial" w:hAnsi="Arial" w:cs="Arial"/>
          <w:bCs/>
          <w:sz w:val="24"/>
          <w:szCs w:val="24"/>
        </w:rPr>
        <w:t>31</w:t>
      </w:r>
      <w:r w:rsidRPr="000A5B5D">
        <w:rPr>
          <w:rFonts w:ascii="Arial" w:hAnsi="Arial" w:cs="Arial" w:hint="eastAsia"/>
          <w:bCs/>
          <w:sz w:val="24"/>
          <w:szCs w:val="24"/>
        </w:rPr>
        <w:t>日，本公司可用银行授信额度</w:t>
      </w:r>
      <w:r w:rsidRPr="000A5B5D">
        <w:rPr>
          <w:rFonts w:ascii="Arial" w:hAnsi="Arial" w:cs="Arial"/>
          <w:bCs/>
          <w:sz w:val="24"/>
          <w:szCs w:val="24"/>
        </w:rPr>
        <w:t>137.08</w:t>
      </w:r>
      <w:r w:rsidRPr="000A5B5D">
        <w:rPr>
          <w:rFonts w:ascii="Arial" w:hAnsi="Arial" w:cs="Arial" w:hint="eastAsia"/>
          <w:bCs/>
          <w:sz w:val="24"/>
          <w:szCs w:val="24"/>
        </w:rPr>
        <w:t>亿元。</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本公司持有的金融资产及金融负债按未折现剩余合同义务的到期期限分析如下：</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518"/>
        <w:gridCol w:w="1701"/>
        <w:gridCol w:w="1701"/>
        <w:gridCol w:w="1649"/>
        <w:gridCol w:w="1647"/>
      </w:tblGrid>
      <w:tr w:rsidR="00851B9D" w:rsidRPr="000A5B5D" w:rsidTr="00851B9D">
        <w:trPr>
          <w:trHeight w:val="397"/>
          <w:tblHeader/>
        </w:trPr>
        <w:tc>
          <w:tcPr>
            <w:tcW w:w="2518" w:type="dxa"/>
            <w:tcBorders>
              <w:top w:val="single" w:sz="12" w:space="0" w:color="auto"/>
            </w:tcBorders>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项目</w:t>
            </w:r>
          </w:p>
        </w:tc>
        <w:tc>
          <w:tcPr>
            <w:tcW w:w="1701" w:type="dxa"/>
            <w:tcBorders>
              <w:top w:val="single" w:sz="12" w:space="0" w:color="auto"/>
            </w:tcBorders>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kern w:val="0"/>
                <w:szCs w:val="21"/>
              </w:rPr>
              <w:t>6</w:t>
            </w:r>
            <w:r w:rsidRPr="000A5B5D">
              <w:rPr>
                <w:rFonts w:ascii="Arial Narrow" w:hAnsi="Arial Narrow" w:cs="Arial" w:hint="eastAsia"/>
                <w:kern w:val="0"/>
                <w:szCs w:val="21"/>
              </w:rPr>
              <w:t>个月以内</w:t>
            </w:r>
          </w:p>
        </w:tc>
        <w:tc>
          <w:tcPr>
            <w:tcW w:w="1701" w:type="dxa"/>
            <w:tcBorders>
              <w:top w:val="single" w:sz="12" w:space="0" w:color="auto"/>
            </w:tcBorders>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kern w:val="0"/>
                <w:szCs w:val="21"/>
              </w:rPr>
              <w:t>7-12</w:t>
            </w:r>
            <w:r w:rsidRPr="000A5B5D">
              <w:rPr>
                <w:rFonts w:ascii="Arial Narrow" w:hAnsi="Arial Narrow" w:cs="Arial" w:hint="eastAsia"/>
                <w:kern w:val="0"/>
                <w:szCs w:val="21"/>
              </w:rPr>
              <w:t>个月</w:t>
            </w:r>
          </w:p>
        </w:tc>
        <w:tc>
          <w:tcPr>
            <w:tcW w:w="1649" w:type="dxa"/>
            <w:tcBorders>
              <w:top w:val="single" w:sz="12" w:space="0" w:color="auto"/>
            </w:tcBorders>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kern w:val="0"/>
                <w:szCs w:val="21"/>
              </w:rPr>
              <w:t>1-3</w:t>
            </w:r>
            <w:r w:rsidRPr="000A5B5D">
              <w:rPr>
                <w:rFonts w:ascii="Arial Narrow" w:hAnsi="Arial Narrow" w:cs="Arial" w:hint="eastAsia"/>
                <w:kern w:val="0"/>
                <w:szCs w:val="21"/>
              </w:rPr>
              <w:t>年</w:t>
            </w:r>
          </w:p>
        </w:tc>
        <w:tc>
          <w:tcPr>
            <w:tcW w:w="1647" w:type="dxa"/>
            <w:tcBorders>
              <w:top w:val="single" w:sz="12" w:space="0" w:color="auto"/>
            </w:tcBorders>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非衍生金融资产及负债：</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p>
        </w:tc>
        <w:tc>
          <w:tcPr>
            <w:tcW w:w="1649" w:type="dxa"/>
            <w:vAlign w:val="center"/>
          </w:tcPr>
          <w:p w:rsidR="00851B9D" w:rsidRPr="000A5B5D" w:rsidRDefault="00851B9D" w:rsidP="00851B9D">
            <w:pPr>
              <w:ind w:rightChars="-24" w:right="-43"/>
              <w:jc w:val="right"/>
              <w:rPr>
                <w:rFonts w:ascii="Arial Narrow" w:hAnsi="Arial Narrow" w:cs="Arial"/>
                <w:kern w:val="0"/>
                <w:szCs w:val="21"/>
              </w:rPr>
            </w:pPr>
          </w:p>
        </w:tc>
        <w:tc>
          <w:tcPr>
            <w:tcW w:w="1647" w:type="dxa"/>
            <w:vAlign w:val="center"/>
          </w:tcPr>
          <w:p w:rsidR="00851B9D" w:rsidRPr="000A5B5D" w:rsidRDefault="00851B9D" w:rsidP="00851B9D">
            <w:pPr>
              <w:ind w:rightChars="-24" w:right="-43"/>
              <w:jc w:val="right"/>
              <w:rPr>
                <w:rFonts w:ascii="Arial Narrow" w:hAnsi="Arial Narrow" w:cs="Arial"/>
                <w:kern w:val="0"/>
                <w:szCs w:val="21"/>
              </w:rPr>
            </w:pP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应收票据</w:t>
            </w:r>
          </w:p>
        </w:tc>
        <w:tc>
          <w:tcPr>
            <w:tcW w:w="1701"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szCs w:val="21"/>
              </w:rPr>
              <w:t xml:space="preserve"> 1,635,268,597.89 </w:t>
            </w:r>
          </w:p>
        </w:tc>
        <w:tc>
          <w:tcPr>
            <w:tcW w:w="1701"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szCs w:val="21"/>
              </w:rPr>
              <w:t xml:space="preserve"> 8,800,000.00 </w:t>
            </w:r>
          </w:p>
        </w:tc>
        <w:tc>
          <w:tcPr>
            <w:tcW w:w="1649"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c>
          <w:tcPr>
            <w:tcW w:w="1647"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短期借款</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szCs w:val="21"/>
              </w:rPr>
              <w:t xml:space="preserve"> 5,349,202,058.90  </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5,679,222,153.71</w:t>
            </w:r>
          </w:p>
        </w:tc>
        <w:tc>
          <w:tcPr>
            <w:tcW w:w="1649"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c>
          <w:tcPr>
            <w:tcW w:w="1647"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应付票据</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szCs w:val="21"/>
              </w:rPr>
              <w:t xml:space="preserve"> 2,573,387,038.50  </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0.00</w:t>
            </w:r>
          </w:p>
        </w:tc>
        <w:tc>
          <w:tcPr>
            <w:tcW w:w="1649"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c>
          <w:tcPr>
            <w:tcW w:w="1647"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一年到期的长期借款</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415,690,400.00 </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294,508,000.00 </w:t>
            </w:r>
          </w:p>
        </w:tc>
        <w:tc>
          <w:tcPr>
            <w:tcW w:w="1649"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c>
          <w:tcPr>
            <w:tcW w:w="1647" w:type="dxa"/>
            <w:vAlign w:val="center"/>
          </w:tcPr>
          <w:p w:rsidR="00851B9D" w:rsidRPr="000A5B5D" w:rsidRDefault="00851B9D" w:rsidP="00851B9D">
            <w:pPr>
              <w:ind w:rightChars="-24" w:right="-43"/>
              <w:jc w:val="right"/>
              <w:rPr>
                <w:rFonts w:ascii="Arial Narrow" w:hAnsi="Arial Narrow" w:cs="Arial"/>
                <w:szCs w:val="21"/>
              </w:rPr>
            </w:pPr>
            <w:r w:rsidRPr="000A5B5D">
              <w:rPr>
                <w:rFonts w:ascii="Arial Narrow" w:hAnsi="Arial Narrow" w:cs="Arial"/>
                <w:kern w:val="0"/>
                <w:szCs w:val="21"/>
              </w:rPr>
              <w:t>0.00</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长期借款</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20,000,000.00</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0.00</w:t>
            </w:r>
          </w:p>
        </w:tc>
        <w:tc>
          <w:tcPr>
            <w:tcW w:w="1649"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0.00</w:t>
            </w:r>
          </w:p>
        </w:tc>
        <w:tc>
          <w:tcPr>
            <w:tcW w:w="1647"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512,345,040.00 </w:t>
            </w: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衍生金融资产及负债：</w:t>
            </w:r>
          </w:p>
        </w:tc>
        <w:tc>
          <w:tcPr>
            <w:tcW w:w="1701" w:type="dxa"/>
            <w:vAlign w:val="center"/>
          </w:tcPr>
          <w:p w:rsidR="00851B9D" w:rsidRPr="000A5B5D" w:rsidRDefault="00851B9D" w:rsidP="00851B9D">
            <w:pPr>
              <w:ind w:rightChars="-24" w:right="-43"/>
              <w:jc w:val="right"/>
              <w:rPr>
                <w:rFonts w:ascii="Arial Narrow" w:hAnsi="Arial Narrow" w:cs="Arial"/>
                <w:szCs w:val="21"/>
              </w:rPr>
            </w:pPr>
          </w:p>
        </w:tc>
        <w:tc>
          <w:tcPr>
            <w:tcW w:w="1701" w:type="dxa"/>
            <w:vAlign w:val="center"/>
          </w:tcPr>
          <w:p w:rsidR="00851B9D" w:rsidRPr="000A5B5D" w:rsidRDefault="00851B9D" w:rsidP="00851B9D">
            <w:pPr>
              <w:ind w:rightChars="-24" w:right="-43"/>
              <w:jc w:val="right"/>
              <w:rPr>
                <w:rFonts w:ascii="Arial Narrow" w:hAnsi="Arial Narrow" w:cs="Arial"/>
                <w:szCs w:val="21"/>
              </w:rPr>
            </w:pPr>
          </w:p>
        </w:tc>
        <w:tc>
          <w:tcPr>
            <w:tcW w:w="1649" w:type="dxa"/>
            <w:vAlign w:val="center"/>
          </w:tcPr>
          <w:p w:rsidR="00851B9D" w:rsidRPr="000A5B5D" w:rsidRDefault="00851B9D" w:rsidP="00851B9D">
            <w:pPr>
              <w:ind w:rightChars="-24" w:right="-43"/>
              <w:jc w:val="right"/>
              <w:rPr>
                <w:rFonts w:ascii="Arial Narrow" w:hAnsi="Arial Narrow" w:cs="Arial"/>
                <w:kern w:val="0"/>
                <w:szCs w:val="21"/>
              </w:rPr>
            </w:pPr>
          </w:p>
        </w:tc>
        <w:tc>
          <w:tcPr>
            <w:tcW w:w="1647" w:type="dxa"/>
            <w:vAlign w:val="center"/>
          </w:tcPr>
          <w:p w:rsidR="00851B9D" w:rsidRPr="000A5B5D" w:rsidRDefault="00851B9D" w:rsidP="00851B9D">
            <w:pPr>
              <w:ind w:rightChars="-24" w:right="-43"/>
              <w:jc w:val="right"/>
              <w:rPr>
                <w:rFonts w:ascii="Arial Narrow" w:hAnsi="Arial Narrow" w:cs="Arial"/>
                <w:kern w:val="0"/>
                <w:szCs w:val="21"/>
              </w:rPr>
            </w:pPr>
          </w:p>
        </w:tc>
      </w:tr>
      <w:tr w:rsidR="00851B9D" w:rsidRPr="000A5B5D" w:rsidTr="00851B9D">
        <w:trPr>
          <w:trHeight w:val="397"/>
        </w:trPr>
        <w:tc>
          <w:tcPr>
            <w:tcW w:w="2518" w:type="dxa"/>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远期外汇合同</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-2,580,133.17 </w:t>
            </w:r>
          </w:p>
        </w:tc>
        <w:tc>
          <w:tcPr>
            <w:tcW w:w="1701"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85,036,658.95 </w:t>
            </w:r>
          </w:p>
        </w:tc>
        <w:tc>
          <w:tcPr>
            <w:tcW w:w="1649"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 xml:space="preserve">8,451,103.58 </w:t>
            </w:r>
          </w:p>
        </w:tc>
        <w:tc>
          <w:tcPr>
            <w:tcW w:w="1647" w:type="dxa"/>
            <w:vAlign w:val="center"/>
          </w:tcPr>
          <w:p w:rsidR="00851B9D" w:rsidRPr="000A5B5D" w:rsidRDefault="00851B9D" w:rsidP="00851B9D">
            <w:pPr>
              <w:ind w:rightChars="-24" w:right="-43"/>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trPr>
        <w:tc>
          <w:tcPr>
            <w:tcW w:w="2518" w:type="dxa"/>
            <w:tcBorders>
              <w:bottom w:val="single" w:sz="12" w:space="0" w:color="auto"/>
            </w:tcBorders>
            <w:vAlign w:val="center"/>
          </w:tcPr>
          <w:p w:rsidR="00851B9D" w:rsidRPr="000A5B5D" w:rsidRDefault="00851B9D" w:rsidP="00851B9D">
            <w:pPr>
              <w:rPr>
                <w:rFonts w:ascii="Arial Narrow" w:hAnsi="Arial Narrow" w:cs="Arial"/>
                <w:kern w:val="0"/>
                <w:szCs w:val="21"/>
              </w:rPr>
            </w:pPr>
            <w:r w:rsidRPr="000A5B5D">
              <w:rPr>
                <w:rFonts w:ascii="Arial Narrow" w:hAnsi="Arial Narrow" w:cs="Arial" w:hint="eastAsia"/>
                <w:kern w:val="0"/>
                <w:szCs w:val="21"/>
              </w:rPr>
              <w:t>期货、现货合约</w:t>
            </w:r>
          </w:p>
        </w:tc>
        <w:tc>
          <w:tcPr>
            <w:tcW w:w="1701" w:type="dxa"/>
            <w:tcBorders>
              <w:bottom w:val="single" w:sz="12" w:space="0" w:color="auto"/>
            </w:tcBorders>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 xml:space="preserve">75,425.60 </w:t>
            </w:r>
          </w:p>
        </w:tc>
        <w:tc>
          <w:tcPr>
            <w:tcW w:w="1701" w:type="dxa"/>
            <w:tcBorders>
              <w:bottom w:val="single" w:sz="12" w:space="0" w:color="auto"/>
            </w:tcBorders>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0.00</w:t>
            </w:r>
          </w:p>
        </w:tc>
        <w:tc>
          <w:tcPr>
            <w:tcW w:w="1649" w:type="dxa"/>
            <w:tcBorders>
              <w:bottom w:val="single" w:sz="12" w:space="0" w:color="auto"/>
            </w:tcBorders>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0.00</w:t>
            </w:r>
          </w:p>
        </w:tc>
        <w:tc>
          <w:tcPr>
            <w:tcW w:w="1647" w:type="dxa"/>
            <w:tcBorders>
              <w:bottom w:val="single" w:sz="12" w:space="0" w:color="auto"/>
            </w:tcBorders>
            <w:vAlign w:val="center"/>
          </w:tcPr>
          <w:p w:rsidR="00851B9D" w:rsidRPr="000A5B5D" w:rsidRDefault="00851B9D" w:rsidP="00851B9D">
            <w:pPr>
              <w:jc w:val="right"/>
              <w:rPr>
                <w:rFonts w:ascii="Arial Narrow" w:hAnsi="Arial Narrow" w:cs="Arial"/>
                <w:kern w:val="0"/>
                <w:szCs w:val="21"/>
              </w:rPr>
            </w:pPr>
            <w:r w:rsidRPr="000A5B5D">
              <w:rPr>
                <w:rFonts w:ascii="Arial Narrow" w:hAnsi="Arial Narrow" w:cs="Arial"/>
                <w:kern w:val="0"/>
                <w:szCs w:val="21"/>
              </w:rPr>
              <w:t>0.00</w:t>
            </w:r>
          </w:p>
        </w:tc>
      </w:tr>
    </w:tbl>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注：本公司持有的其他未折现金融资产及金融负债的到期期限信息详细参加本财务报表</w:t>
      </w:r>
      <w:r w:rsidRPr="000A5B5D">
        <w:rPr>
          <w:rFonts w:ascii="Arial" w:hAnsi="Arial" w:cs="Arial" w:hint="eastAsia"/>
          <w:bCs/>
          <w:sz w:val="24"/>
        </w:rPr>
        <w:lastRenderedPageBreak/>
        <w:t>附注六的对应项目。</w:t>
      </w:r>
    </w:p>
    <w:p w:rsidR="00851B9D" w:rsidRPr="000A5B5D" w:rsidRDefault="00851B9D" w:rsidP="00851B9D">
      <w:pPr>
        <w:spacing w:line="400" w:lineRule="exact"/>
        <w:ind w:firstLineChars="200" w:firstLine="482"/>
        <w:outlineLvl w:val="1"/>
        <w:rPr>
          <w:rFonts w:ascii="Arial" w:hAnsi="Arial" w:cs="Arial"/>
          <w:bCs/>
          <w:sz w:val="24"/>
          <w:szCs w:val="24"/>
        </w:rPr>
      </w:pPr>
      <w:r w:rsidRPr="000A5B5D">
        <w:rPr>
          <w:rFonts w:ascii="Arial" w:hAnsi="Arial" w:cs="Arial" w:hint="eastAsia"/>
          <w:b/>
          <w:bCs/>
          <w:sz w:val="24"/>
          <w:szCs w:val="24"/>
        </w:rPr>
        <w:t>（二）金融资产转移</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w:t>
      </w:r>
      <w:r w:rsidRPr="000A5B5D">
        <w:rPr>
          <w:rFonts w:ascii="Arial" w:hAnsi="Arial" w:cs="Arial" w:hint="eastAsia"/>
          <w:b/>
          <w:bCs/>
          <w:sz w:val="24"/>
        </w:rPr>
        <w:t>、已转移但未整体终止确认的金融资产</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本年度，本公司无需披露的已转移但未整体终止确认的金融资产。</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w:t>
      </w:r>
      <w:r w:rsidRPr="000A5B5D">
        <w:rPr>
          <w:rFonts w:ascii="Arial" w:hAnsi="Arial" w:cs="Arial" w:hint="eastAsia"/>
          <w:b/>
          <w:bCs/>
          <w:sz w:val="24"/>
        </w:rPr>
        <w:t>、已整体终止确认但转出方继续涉入已转移金融资产</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本年度，本公司无需披露的已整体终止确认但转出方继续涉入已转移金融资产。</w:t>
      </w:r>
    </w:p>
    <w:p w:rsidR="00851B9D" w:rsidRPr="000A5B5D" w:rsidRDefault="00851B9D" w:rsidP="00851B9D">
      <w:pPr>
        <w:spacing w:line="400" w:lineRule="exact"/>
        <w:ind w:firstLineChars="200" w:firstLine="480"/>
        <w:rPr>
          <w:rFonts w:ascii="Arial" w:hAnsi="Arial" w:cs="Arial"/>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公允价值的披露</w:t>
      </w:r>
    </w:p>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1</w:t>
      </w:r>
      <w:r w:rsidRPr="000A5B5D">
        <w:rPr>
          <w:rFonts w:ascii="Arial" w:hAnsi="Arial" w:cs="Arial" w:hint="eastAsia"/>
          <w:b/>
          <w:bCs/>
          <w:sz w:val="24"/>
        </w:rPr>
        <w:t>、以公允价值计量的资产和负债的年末公允价值</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3464"/>
        <w:gridCol w:w="1474"/>
        <w:gridCol w:w="1402"/>
        <w:gridCol w:w="1402"/>
        <w:gridCol w:w="1474"/>
      </w:tblGrid>
      <w:tr w:rsidR="00851B9D" w:rsidRPr="000A5B5D" w:rsidTr="00851B9D">
        <w:trPr>
          <w:trHeight w:val="397"/>
          <w:tblHeader/>
        </w:trPr>
        <w:tc>
          <w:tcPr>
            <w:tcW w:w="346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项</w:t>
            </w:r>
            <w:r w:rsidRPr="000A5B5D">
              <w:rPr>
                <w:rFonts w:ascii="Arial Narrow" w:hAnsi="Arial Narrow" w:cs="Arial"/>
                <w:szCs w:val="21"/>
              </w:rPr>
              <w:t xml:space="preserve">  </w:t>
            </w:r>
            <w:r w:rsidRPr="000A5B5D">
              <w:rPr>
                <w:rFonts w:ascii="Arial Narrow" w:hAnsi="Arial Narrow" w:cs="Arial" w:hint="eastAsia"/>
                <w:szCs w:val="21"/>
              </w:rPr>
              <w:t>目</w:t>
            </w:r>
          </w:p>
        </w:tc>
        <w:tc>
          <w:tcPr>
            <w:tcW w:w="5752" w:type="dxa"/>
            <w:gridSpan w:val="4"/>
            <w:tcBorders>
              <w:top w:val="single" w:sz="12" w:space="0" w:color="auto"/>
            </w:tcBorders>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年末公允价值</w:t>
            </w:r>
          </w:p>
        </w:tc>
      </w:tr>
      <w:tr w:rsidR="00851B9D" w:rsidRPr="000A5B5D" w:rsidTr="00851B9D">
        <w:trPr>
          <w:trHeight w:val="397"/>
          <w:tblHeader/>
        </w:trPr>
        <w:tc>
          <w:tcPr>
            <w:tcW w:w="3464" w:type="dxa"/>
            <w:vMerge/>
            <w:vAlign w:val="center"/>
          </w:tcPr>
          <w:p w:rsidR="00851B9D" w:rsidRPr="000A5B5D" w:rsidRDefault="00851B9D" w:rsidP="00851B9D">
            <w:pPr>
              <w:widowControl/>
              <w:ind w:firstLine="420"/>
              <w:jc w:val="center"/>
              <w:rPr>
                <w:rFonts w:ascii="Arial Narrow" w:hAnsi="Arial Narrow" w:cs="Arial"/>
                <w:szCs w:val="21"/>
              </w:rPr>
            </w:pPr>
          </w:p>
        </w:tc>
        <w:tc>
          <w:tcPr>
            <w:tcW w:w="1474" w:type="dxa"/>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第一层次公允价值计量</w:t>
            </w:r>
          </w:p>
        </w:tc>
        <w:tc>
          <w:tcPr>
            <w:tcW w:w="1402" w:type="dxa"/>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第二层次公允价值计量</w:t>
            </w:r>
          </w:p>
        </w:tc>
        <w:tc>
          <w:tcPr>
            <w:tcW w:w="1402" w:type="dxa"/>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第三层次公允价值计量</w:t>
            </w:r>
          </w:p>
        </w:tc>
        <w:tc>
          <w:tcPr>
            <w:tcW w:w="1474" w:type="dxa"/>
            <w:vAlign w:val="center"/>
          </w:tcPr>
          <w:p w:rsidR="00851B9D" w:rsidRPr="000A5B5D" w:rsidRDefault="00851B9D" w:rsidP="00851B9D">
            <w:pPr>
              <w:widowControl/>
              <w:jc w:val="center"/>
              <w:rPr>
                <w:rFonts w:ascii="Arial Narrow" w:hAnsi="Arial Narrow" w:cs="Arial"/>
                <w:szCs w:val="21"/>
              </w:rPr>
            </w:pPr>
            <w:r w:rsidRPr="000A5B5D">
              <w:rPr>
                <w:rFonts w:ascii="Arial Narrow" w:hAnsi="Arial Narrow" w:cs="Arial" w:hint="eastAsia"/>
                <w:szCs w:val="21"/>
              </w:rPr>
              <w:t>合计</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一、持续的公允价值计量</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p>
        </w:tc>
        <w:tc>
          <w:tcPr>
            <w:tcW w:w="1402" w:type="dxa"/>
            <w:vAlign w:val="center"/>
          </w:tcPr>
          <w:p w:rsidR="00851B9D" w:rsidRPr="000A5B5D" w:rsidRDefault="00851B9D" w:rsidP="00851B9D">
            <w:pPr>
              <w:ind w:rightChars="-39" w:right="-70"/>
              <w:jc w:val="right"/>
              <w:rPr>
                <w:rFonts w:ascii="Arial Narrow" w:hAnsi="Arial Narrow" w:cs="Arial"/>
                <w:szCs w:val="21"/>
              </w:rPr>
            </w:pPr>
          </w:p>
        </w:tc>
        <w:tc>
          <w:tcPr>
            <w:tcW w:w="1402" w:type="dxa"/>
            <w:vAlign w:val="center"/>
          </w:tcPr>
          <w:p w:rsidR="00851B9D" w:rsidRPr="000A5B5D" w:rsidRDefault="00851B9D" w:rsidP="00851B9D">
            <w:pPr>
              <w:ind w:rightChars="-39" w:right="-70"/>
              <w:jc w:val="right"/>
              <w:rPr>
                <w:rFonts w:ascii="Arial Narrow" w:hAnsi="Arial Narrow" w:cs="Arial"/>
                <w:szCs w:val="21"/>
              </w:rPr>
            </w:pPr>
          </w:p>
        </w:tc>
        <w:tc>
          <w:tcPr>
            <w:tcW w:w="1474" w:type="dxa"/>
            <w:vAlign w:val="center"/>
          </w:tcPr>
          <w:p w:rsidR="00851B9D" w:rsidRPr="000A5B5D" w:rsidRDefault="00851B9D" w:rsidP="00851B9D">
            <w:pPr>
              <w:ind w:rightChars="-39" w:right="-70"/>
              <w:jc w:val="right"/>
              <w:rPr>
                <w:rFonts w:ascii="Arial Narrow" w:hAnsi="Arial Narrow" w:cs="Arial"/>
                <w:szCs w:val="21"/>
              </w:rPr>
            </w:pP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（一）以公允价值计量且其变动计入当期损益的金融资产</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szCs w:val="21"/>
              </w:rPr>
              <w:t>1</w:t>
            </w:r>
            <w:r w:rsidRPr="000A5B5D">
              <w:rPr>
                <w:rFonts w:ascii="Arial Narrow" w:hAnsi="Arial Narrow" w:cs="Arial" w:hint="eastAsia"/>
                <w:szCs w:val="21"/>
              </w:rPr>
              <w:t>、交易性金融资产</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w:t>
            </w:r>
            <w:r w:rsidRPr="000A5B5D">
              <w:rPr>
                <w:rFonts w:ascii="Arial Narrow" w:hAnsi="Arial Narrow" w:cs="Arial"/>
                <w:szCs w:val="21"/>
              </w:rPr>
              <w:t>1</w:t>
            </w:r>
            <w:r w:rsidRPr="000A5B5D">
              <w:rPr>
                <w:rFonts w:ascii="Arial Narrow" w:hAnsi="Arial Narrow" w:cs="Arial" w:hint="eastAsia"/>
                <w:szCs w:val="21"/>
              </w:rPr>
              <w:t>）债务工具投资</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w:t>
            </w:r>
            <w:r w:rsidRPr="000A5B5D">
              <w:rPr>
                <w:rFonts w:ascii="Arial Narrow" w:hAnsi="Arial Narrow" w:cs="Arial"/>
                <w:szCs w:val="21"/>
              </w:rPr>
              <w:t>2</w:t>
            </w:r>
            <w:r w:rsidRPr="000A5B5D">
              <w:rPr>
                <w:rFonts w:ascii="Arial Narrow" w:hAnsi="Arial Narrow" w:cs="Arial" w:hint="eastAsia"/>
                <w:szCs w:val="21"/>
              </w:rPr>
              <w:t>）权益工具投资</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w:t>
            </w:r>
            <w:r w:rsidRPr="000A5B5D">
              <w:rPr>
                <w:rFonts w:ascii="Arial Narrow" w:hAnsi="Arial Narrow" w:cs="Arial"/>
                <w:szCs w:val="21"/>
              </w:rPr>
              <w:t>3</w:t>
            </w:r>
            <w:r w:rsidRPr="000A5B5D">
              <w:rPr>
                <w:rFonts w:ascii="Arial Narrow" w:hAnsi="Arial Narrow" w:cs="Arial" w:hint="eastAsia"/>
                <w:szCs w:val="21"/>
              </w:rPr>
              <w:t>）衍生金融资产</w:t>
            </w:r>
            <w:r w:rsidRPr="000A5B5D">
              <w:rPr>
                <w:rFonts w:ascii="Arial Narrow" w:hAnsi="Arial Narrow" w:cs="Arial"/>
                <w:szCs w:val="21"/>
              </w:rPr>
              <w:t xml:space="preserve"> </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24,435,904.89</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（二）衍生金融资产</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79,976,261.01</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79,976,261.01</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（三）以公允价值计量且其变动计入当期损益的金融负债</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szCs w:val="21"/>
              </w:rPr>
              <w:t>1</w:t>
            </w:r>
            <w:r w:rsidRPr="000A5B5D">
              <w:rPr>
                <w:rFonts w:ascii="Arial Narrow" w:hAnsi="Arial Narrow" w:cs="Arial" w:hint="eastAsia"/>
                <w:szCs w:val="21"/>
              </w:rPr>
              <w:t>、交易性金融负债</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r>
      <w:tr w:rsidR="00851B9D" w:rsidRPr="000A5B5D" w:rsidTr="00851B9D">
        <w:trPr>
          <w:trHeight w:val="397"/>
        </w:trPr>
        <w:tc>
          <w:tcPr>
            <w:tcW w:w="3464"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w:t>
            </w:r>
            <w:r w:rsidRPr="000A5B5D">
              <w:rPr>
                <w:rFonts w:ascii="Arial Narrow" w:hAnsi="Arial Narrow" w:cs="Arial"/>
                <w:szCs w:val="21"/>
              </w:rPr>
              <w:t>1</w:t>
            </w:r>
            <w:r w:rsidRPr="000A5B5D">
              <w:rPr>
                <w:rFonts w:ascii="Arial Narrow" w:hAnsi="Arial Narrow" w:cs="Arial" w:hint="eastAsia"/>
                <w:szCs w:val="21"/>
              </w:rPr>
              <w:t>）发行的交易性债券</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trPr>
        <w:tc>
          <w:tcPr>
            <w:tcW w:w="3464" w:type="dxa"/>
            <w:tcBorders>
              <w:bottom w:val="single" w:sz="12" w:space="0" w:color="auto"/>
            </w:tcBorders>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w:t>
            </w:r>
            <w:r w:rsidRPr="000A5B5D">
              <w:rPr>
                <w:rFonts w:ascii="Arial Narrow" w:hAnsi="Arial Narrow" w:cs="Arial"/>
                <w:szCs w:val="21"/>
              </w:rPr>
              <w:t>2</w:t>
            </w:r>
            <w:r w:rsidRPr="000A5B5D">
              <w:rPr>
                <w:rFonts w:ascii="Arial Narrow" w:hAnsi="Arial Narrow" w:cs="Arial" w:hint="eastAsia"/>
                <w:szCs w:val="21"/>
              </w:rPr>
              <w:t>）衍生金融负债</w:t>
            </w:r>
          </w:p>
        </w:tc>
        <w:tc>
          <w:tcPr>
            <w:tcW w:w="1474" w:type="dxa"/>
            <w:tcBorders>
              <w:bottom w:val="single" w:sz="12" w:space="0" w:color="auto"/>
            </w:tcBorders>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c>
          <w:tcPr>
            <w:tcW w:w="1402" w:type="dxa"/>
            <w:tcBorders>
              <w:bottom w:val="single" w:sz="12" w:space="0" w:color="auto"/>
            </w:tcBorders>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02" w:type="dxa"/>
            <w:tcBorders>
              <w:bottom w:val="single" w:sz="12" w:space="0" w:color="auto"/>
            </w:tcBorders>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0.00</w:t>
            </w:r>
          </w:p>
        </w:tc>
        <w:tc>
          <w:tcPr>
            <w:tcW w:w="1474" w:type="dxa"/>
            <w:tcBorders>
              <w:bottom w:val="single" w:sz="12" w:space="0" w:color="auto"/>
            </w:tcBorders>
            <w:vAlign w:val="center"/>
          </w:tcPr>
          <w:p w:rsidR="00851B9D" w:rsidRPr="000A5B5D" w:rsidRDefault="00851B9D" w:rsidP="00851B9D">
            <w:pPr>
              <w:ind w:rightChars="-39" w:right="-70"/>
              <w:jc w:val="right"/>
              <w:rPr>
                <w:rFonts w:ascii="Arial Narrow" w:hAnsi="Arial Narrow" w:cs="Arial"/>
                <w:szCs w:val="21"/>
              </w:rPr>
            </w:pPr>
            <w:r w:rsidRPr="000A5B5D">
              <w:rPr>
                <w:rFonts w:ascii="Arial Narrow" w:hAnsi="Arial Narrow" w:cs="Arial"/>
                <w:szCs w:val="21"/>
              </w:rPr>
              <w:t>13,429,110.94</w:t>
            </w:r>
          </w:p>
        </w:tc>
      </w:tr>
    </w:tbl>
    <w:p w:rsidR="00851B9D" w:rsidRPr="000A5B5D" w:rsidRDefault="00851B9D" w:rsidP="00851B9D">
      <w:pPr>
        <w:spacing w:line="400" w:lineRule="exact"/>
        <w:ind w:firstLineChars="200" w:firstLine="482"/>
        <w:outlineLvl w:val="1"/>
        <w:rPr>
          <w:rFonts w:ascii="Arial" w:hAnsi="Arial" w:cs="Arial"/>
          <w:b/>
          <w:bCs/>
          <w:sz w:val="24"/>
        </w:rPr>
      </w:pPr>
      <w:r w:rsidRPr="000A5B5D">
        <w:rPr>
          <w:rFonts w:ascii="Arial" w:hAnsi="Arial" w:cs="Arial"/>
          <w:b/>
          <w:bCs/>
          <w:sz w:val="24"/>
        </w:rPr>
        <w:t>2</w:t>
      </w:r>
      <w:r w:rsidRPr="000A5B5D">
        <w:rPr>
          <w:rFonts w:ascii="Arial" w:hAnsi="Arial" w:cs="Arial" w:hint="eastAsia"/>
          <w:b/>
          <w:bCs/>
          <w:sz w:val="24"/>
        </w:rPr>
        <w:t>、持续和非持续第一层次公允价值计量项目市价的确定依据</w:t>
      </w:r>
    </w:p>
    <w:p w:rsidR="00851B9D" w:rsidRPr="000A5B5D" w:rsidRDefault="00851B9D" w:rsidP="00851B9D">
      <w:pPr>
        <w:spacing w:line="400" w:lineRule="exact"/>
        <w:ind w:firstLineChars="200" w:firstLine="480"/>
        <w:rPr>
          <w:rFonts w:ascii="Arial" w:hAnsi="Arial" w:cs="Arial"/>
          <w:bCs/>
          <w:sz w:val="24"/>
          <w:szCs w:val="24"/>
        </w:rPr>
      </w:pPr>
      <w:r w:rsidRPr="000A5B5D">
        <w:rPr>
          <w:rFonts w:ascii="Arial" w:hAnsi="Arial" w:cs="Arial" w:hint="eastAsia"/>
          <w:kern w:val="0"/>
          <w:sz w:val="24"/>
          <w:szCs w:val="24"/>
        </w:rPr>
        <w:t>本公司对于持续第一次层次公允价值计量项目主要为持有的衍生金融工具，其存在活跃的市场，均能够取得的相同资产或负债在活跃市场上未经调整的报价。</w:t>
      </w:r>
    </w:p>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关联方及关联交易</w:t>
      </w:r>
    </w:p>
    <w:p w:rsidR="00851B9D" w:rsidRPr="000A5B5D" w:rsidRDefault="00851B9D" w:rsidP="00851B9D">
      <w:pPr>
        <w:spacing w:line="400" w:lineRule="exact"/>
        <w:ind w:left="482"/>
        <w:outlineLvl w:val="1"/>
        <w:rPr>
          <w:rFonts w:ascii="Arial" w:hAnsi="Arial" w:cs="Arial"/>
          <w:b/>
          <w:sz w:val="24"/>
        </w:rPr>
      </w:pPr>
      <w:r w:rsidRPr="000A5B5D">
        <w:rPr>
          <w:rFonts w:ascii="Arial" w:hAnsi="Arial" w:cs="Arial"/>
          <w:b/>
          <w:sz w:val="24"/>
        </w:rPr>
        <w:t>1</w:t>
      </w:r>
      <w:r w:rsidRPr="000A5B5D">
        <w:rPr>
          <w:rFonts w:ascii="Arial" w:hAnsi="Arial" w:cs="Arial" w:hint="eastAsia"/>
          <w:b/>
          <w:sz w:val="24"/>
        </w:rPr>
        <w:t>、本公司的母公司情况</w:t>
      </w:r>
    </w:p>
    <w:tbl>
      <w:tblPr>
        <w:tblW w:w="9214" w:type="dxa"/>
        <w:tblInd w:w="-1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94"/>
        <w:gridCol w:w="850"/>
        <w:gridCol w:w="1701"/>
        <w:gridCol w:w="1276"/>
        <w:gridCol w:w="1276"/>
        <w:gridCol w:w="1417"/>
      </w:tblGrid>
      <w:tr w:rsidR="00851B9D" w:rsidRPr="000A5B5D" w:rsidTr="00851B9D">
        <w:trPr>
          <w:trHeight w:val="397"/>
          <w:tblHeader/>
        </w:trPr>
        <w:tc>
          <w:tcPr>
            <w:tcW w:w="26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lastRenderedPageBreak/>
              <w:t>母公司名称</w:t>
            </w:r>
          </w:p>
        </w:tc>
        <w:tc>
          <w:tcPr>
            <w:tcW w:w="85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注册地</w:t>
            </w:r>
          </w:p>
        </w:tc>
        <w:tc>
          <w:tcPr>
            <w:tcW w:w="170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业务性质</w:t>
            </w:r>
          </w:p>
        </w:tc>
        <w:tc>
          <w:tcPr>
            <w:tcW w:w="1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注册资本</w:t>
            </w:r>
          </w:p>
        </w:tc>
        <w:tc>
          <w:tcPr>
            <w:tcW w:w="12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母公司对本公司的持股比例</w:t>
            </w:r>
            <w:r w:rsidRPr="000A5B5D">
              <w:rPr>
                <w:rFonts w:ascii="Arial Narrow" w:hAnsi="Arial Narrow" w:cs="Arial"/>
                <w:kern w:val="0"/>
                <w:szCs w:val="21"/>
              </w:rPr>
              <w:t>(%)</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母公司对本公司的表决权比例</w:t>
            </w:r>
            <w:r w:rsidRPr="000A5B5D">
              <w:rPr>
                <w:rFonts w:ascii="Arial Narrow" w:hAnsi="Arial Narrow" w:cs="Arial"/>
                <w:kern w:val="0"/>
                <w:szCs w:val="21"/>
              </w:rPr>
              <w:t>(%)</w:t>
            </w:r>
          </w:p>
        </w:tc>
      </w:tr>
      <w:tr w:rsidR="00851B9D" w:rsidRPr="000A5B5D" w:rsidTr="00851B9D">
        <w:trPr>
          <w:trHeight w:val="397"/>
        </w:trPr>
        <w:tc>
          <w:tcPr>
            <w:tcW w:w="2694"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浙江恒逸集团有限公司</w:t>
            </w:r>
          </w:p>
        </w:tc>
        <w:tc>
          <w:tcPr>
            <w:tcW w:w="85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杭州</w:t>
            </w:r>
          </w:p>
        </w:tc>
        <w:tc>
          <w:tcPr>
            <w:tcW w:w="170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投资、贸易</w:t>
            </w:r>
          </w:p>
        </w:tc>
        <w:tc>
          <w:tcPr>
            <w:tcW w:w="1276"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5,180</w:t>
            </w:r>
            <w:r w:rsidRPr="000A5B5D">
              <w:rPr>
                <w:rFonts w:ascii="Arial Narrow" w:hAnsi="Arial Narrow" w:cs="Arial" w:hint="eastAsia"/>
                <w:kern w:val="0"/>
                <w:szCs w:val="21"/>
              </w:rPr>
              <w:t>万元</w:t>
            </w:r>
          </w:p>
        </w:tc>
        <w:tc>
          <w:tcPr>
            <w:tcW w:w="1276" w:type="dxa"/>
            <w:tcBorders>
              <w:bottom w:val="single" w:sz="12" w:space="0" w:color="auto"/>
            </w:tcBorders>
            <w:vAlign w:val="center"/>
          </w:tcPr>
          <w:p w:rsidR="00851B9D" w:rsidRPr="000A5B5D" w:rsidRDefault="00851B9D" w:rsidP="00851B9D">
            <w:pPr>
              <w:ind w:rightChars="-3" w:right="-5"/>
              <w:jc w:val="right"/>
              <w:rPr>
                <w:rFonts w:ascii="Arial Narrow" w:hAnsi="Arial Narrow" w:cs="Arial"/>
                <w:szCs w:val="21"/>
              </w:rPr>
            </w:pPr>
            <w:r w:rsidRPr="000A5B5D">
              <w:rPr>
                <w:rFonts w:ascii="Arial Narrow" w:hAnsi="Arial Narrow" w:cs="Arial"/>
                <w:szCs w:val="21"/>
              </w:rPr>
              <w:t>61.85</w:t>
            </w:r>
          </w:p>
        </w:tc>
        <w:tc>
          <w:tcPr>
            <w:tcW w:w="1417" w:type="dxa"/>
            <w:tcBorders>
              <w:bottom w:val="single" w:sz="12" w:space="0" w:color="auto"/>
            </w:tcBorders>
            <w:vAlign w:val="center"/>
          </w:tcPr>
          <w:p w:rsidR="00851B9D" w:rsidRPr="000A5B5D" w:rsidRDefault="00851B9D" w:rsidP="00851B9D">
            <w:pPr>
              <w:pStyle w:val="a5"/>
              <w:tabs>
                <w:tab w:val="clear" w:pos="4153"/>
                <w:tab w:val="clear" w:pos="8306"/>
              </w:tabs>
              <w:snapToGrid/>
              <w:ind w:rightChars="-16" w:right="-29"/>
              <w:rPr>
                <w:rFonts w:ascii="Arial Narrow" w:hAnsi="Arial Narrow" w:cs="Arial"/>
                <w:sz w:val="21"/>
                <w:szCs w:val="21"/>
              </w:rPr>
            </w:pPr>
            <w:r w:rsidRPr="000A5B5D">
              <w:rPr>
                <w:rFonts w:ascii="Arial Narrow" w:hAnsi="Arial Narrow" w:cs="Arial"/>
                <w:sz w:val="21"/>
                <w:szCs w:val="21"/>
              </w:rPr>
              <w:t>72.63</w:t>
            </w:r>
          </w:p>
        </w:tc>
      </w:tr>
    </w:tbl>
    <w:p w:rsidR="00851B9D" w:rsidRPr="000A5B5D" w:rsidRDefault="00851B9D" w:rsidP="00851B9D">
      <w:pPr>
        <w:spacing w:line="400" w:lineRule="exact"/>
        <w:ind w:firstLineChars="200" w:firstLine="480"/>
        <w:rPr>
          <w:rFonts w:ascii="Arial" w:hAnsi="Arial" w:cs="Arial"/>
          <w:sz w:val="24"/>
          <w:szCs w:val="22"/>
        </w:rPr>
      </w:pPr>
      <w:r w:rsidRPr="000A5B5D">
        <w:rPr>
          <w:rFonts w:ascii="Arial" w:hAnsi="Arial" w:cs="Arial" w:hint="eastAsia"/>
          <w:sz w:val="24"/>
          <w:szCs w:val="22"/>
        </w:rPr>
        <w:t>注：本公司的最终控制方是邱建林。</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w:t>
      </w:r>
      <w:r w:rsidRPr="000A5B5D">
        <w:rPr>
          <w:rFonts w:ascii="Arial" w:hAnsi="Arial" w:cs="Arial" w:hint="eastAsia"/>
          <w:b/>
          <w:sz w:val="24"/>
        </w:rPr>
        <w:t>、本公司的子公司情况</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详见附注八、</w:t>
      </w:r>
      <w:r w:rsidRPr="000A5B5D">
        <w:rPr>
          <w:rFonts w:ascii="Arial" w:hAnsi="Arial" w:cs="Arial"/>
          <w:sz w:val="24"/>
        </w:rPr>
        <w:t>1</w:t>
      </w:r>
      <w:r w:rsidRPr="000A5B5D">
        <w:rPr>
          <w:rFonts w:ascii="Arial" w:hAnsi="Arial" w:cs="Arial" w:hint="eastAsia"/>
          <w:sz w:val="24"/>
        </w:rPr>
        <w:t>、在</w:t>
      </w:r>
      <w:r w:rsidRPr="000A5B5D">
        <w:rPr>
          <w:rFonts w:ascii="Arial" w:hAnsi="Arial" w:cs="Arial" w:hint="eastAsia"/>
          <w:bCs/>
          <w:sz w:val="24"/>
        </w:rPr>
        <w:t>子公司中的权益</w:t>
      </w:r>
      <w:r w:rsidRPr="000A5B5D">
        <w:rPr>
          <w:rFonts w:ascii="Arial" w:hAnsi="Arial" w:cs="Arial" w:hint="eastAsia"/>
          <w:sz w:val="24"/>
        </w:rPr>
        <w:t>。</w:t>
      </w:r>
    </w:p>
    <w:p w:rsidR="00851B9D" w:rsidRPr="000A5B5D" w:rsidRDefault="00851B9D" w:rsidP="00851B9D">
      <w:pPr>
        <w:spacing w:line="400" w:lineRule="exact"/>
        <w:ind w:firstLineChars="200" w:firstLine="482"/>
        <w:outlineLvl w:val="1"/>
        <w:rPr>
          <w:rFonts w:ascii="Arial" w:hAnsi="Arial" w:cs="Arial"/>
          <w:b/>
          <w:sz w:val="24"/>
          <w:szCs w:val="24"/>
        </w:rPr>
      </w:pPr>
      <w:r w:rsidRPr="000A5B5D">
        <w:rPr>
          <w:rFonts w:ascii="Arial" w:hAnsi="Arial" w:cs="Arial"/>
          <w:b/>
          <w:sz w:val="24"/>
          <w:szCs w:val="24"/>
        </w:rPr>
        <w:t>3</w:t>
      </w:r>
      <w:r w:rsidRPr="000A5B5D">
        <w:rPr>
          <w:rFonts w:ascii="Arial" w:hAnsi="Arial" w:cs="Arial" w:hint="eastAsia"/>
          <w:b/>
          <w:sz w:val="24"/>
          <w:szCs w:val="24"/>
        </w:rPr>
        <w:t>、</w:t>
      </w:r>
      <w:bookmarkStart w:id="55" w:name="_Toc241636500"/>
      <w:r w:rsidRPr="000A5B5D">
        <w:rPr>
          <w:rFonts w:ascii="Arial" w:hAnsi="Arial" w:cs="Arial" w:hint="eastAsia"/>
          <w:b/>
          <w:sz w:val="24"/>
          <w:szCs w:val="24"/>
        </w:rPr>
        <w:t>本公司的合营和联营企业情况</w:t>
      </w:r>
      <w:bookmarkEnd w:id="55"/>
    </w:p>
    <w:p w:rsidR="00851B9D" w:rsidRPr="000A5B5D" w:rsidRDefault="00851B9D" w:rsidP="00851B9D">
      <w:pPr>
        <w:tabs>
          <w:tab w:val="left" w:pos="9000"/>
          <w:tab w:val="left" w:pos="9180"/>
        </w:tabs>
        <w:spacing w:line="400" w:lineRule="exact"/>
        <w:ind w:firstLineChars="200" w:firstLine="480"/>
        <w:rPr>
          <w:rFonts w:ascii="Arial" w:hAnsi="Arial" w:cs="Arial"/>
          <w:sz w:val="24"/>
          <w:szCs w:val="24"/>
        </w:rPr>
      </w:pPr>
      <w:r w:rsidRPr="000A5B5D">
        <w:rPr>
          <w:rFonts w:ascii="Arial" w:hAnsi="Arial" w:cs="Arial" w:hint="eastAsia"/>
          <w:sz w:val="24"/>
        </w:rPr>
        <w:t>本公司重要的合营和联营企业详见附注八、</w:t>
      </w:r>
      <w:r w:rsidRPr="000A5B5D">
        <w:rPr>
          <w:rFonts w:ascii="Arial" w:hAnsi="Arial" w:cs="Arial"/>
          <w:sz w:val="24"/>
        </w:rPr>
        <w:t>3</w:t>
      </w:r>
      <w:r w:rsidRPr="000A5B5D">
        <w:rPr>
          <w:rFonts w:ascii="Arial" w:hAnsi="Arial" w:cs="Arial" w:hint="eastAsia"/>
          <w:sz w:val="24"/>
        </w:rPr>
        <w:t>、在合营企业或联营企业中的权益。</w:t>
      </w:r>
    </w:p>
    <w:p w:rsidR="00851B9D" w:rsidRPr="000A5B5D" w:rsidRDefault="00851B9D" w:rsidP="00851B9D">
      <w:pPr>
        <w:spacing w:line="400" w:lineRule="exact"/>
        <w:ind w:left="482"/>
        <w:outlineLvl w:val="1"/>
        <w:rPr>
          <w:rFonts w:ascii="Arial" w:hAnsi="Arial" w:cs="Arial"/>
          <w:b/>
          <w:sz w:val="24"/>
          <w:szCs w:val="24"/>
        </w:rPr>
      </w:pPr>
      <w:r w:rsidRPr="000A5B5D">
        <w:rPr>
          <w:rFonts w:ascii="Arial" w:hAnsi="Arial" w:cs="Arial"/>
          <w:b/>
          <w:sz w:val="24"/>
          <w:szCs w:val="24"/>
        </w:rPr>
        <w:t>4</w:t>
      </w:r>
      <w:r w:rsidRPr="000A5B5D">
        <w:rPr>
          <w:rFonts w:ascii="Arial" w:hAnsi="Arial" w:cs="Arial" w:hint="eastAsia"/>
          <w:b/>
          <w:sz w:val="24"/>
          <w:szCs w:val="24"/>
        </w:rPr>
        <w:t>、其他关联方情况</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218"/>
        <w:gridCol w:w="4996"/>
      </w:tblGrid>
      <w:tr w:rsidR="00851B9D" w:rsidRPr="000A5B5D" w:rsidTr="00851B9D">
        <w:trPr>
          <w:trHeight w:val="397"/>
          <w:tblHeader/>
          <w:jc w:val="center"/>
        </w:trPr>
        <w:tc>
          <w:tcPr>
            <w:tcW w:w="42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其他关联方名称</w:t>
            </w:r>
          </w:p>
        </w:tc>
        <w:tc>
          <w:tcPr>
            <w:tcW w:w="499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其他关联方与本公司关系</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杭州恒逸投资有限公司</w:t>
            </w:r>
          </w:p>
        </w:tc>
        <w:tc>
          <w:tcPr>
            <w:tcW w:w="499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持有公司</w:t>
            </w:r>
            <w:r w:rsidRPr="000A5B5D">
              <w:rPr>
                <w:rFonts w:ascii="Arial Narrow" w:hAnsi="Arial Narrow" w:cs="Arial"/>
                <w:kern w:val="0"/>
                <w:szCs w:val="21"/>
              </w:rPr>
              <w:t xml:space="preserve"> 5%</w:t>
            </w:r>
            <w:r w:rsidRPr="000A5B5D">
              <w:rPr>
                <w:rFonts w:ascii="Arial Narrow" w:hAnsi="Arial Narrow" w:cs="Arial" w:hint="eastAsia"/>
                <w:kern w:val="0"/>
                <w:szCs w:val="21"/>
              </w:rPr>
              <w:t>以上股份的法人股东</w:t>
            </w:r>
          </w:p>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及母公司之全资子公司</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香港逸天有限公司</w:t>
            </w:r>
          </w:p>
        </w:tc>
        <w:tc>
          <w:tcPr>
            <w:tcW w:w="499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母公司之全资子公司</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浙江恒逸房地产开发有限公司</w:t>
            </w:r>
          </w:p>
        </w:tc>
        <w:tc>
          <w:tcPr>
            <w:tcW w:w="499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母公司之全资子公司</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杭州市萧山区衙前镇恒逸化纤研究开发中心</w:t>
            </w:r>
          </w:p>
        </w:tc>
        <w:tc>
          <w:tcPr>
            <w:tcW w:w="499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母公司之全资子公司</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杭州万永实业投资有限公司</w:t>
            </w:r>
          </w:p>
        </w:tc>
        <w:tc>
          <w:tcPr>
            <w:tcW w:w="4996"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母公司之参股股东</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szCs w:val="21"/>
              </w:rPr>
              <w:t>杭州萧山合和纺织有限公司</w:t>
            </w:r>
          </w:p>
        </w:tc>
        <w:tc>
          <w:tcPr>
            <w:tcW w:w="4996" w:type="dxa"/>
            <w:vAlign w:val="center"/>
          </w:tcPr>
          <w:p w:rsidR="00851B9D" w:rsidRPr="000A5B5D" w:rsidRDefault="00851B9D" w:rsidP="00851B9D">
            <w:pPr>
              <w:pStyle w:val="a4"/>
              <w:pBdr>
                <w:bottom w:val="none" w:sz="0" w:space="0" w:color="auto"/>
              </w:pBdr>
              <w:tabs>
                <w:tab w:val="clear" w:pos="4153"/>
                <w:tab w:val="clear" w:pos="8306"/>
              </w:tabs>
              <w:snapToGrid/>
              <w:ind w:rightChars="3" w:right="5"/>
              <w:rPr>
                <w:rFonts w:ascii="Arial Narrow" w:hAnsi="Arial Narrow" w:cs="Arial"/>
                <w:sz w:val="21"/>
                <w:szCs w:val="21"/>
              </w:rPr>
            </w:pPr>
            <w:r w:rsidRPr="000A5B5D">
              <w:rPr>
                <w:rFonts w:ascii="Arial Narrow" w:hAnsi="Arial Narrow" w:cs="Arial" w:hint="eastAsia"/>
                <w:sz w:val="21"/>
                <w:szCs w:val="21"/>
              </w:rPr>
              <w:t>间接持有公司</w:t>
            </w:r>
            <w:r w:rsidRPr="000A5B5D">
              <w:rPr>
                <w:rFonts w:ascii="Arial Narrow" w:hAnsi="Arial Narrow" w:cs="Arial"/>
                <w:sz w:val="21"/>
                <w:szCs w:val="21"/>
              </w:rPr>
              <w:t>5%</w:t>
            </w:r>
            <w:r w:rsidRPr="000A5B5D">
              <w:rPr>
                <w:rFonts w:ascii="Arial Narrow" w:hAnsi="Arial Narrow" w:cs="Arial" w:hint="eastAsia"/>
                <w:sz w:val="21"/>
                <w:szCs w:val="21"/>
              </w:rPr>
              <w:t>以上股份的</w:t>
            </w:r>
          </w:p>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szCs w:val="21"/>
              </w:rPr>
              <w:t>自然人股东有重大影响的公司</w:t>
            </w:r>
          </w:p>
        </w:tc>
      </w:tr>
      <w:tr w:rsidR="00851B9D" w:rsidRPr="000A5B5D" w:rsidTr="00851B9D">
        <w:trPr>
          <w:trHeight w:val="397"/>
          <w:jc w:val="center"/>
        </w:trPr>
        <w:tc>
          <w:tcPr>
            <w:tcW w:w="4218" w:type="dxa"/>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szCs w:val="21"/>
              </w:rPr>
              <w:t>浙江恒逸物流有限公司</w:t>
            </w:r>
          </w:p>
        </w:tc>
        <w:tc>
          <w:tcPr>
            <w:tcW w:w="4996" w:type="dxa"/>
            <w:vAlign w:val="center"/>
          </w:tcPr>
          <w:p w:rsidR="00851B9D" w:rsidRPr="000A5B5D" w:rsidRDefault="00851B9D" w:rsidP="00851B9D">
            <w:pPr>
              <w:pStyle w:val="a4"/>
              <w:pBdr>
                <w:bottom w:val="none" w:sz="0" w:space="0" w:color="auto"/>
              </w:pBdr>
              <w:tabs>
                <w:tab w:val="clear" w:pos="4153"/>
                <w:tab w:val="clear" w:pos="8306"/>
              </w:tabs>
              <w:snapToGrid/>
              <w:ind w:rightChars="-34" w:right="-61"/>
              <w:rPr>
                <w:rFonts w:ascii="Arial Narrow" w:hAnsi="Arial Narrow" w:cs="Arial"/>
                <w:sz w:val="21"/>
                <w:szCs w:val="21"/>
              </w:rPr>
            </w:pPr>
            <w:r w:rsidRPr="000A5B5D">
              <w:rPr>
                <w:rFonts w:ascii="Arial Narrow" w:hAnsi="Arial Narrow" w:cs="Arial" w:hint="eastAsia"/>
                <w:sz w:val="21"/>
                <w:szCs w:val="21"/>
              </w:rPr>
              <w:t>母公司之全资子公司</w:t>
            </w:r>
          </w:p>
        </w:tc>
      </w:tr>
      <w:tr w:rsidR="00851B9D" w:rsidRPr="000A5B5D" w:rsidTr="00851B9D">
        <w:trPr>
          <w:trHeight w:val="397"/>
          <w:jc w:val="center"/>
        </w:trPr>
        <w:tc>
          <w:tcPr>
            <w:tcW w:w="4218" w:type="dxa"/>
            <w:tcBorders>
              <w:bottom w:val="single" w:sz="12" w:space="0" w:color="auto"/>
            </w:tcBorders>
            <w:vAlign w:val="center"/>
          </w:tcPr>
          <w:p w:rsidR="00851B9D" w:rsidRPr="000A5B5D" w:rsidRDefault="00851B9D" w:rsidP="00851B9D">
            <w:pPr>
              <w:widowControl/>
              <w:rPr>
                <w:rFonts w:ascii="Arial Narrow" w:hAnsi="Arial Narrow" w:cs="Arial"/>
                <w:szCs w:val="21"/>
              </w:rPr>
            </w:pPr>
            <w:r w:rsidRPr="000A5B5D">
              <w:rPr>
                <w:rFonts w:ascii="Arial Narrow" w:hAnsi="Arial Narrow" w:cs="Arial" w:hint="eastAsia"/>
                <w:kern w:val="0"/>
                <w:szCs w:val="21"/>
              </w:rPr>
              <w:t>宁波恒逸物流有限公司</w:t>
            </w:r>
          </w:p>
        </w:tc>
        <w:tc>
          <w:tcPr>
            <w:tcW w:w="4996" w:type="dxa"/>
            <w:tcBorders>
              <w:bottom w:val="single" w:sz="12" w:space="0" w:color="auto"/>
            </w:tcBorders>
            <w:vAlign w:val="center"/>
          </w:tcPr>
          <w:p w:rsidR="00851B9D" w:rsidRPr="000A5B5D" w:rsidRDefault="00851B9D" w:rsidP="00851B9D">
            <w:pPr>
              <w:pStyle w:val="a4"/>
              <w:pBdr>
                <w:bottom w:val="none" w:sz="0" w:space="0" w:color="auto"/>
              </w:pBdr>
              <w:tabs>
                <w:tab w:val="clear" w:pos="4153"/>
                <w:tab w:val="clear" w:pos="8306"/>
              </w:tabs>
              <w:snapToGrid/>
              <w:ind w:rightChars="-34" w:right="-61"/>
              <w:rPr>
                <w:rFonts w:ascii="Arial Narrow" w:hAnsi="Arial Narrow" w:cs="Arial"/>
                <w:sz w:val="21"/>
                <w:szCs w:val="21"/>
              </w:rPr>
            </w:pPr>
            <w:r w:rsidRPr="000A5B5D">
              <w:rPr>
                <w:rFonts w:ascii="Arial Narrow" w:hAnsi="Arial Narrow" w:cs="Arial" w:hint="eastAsia"/>
                <w:sz w:val="21"/>
                <w:szCs w:val="21"/>
              </w:rPr>
              <w:t>母公司之全资子公司</w:t>
            </w:r>
          </w:p>
        </w:tc>
      </w:tr>
    </w:tbl>
    <w:p w:rsidR="00851B9D" w:rsidRPr="000A5B5D" w:rsidRDefault="00851B9D" w:rsidP="00851B9D">
      <w:pPr>
        <w:spacing w:line="400" w:lineRule="exact"/>
        <w:ind w:left="482"/>
        <w:outlineLvl w:val="1"/>
        <w:rPr>
          <w:rFonts w:ascii="Arial" w:hAnsi="Arial" w:cs="Arial"/>
          <w:b/>
          <w:sz w:val="24"/>
          <w:szCs w:val="24"/>
        </w:rPr>
      </w:pPr>
      <w:r w:rsidRPr="000A5B5D">
        <w:rPr>
          <w:rFonts w:ascii="Arial" w:hAnsi="Arial" w:cs="Arial"/>
          <w:b/>
          <w:sz w:val="24"/>
          <w:szCs w:val="24"/>
        </w:rPr>
        <w:t>5</w:t>
      </w:r>
      <w:r w:rsidRPr="000A5B5D">
        <w:rPr>
          <w:rFonts w:ascii="Arial" w:hAnsi="Arial" w:cs="Arial" w:hint="eastAsia"/>
          <w:b/>
          <w:sz w:val="24"/>
          <w:szCs w:val="24"/>
        </w:rPr>
        <w:t>、关联方交易情况</w:t>
      </w:r>
    </w:p>
    <w:p w:rsidR="00851B9D" w:rsidRPr="000A5B5D" w:rsidRDefault="00851B9D" w:rsidP="00851B9D">
      <w:pPr>
        <w:tabs>
          <w:tab w:val="left" w:pos="9000"/>
          <w:tab w:val="left" w:pos="9180"/>
        </w:tabs>
        <w:spacing w:line="400" w:lineRule="exact"/>
        <w:ind w:firstLineChars="200" w:firstLine="480"/>
        <w:rPr>
          <w:rFonts w:ascii="Arial" w:hAnsi="Arial" w:cs="Arial"/>
          <w:sz w:val="24"/>
          <w:szCs w:val="24"/>
        </w:rPr>
      </w:pPr>
      <w:r w:rsidRPr="000A5B5D">
        <w:rPr>
          <w:rFonts w:ascii="Arial" w:hAnsi="Arial" w:cs="Arial" w:hint="eastAsia"/>
          <w:sz w:val="24"/>
          <w:szCs w:val="24"/>
        </w:rPr>
        <w:t>本公司与关联方进行交易时确定交易价格的原则：按照市场价格确定交易价格。</w:t>
      </w:r>
    </w:p>
    <w:p w:rsidR="00851B9D" w:rsidRPr="000A5B5D" w:rsidRDefault="00851B9D" w:rsidP="00851B9D">
      <w:pPr>
        <w:spacing w:line="400" w:lineRule="exact"/>
        <w:ind w:left="482"/>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1</w:t>
      </w:r>
      <w:r w:rsidRPr="000A5B5D">
        <w:rPr>
          <w:rFonts w:ascii="Arial" w:hAnsi="Arial" w:cs="Arial" w:hint="eastAsia"/>
          <w:sz w:val="24"/>
          <w:szCs w:val="24"/>
        </w:rPr>
        <w:t>）购销商品、提供和接受劳务的关联交易</w:t>
      </w:r>
    </w:p>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宋体" w:hAnsi="宋体" w:cs="宋体" w:hint="eastAsia"/>
          <w:sz w:val="24"/>
        </w:rPr>
        <w:t>①</w:t>
      </w:r>
      <w:r w:rsidRPr="000A5B5D">
        <w:rPr>
          <w:rFonts w:ascii="Arial" w:hAnsi="Arial" w:cs="Arial" w:hint="eastAsia"/>
          <w:sz w:val="24"/>
        </w:rPr>
        <w:t>采购商品</w:t>
      </w:r>
      <w:r w:rsidRPr="000A5B5D">
        <w:rPr>
          <w:rFonts w:ascii="Arial" w:hAnsi="Arial" w:cs="Arial"/>
          <w:sz w:val="24"/>
        </w:rPr>
        <w:t>/</w:t>
      </w:r>
      <w:r w:rsidRPr="000A5B5D">
        <w:rPr>
          <w:rFonts w:ascii="Arial" w:hAnsi="Arial" w:cs="Arial" w:hint="eastAsia"/>
          <w:sz w:val="24"/>
        </w:rPr>
        <w:t>接受劳务情况</w:t>
      </w:r>
    </w:p>
    <w:tbl>
      <w:tblPr>
        <w:tblW w:w="92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130"/>
        <w:gridCol w:w="1994"/>
        <w:gridCol w:w="1559"/>
        <w:gridCol w:w="1531"/>
      </w:tblGrid>
      <w:tr w:rsidR="00851B9D" w:rsidRPr="000A5B5D" w:rsidTr="00851B9D">
        <w:trPr>
          <w:trHeight w:val="397"/>
          <w:tblHeader/>
        </w:trPr>
        <w:tc>
          <w:tcPr>
            <w:tcW w:w="413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关联方</w:t>
            </w:r>
          </w:p>
        </w:tc>
        <w:tc>
          <w:tcPr>
            <w:tcW w:w="199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关联交易内容</w:t>
            </w:r>
          </w:p>
        </w:tc>
        <w:tc>
          <w:tcPr>
            <w:tcW w:w="155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53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trPr>
        <w:tc>
          <w:tcPr>
            <w:tcW w:w="413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浙江巴陵恒逸己内酰胺有限责任公司</w:t>
            </w:r>
          </w:p>
        </w:tc>
        <w:tc>
          <w:tcPr>
            <w:tcW w:w="1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采购商品</w:t>
            </w:r>
          </w:p>
        </w:tc>
        <w:tc>
          <w:tcPr>
            <w:tcW w:w="15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234,180,508.51</w:t>
            </w:r>
          </w:p>
        </w:tc>
        <w:tc>
          <w:tcPr>
            <w:tcW w:w="15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236,066,287.81</w:t>
            </w:r>
          </w:p>
        </w:tc>
      </w:tr>
      <w:tr w:rsidR="00851B9D" w:rsidRPr="000A5B5D" w:rsidTr="00851B9D">
        <w:trPr>
          <w:trHeight w:val="397"/>
        </w:trPr>
        <w:tc>
          <w:tcPr>
            <w:tcW w:w="4130"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海南逸盛石化有限公司</w:t>
            </w:r>
          </w:p>
        </w:tc>
        <w:tc>
          <w:tcPr>
            <w:tcW w:w="1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采购商品</w:t>
            </w:r>
          </w:p>
        </w:tc>
        <w:tc>
          <w:tcPr>
            <w:tcW w:w="15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1,471,212,111.15</w:t>
            </w:r>
          </w:p>
        </w:tc>
        <w:tc>
          <w:tcPr>
            <w:tcW w:w="15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693,266,811.11</w:t>
            </w:r>
          </w:p>
        </w:tc>
      </w:tr>
      <w:tr w:rsidR="00851B9D" w:rsidRPr="000A5B5D" w:rsidTr="00851B9D">
        <w:trPr>
          <w:trHeight w:val="397"/>
        </w:trPr>
        <w:tc>
          <w:tcPr>
            <w:tcW w:w="413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逸盛大化石化有限公司</w:t>
            </w:r>
          </w:p>
        </w:tc>
        <w:tc>
          <w:tcPr>
            <w:tcW w:w="1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采购商品</w:t>
            </w:r>
          </w:p>
        </w:tc>
        <w:tc>
          <w:tcPr>
            <w:tcW w:w="15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1,183,406,403.91</w:t>
            </w:r>
          </w:p>
        </w:tc>
        <w:tc>
          <w:tcPr>
            <w:tcW w:w="15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126,783,007.85</w:t>
            </w:r>
          </w:p>
        </w:tc>
      </w:tr>
      <w:tr w:rsidR="00851B9D" w:rsidRPr="000A5B5D" w:rsidTr="00851B9D">
        <w:trPr>
          <w:trHeight w:val="397"/>
        </w:trPr>
        <w:tc>
          <w:tcPr>
            <w:tcW w:w="4130"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宁波恒逸物流有限公司</w:t>
            </w:r>
          </w:p>
        </w:tc>
        <w:tc>
          <w:tcPr>
            <w:tcW w:w="1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接受劳务</w:t>
            </w:r>
          </w:p>
        </w:tc>
        <w:tc>
          <w:tcPr>
            <w:tcW w:w="1559"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99,922,737.41 </w:t>
            </w:r>
          </w:p>
        </w:tc>
        <w:tc>
          <w:tcPr>
            <w:tcW w:w="15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95,764,199.83</w:t>
            </w:r>
          </w:p>
        </w:tc>
      </w:tr>
      <w:tr w:rsidR="00851B9D" w:rsidRPr="000A5B5D" w:rsidTr="00851B9D">
        <w:trPr>
          <w:trHeight w:val="397"/>
        </w:trPr>
        <w:tc>
          <w:tcPr>
            <w:tcW w:w="4130"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浙江恒逸物流有限公司</w:t>
            </w:r>
          </w:p>
        </w:tc>
        <w:tc>
          <w:tcPr>
            <w:tcW w:w="1994" w:type="dxa"/>
            <w:tcBorders>
              <w:bottom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接受劳务</w:t>
            </w:r>
          </w:p>
        </w:tc>
        <w:tc>
          <w:tcPr>
            <w:tcW w:w="1559"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 xml:space="preserve">84,473,876.57 </w:t>
            </w:r>
          </w:p>
        </w:tc>
        <w:tc>
          <w:tcPr>
            <w:tcW w:w="153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104,389,079.99</w:t>
            </w:r>
          </w:p>
        </w:tc>
      </w:tr>
    </w:tbl>
    <w:p w:rsidR="00851B9D" w:rsidRPr="000A5B5D" w:rsidRDefault="00851B9D" w:rsidP="00851B9D">
      <w:pPr>
        <w:tabs>
          <w:tab w:val="left" w:pos="9000"/>
        </w:tabs>
        <w:spacing w:line="400" w:lineRule="exact"/>
        <w:ind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2 \* GB3 </w:instrText>
      </w:r>
      <w:r w:rsidRPr="000A5B5D">
        <w:rPr>
          <w:rFonts w:ascii="Arial" w:hAnsi="Arial" w:cs="Arial"/>
          <w:sz w:val="24"/>
        </w:rPr>
        <w:fldChar w:fldCharType="separate"/>
      </w:r>
      <w:r w:rsidRPr="000A5B5D">
        <w:rPr>
          <w:rFonts w:ascii="宋体" w:hAnsi="宋体" w:cs="宋体" w:hint="eastAsia"/>
          <w:sz w:val="24"/>
        </w:rPr>
        <w:t>②</w:t>
      </w:r>
      <w:r w:rsidRPr="000A5B5D">
        <w:rPr>
          <w:rFonts w:ascii="Arial" w:hAnsi="Arial" w:cs="Arial"/>
          <w:sz w:val="24"/>
        </w:rPr>
        <w:fldChar w:fldCharType="end"/>
      </w:r>
      <w:r w:rsidRPr="000A5B5D">
        <w:rPr>
          <w:rFonts w:ascii="Arial" w:hAnsi="Arial" w:cs="Arial" w:hint="eastAsia"/>
          <w:sz w:val="24"/>
        </w:rPr>
        <w:t>出售商品</w:t>
      </w:r>
      <w:r w:rsidRPr="000A5B5D">
        <w:rPr>
          <w:rFonts w:ascii="Arial" w:hAnsi="Arial" w:cs="Arial"/>
          <w:sz w:val="24"/>
        </w:rPr>
        <w:t>/</w:t>
      </w:r>
      <w:r w:rsidRPr="000A5B5D">
        <w:rPr>
          <w:rFonts w:ascii="Arial" w:hAnsi="Arial" w:cs="Arial" w:hint="eastAsia"/>
          <w:sz w:val="24"/>
        </w:rPr>
        <w:t>提供劳务情况</w:t>
      </w:r>
    </w:p>
    <w:tbl>
      <w:tblPr>
        <w:tblW w:w="9072" w:type="dxa"/>
        <w:tblInd w:w="28"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102"/>
        <w:gridCol w:w="1973"/>
        <w:gridCol w:w="1580"/>
        <w:gridCol w:w="1417"/>
      </w:tblGrid>
      <w:tr w:rsidR="00851B9D" w:rsidRPr="000A5B5D" w:rsidTr="00851B9D">
        <w:trPr>
          <w:trHeight w:val="397"/>
        </w:trPr>
        <w:tc>
          <w:tcPr>
            <w:tcW w:w="410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关联方</w:t>
            </w:r>
          </w:p>
        </w:tc>
        <w:tc>
          <w:tcPr>
            <w:tcW w:w="197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关联交易内容</w:t>
            </w:r>
          </w:p>
        </w:tc>
        <w:tc>
          <w:tcPr>
            <w:tcW w:w="158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trPr>
        <w:tc>
          <w:tcPr>
            <w:tcW w:w="410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杭州萧山合和纺织有限公司</w:t>
            </w:r>
          </w:p>
        </w:tc>
        <w:tc>
          <w:tcPr>
            <w:tcW w:w="197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销售商品</w:t>
            </w:r>
          </w:p>
        </w:tc>
        <w:tc>
          <w:tcPr>
            <w:tcW w:w="15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30,109,735.97</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47,133,321.24</w:t>
            </w:r>
          </w:p>
        </w:tc>
      </w:tr>
      <w:tr w:rsidR="00851B9D" w:rsidRPr="000A5B5D" w:rsidTr="00851B9D">
        <w:trPr>
          <w:trHeight w:val="397"/>
        </w:trPr>
        <w:tc>
          <w:tcPr>
            <w:tcW w:w="410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海南逸盛石化有限公司</w:t>
            </w:r>
          </w:p>
        </w:tc>
        <w:tc>
          <w:tcPr>
            <w:tcW w:w="197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销售商品</w:t>
            </w:r>
          </w:p>
        </w:tc>
        <w:tc>
          <w:tcPr>
            <w:tcW w:w="15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173,662,577.71</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242,589,192.08</w:t>
            </w:r>
          </w:p>
        </w:tc>
      </w:tr>
      <w:tr w:rsidR="00851B9D" w:rsidRPr="000A5B5D" w:rsidTr="00851B9D">
        <w:trPr>
          <w:trHeight w:val="397"/>
        </w:trPr>
        <w:tc>
          <w:tcPr>
            <w:tcW w:w="4102"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浙江巴陵恒逸己内酰胺有限责任公司</w:t>
            </w:r>
          </w:p>
        </w:tc>
        <w:tc>
          <w:tcPr>
            <w:tcW w:w="197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销售商品</w:t>
            </w:r>
          </w:p>
        </w:tc>
        <w:tc>
          <w:tcPr>
            <w:tcW w:w="158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189,017,450.44</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309,787,339.23</w:t>
            </w:r>
          </w:p>
        </w:tc>
      </w:tr>
      <w:tr w:rsidR="00851B9D" w:rsidRPr="000A5B5D" w:rsidTr="00851B9D">
        <w:trPr>
          <w:trHeight w:val="397"/>
        </w:trPr>
        <w:tc>
          <w:tcPr>
            <w:tcW w:w="4102"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逸盛大化石化有限公司</w:t>
            </w:r>
          </w:p>
        </w:tc>
        <w:tc>
          <w:tcPr>
            <w:tcW w:w="1973" w:type="dxa"/>
            <w:tcBorders>
              <w:bottom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销售商品</w:t>
            </w:r>
          </w:p>
        </w:tc>
        <w:tc>
          <w:tcPr>
            <w:tcW w:w="158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1,154,438.15</w:t>
            </w:r>
          </w:p>
        </w:tc>
        <w:tc>
          <w:tcPr>
            <w:tcW w:w="141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56,320,889.47</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）关联方租赁</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本公司作为承租人</w:t>
      </w:r>
    </w:p>
    <w:tbl>
      <w:tblPr>
        <w:tblW w:w="9057"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430"/>
        <w:gridCol w:w="1428"/>
        <w:gridCol w:w="2116"/>
        <w:gridCol w:w="2083"/>
      </w:tblGrid>
      <w:tr w:rsidR="00851B9D" w:rsidRPr="000A5B5D" w:rsidTr="00851B9D">
        <w:trPr>
          <w:trHeight w:val="397"/>
        </w:trPr>
        <w:tc>
          <w:tcPr>
            <w:tcW w:w="343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出租方名称</w:t>
            </w:r>
          </w:p>
        </w:tc>
        <w:tc>
          <w:tcPr>
            <w:tcW w:w="142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租赁资产种类</w:t>
            </w:r>
          </w:p>
        </w:tc>
        <w:tc>
          <w:tcPr>
            <w:tcW w:w="2116" w:type="dxa"/>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本年确认的租赁费</w:t>
            </w:r>
          </w:p>
        </w:tc>
        <w:tc>
          <w:tcPr>
            <w:tcW w:w="2083" w:type="dxa"/>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上年确认的租赁费</w:t>
            </w:r>
          </w:p>
        </w:tc>
      </w:tr>
      <w:tr w:rsidR="00851B9D" w:rsidRPr="000A5B5D" w:rsidTr="00851B9D">
        <w:trPr>
          <w:trHeight w:val="397"/>
        </w:trPr>
        <w:tc>
          <w:tcPr>
            <w:tcW w:w="3430"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szCs w:val="21"/>
              </w:rPr>
              <w:t>浙江恒逸房地产开发有限公司</w:t>
            </w:r>
          </w:p>
        </w:tc>
        <w:tc>
          <w:tcPr>
            <w:tcW w:w="1428"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房产</w:t>
            </w:r>
          </w:p>
        </w:tc>
        <w:tc>
          <w:tcPr>
            <w:tcW w:w="211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1,400,000.00</w:t>
            </w:r>
          </w:p>
        </w:tc>
        <w:tc>
          <w:tcPr>
            <w:tcW w:w="208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1,400,000.00</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）关联担保情况</w:t>
      </w:r>
    </w:p>
    <w:tbl>
      <w:tblPr>
        <w:tblW w:w="9056"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296"/>
        <w:gridCol w:w="2268"/>
        <w:gridCol w:w="1134"/>
        <w:gridCol w:w="1277"/>
        <w:gridCol w:w="1275"/>
        <w:gridCol w:w="806"/>
      </w:tblGrid>
      <w:tr w:rsidR="00851B9D" w:rsidRPr="000A5B5D" w:rsidTr="00851B9D">
        <w:trPr>
          <w:trHeight w:val="397"/>
        </w:trPr>
        <w:tc>
          <w:tcPr>
            <w:tcW w:w="2296"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担保方</w:t>
            </w:r>
          </w:p>
        </w:tc>
        <w:tc>
          <w:tcPr>
            <w:tcW w:w="2268"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被担保方</w:t>
            </w:r>
          </w:p>
        </w:tc>
        <w:tc>
          <w:tcPr>
            <w:tcW w:w="1134"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金额</w:t>
            </w:r>
          </w:p>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（万元）</w:t>
            </w:r>
          </w:p>
        </w:tc>
        <w:tc>
          <w:tcPr>
            <w:tcW w:w="1277"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借款日</w:t>
            </w:r>
          </w:p>
        </w:tc>
        <w:tc>
          <w:tcPr>
            <w:tcW w:w="1275"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还款日</w:t>
            </w:r>
          </w:p>
        </w:tc>
        <w:tc>
          <w:tcPr>
            <w:tcW w:w="806" w:type="dxa"/>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担保是否已经履行完毕</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兴惠化纤集团有限公司</w:t>
            </w:r>
          </w:p>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浙江恒逸聚合物有限公司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¥6,700.00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2015-08-25</w:t>
            </w:r>
            <w:r w:rsidRPr="000A5B5D">
              <w:rPr>
                <w:rFonts w:ascii="Arial Narrow" w:hAnsi="Arial Narrow" w:cs="Arial"/>
              </w:rPr>
              <w:tab/>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2016-4-24</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兴惠化纤集团有限公司</w:t>
            </w:r>
          </w:p>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浙江恒逸聚合物有限公司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2015-10-09</w:t>
            </w:r>
            <w:r w:rsidRPr="000A5B5D">
              <w:rPr>
                <w:rFonts w:ascii="Arial Narrow" w:hAnsi="Arial Narrow" w:cs="Arial" w:hint="eastAsia"/>
              </w:rPr>
              <w:t>至</w:t>
            </w:r>
          </w:p>
          <w:p w:rsidR="00851B9D" w:rsidRPr="000A5B5D" w:rsidRDefault="00851B9D" w:rsidP="00851B9D">
            <w:pPr>
              <w:jc w:val="right"/>
              <w:rPr>
                <w:rFonts w:ascii="Arial Narrow" w:hAnsi="Arial Narrow" w:cs="Arial"/>
              </w:rPr>
            </w:pPr>
            <w:r w:rsidRPr="000A5B5D">
              <w:rPr>
                <w:rFonts w:ascii="Arial Narrow" w:hAnsi="Arial Narrow" w:cs="Arial"/>
              </w:rPr>
              <w:t>2015-12-01</w:t>
            </w:r>
            <w:r w:rsidRPr="000A5B5D" w:rsidDel="00DB34E5">
              <w:rPr>
                <w:rFonts w:ascii="Arial Narrow" w:hAnsi="Arial Narrow" w:cs="Arial"/>
              </w:rPr>
              <w:t xml:space="preserve"> </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2016-9-25</w:t>
            </w:r>
            <w:r w:rsidRPr="000A5B5D">
              <w:rPr>
                <w:rFonts w:ascii="Arial Narrow" w:hAnsi="Arial Narrow" w:cs="Arial" w:hint="eastAsia"/>
              </w:rPr>
              <w:t>至</w:t>
            </w:r>
          </w:p>
          <w:p w:rsidR="00851B9D" w:rsidRPr="000A5B5D" w:rsidRDefault="00851B9D" w:rsidP="00851B9D">
            <w:pPr>
              <w:jc w:val="right"/>
              <w:rPr>
                <w:rFonts w:ascii="Arial Narrow" w:hAnsi="Arial Narrow" w:cs="Arial"/>
              </w:rPr>
            </w:pPr>
            <w:r w:rsidRPr="000A5B5D">
              <w:rPr>
                <w:rFonts w:ascii="Arial Narrow" w:hAnsi="Arial Narrow" w:cs="Arial"/>
              </w:rPr>
              <w:t>2016-11-24</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浙江恒逸聚合物有限公司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2015-09-15</w:t>
            </w:r>
            <w:r w:rsidRPr="000A5B5D">
              <w:rPr>
                <w:rFonts w:ascii="Arial Narrow" w:hAnsi="Arial Narrow" w:cs="Arial" w:hint="eastAsia"/>
              </w:rPr>
              <w:t>至</w:t>
            </w:r>
            <w:r w:rsidRPr="000A5B5D">
              <w:rPr>
                <w:rFonts w:ascii="Arial Narrow" w:hAnsi="Arial Narrow" w:cs="Arial"/>
              </w:rPr>
              <w:t>2015-11-02</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2016-09-14</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浙江巴陵恒逸己内酰胺有限责任公司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¥55,819.79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2011-11-4</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2017-12-10</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海南逸盛石化有限公司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$2,635.00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2012-6-7</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2020-6-6</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2015-03-18</w:t>
            </w:r>
            <w:r w:rsidRPr="000A5B5D">
              <w:rPr>
                <w:rFonts w:ascii="Arial Narrow" w:hAnsi="Arial Narrow" w:cs="Arial" w:hint="eastAsia"/>
              </w:rPr>
              <w:t>至</w:t>
            </w:r>
            <w:r w:rsidRPr="000A5B5D">
              <w:rPr>
                <w:rFonts w:ascii="Arial Narrow" w:hAnsi="Arial Narrow" w:cs="Arial"/>
              </w:rPr>
              <w:t>2015-12-18</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2016-03-18</w:t>
            </w:r>
            <w:r w:rsidRPr="000A5B5D">
              <w:rPr>
                <w:rFonts w:ascii="Arial Narrow" w:hAnsi="Arial Narrow" w:cs="Arial" w:hint="eastAsia"/>
              </w:rPr>
              <w:t>至</w:t>
            </w:r>
            <w:r w:rsidRPr="000A5B5D">
              <w:rPr>
                <w:rFonts w:ascii="Arial Narrow" w:hAnsi="Arial Narrow" w:cs="Arial"/>
              </w:rPr>
              <w:t>2016-12-18</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€ 1,886.17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2015-4-9</w:t>
            </w:r>
            <w:r w:rsidRPr="000A5B5D">
              <w:rPr>
                <w:rFonts w:ascii="Arial Narrow" w:hAnsi="Arial Narrow" w:cs="Arial" w:hint="eastAsia"/>
              </w:rPr>
              <w:t>至</w:t>
            </w:r>
            <w:r w:rsidRPr="000A5B5D">
              <w:rPr>
                <w:rFonts w:ascii="Arial Narrow" w:hAnsi="Arial Narrow" w:cs="Arial"/>
              </w:rPr>
              <w:t>2015-4-22</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2016-4-8</w:t>
            </w:r>
            <w:r w:rsidRPr="000A5B5D">
              <w:rPr>
                <w:rFonts w:ascii="Arial Narrow" w:hAnsi="Arial Narrow" w:cs="Arial" w:hint="eastAsia"/>
              </w:rPr>
              <w:t>至</w:t>
            </w:r>
            <w:r w:rsidRPr="000A5B5D">
              <w:rPr>
                <w:rFonts w:ascii="Arial Narrow" w:hAnsi="Arial Narrow" w:cs="Arial"/>
              </w:rPr>
              <w:t>2016-4-21</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¥63,622.85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2015-8-27</w:t>
            </w:r>
            <w:r w:rsidRPr="000A5B5D">
              <w:rPr>
                <w:rFonts w:ascii="Arial Narrow" w:hAnsi="Arial Narrow" w:cs="Arial" w:hint="eastAsia"/>
              </w:rPr>
              <w:t>至</w:t>
            </w:r>
            <w:r w:rsidRPr="000A5B5D">
              <w:rPr>
                <w:rFonts w:ascii="Arial Narrow" w:hAnsi="Arial Narrow" w:cs="Arial"/>
              </w:rPr>
              <w:t>2015-11-24</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2016-8-26</w:t>
            </w:r>
            <w:r w:rsidRPr="000A5B5D">
              <w:rPr>
                <w:rFonts w:ascii="Arial Narrow" w:hAnsi="Arial Narrow" w:cs="Arial" w:hint="eastAsia"/>
              </w:rPr>
              <w:t>至</w:t>
            </w:r>
            <w:r w:rsidRPr="000A5B5D">
              <w:rPr>
                <w:rFonts w:ascii="Arial Narrow" w:hAnsi="Arial Narrow" w:cs="Arial"/>
              </w:rPr>
              <w:t>2016-10-7</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€ 1,000.00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2015-8-26</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2016-2-26</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¥2,513.37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2015-11-25</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2016-2-22</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€ 1,300.00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2015-3-2</w:t>
            </w:r>
            <w:r w:rsidRPr="000A5B5D">
              <w:rPr>
                <w:rFonts w:ascii="Arial Narrow" w:hAnsi="Arial Narrow" w:cs="Arial" w:hint="eastAsia"/>
              </w:rPr>
              <w:t>至</w:t>
            </w:r>
            <w:r w:rsidRPr="000A5B5D">
              <w:rPr>
                <w:rFonts w:ascii="Arial Narrow" w:hAnsi="Arial Narrow" w:cs="Arial"/>
              </w:rPr>
              <w:t>2015-12-10</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2016-3-2</w:t>
            </w:r>
            <w:r w:rsidRPr="000A5B5D">
              <w:rPr>
                <w:rFonts w:ascii="Arial Narrow" w:hAnsi="Arial Narrow" w:cs="Arial" w:hint="eastAsia"/>
              </w:rPr>
              <w:t>至</w:t>
            </w:r>
            <w:r w:rsidRPr="000A5B5D">
              <w:rPr>
                <w:rFonts w:ascii="Arial Narrow" w:hAnsi="Arial Narrow" w:cs="Arial"/>
              </w:rPr>
              <w:t>2016-12-10</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2015-8-26</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2016-8-26</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¥20,804.58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2015-8-27</w:t>
            </w:r>
            <w:r w:rsidRPr="000A5B5D">
              <w:rPr>
                <w:rFonts w:ascii="Arial Narrow" w:hAnsi="Arial Narrow" w:cs="Arial" w:hint="eastAsia"/>
              </w:rPr>
              <w:t>至</w:t>
            </w:r>
            <w:r w:rsidRPr="000A5B5D">
              <w:rPr>
                <w:rFonts w:ascii="Arial Narrow" w:hAnsi="Arial Narrow" w:cs="Arial"/>
              </w:rPr>
              <w:t>2015-10-22</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2016-8-26</w:t>
            </w:r>
            <w:r w:rsidRPr="000A5B5D">
              <w:rPr>
                <w:rFonts w:ascii="Arial Narrow" w:hAnsi="Arial Narrow" w:cs="Arial" w:hint="eastAsia"/>
              </w:rPr>
              <w:t>至</w:t>
            </w:r>
            <w:r w:rsidRPr="000A5B5D">
              <w:rPr>
                <w:rFonts w:ascii="Arial Narrow" w:hAnsi="Arial Narrow" w:cs="Arial"/>
              </w:rPr>
              <w:t>2016-10-21</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€ 2,100.00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2015-11-4</w:t>
            </w:r>
            <w:r w:rsidRPr="000A5B5D">
              <w:rPr>
                <w:rFonts w:ascii="Arial Narrow" w:hAnsi="Arial Narrow" w:cs="Arial" w:hint="eastAsia"/>
              </w:rPr>
              <w:t>至</w:t>
            </w:r>
            <w:r w:rsidRPr="000A5B5D">
              <w:rPr>
                <w:rFonts w:ascii="Arial Narrow" w:hAnsi="Arial Narrow" w:cs="Arial"/>
              </w:rPr>
              <w:t>2015-12-10</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2016-5-3</w:t>
            </w:r>
            <w:r w:rsidRPr="000A5B5D">
              <w:rPr>
                <w:rFonts w:ascii="Arial Narrow" w:hAnsi="Arial Narrow" w:cs="Arial" w:hint="eastAsia"/>
              </w:rPr>
              <w:t>至</w:t>
            </w:r>
            <w:r w:rsidRPr="000A5B5D">
              <w:rPr>
                <w:rFonts w:ascii="Arial Narrow" w:hAnsi="Arial Narrow" w:cs="Arial"/>
              </w:rPr>
              <w:t>2016-6-9</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lastRenderedPageBreak/>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2015-1-4</w:t>
            </w:r>
            <w:r w:rsidRPr="000A5B5D">
              <w:rPr>
                <w:rFonts w:ascii="Arial Narrow" w:hAnsi="Arial Narrow" w:cs="Arial" w:hint="eastAsia"/>
              </w:rPr>
              <w:t>至</w:t>
            </w:r>
            <w:r w:rsidRPr="000A5B5D">
              <w:rPr>
                <w:rFonts w:ascii="Arial Narrow" w:hAnsi="Arial Narrow" w:cs="Arial"/>
              </w:rPr>
              <w:t>2015-1-28</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2016-1-3</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€ 5,319.57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2015-5-14</w:t>
            </w:r>
            <w:r w:rsidRPr="000A5B5D">
              <w:rPr>
                <w:rFonts w:ascii="Arial Narrow" w:hAnsi="Arial Narrow" w:cs="Arial" w:hint="eastAsia"/>
              </w:rPr>
              <w:t>至</w:t>
            </w:r>
            <w:r w:rsidRPr="000A5B5D">
              <w:rPr>
                <w:rFonts w:ascii="Arial Narrow" w:hAnsi="Arial Narrow" w:cs="Arial"/>
              </w:rPr>
              <w:t>2015-11-5</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2016-5-13</w:t>
            </w:r>
            <w:r w:rsidRPr="000A5B5D">
              <w:rPr>
                <w:rFonts w:ascii="Arial Narrow" w:hAnsi="Arial Narrow" w:cs="Arial" w:hint="eastAsia"/>
              </w:rPr>
              <w:t>至</w:t>
            </w:r>
            <w:r w:rsidRPr="000A5B5D">
              <w:rPr>
                <w:rFonts w:ascii="Arial Narrow" w:hAnsi="Arial Narrow" w:cs="Arial"/>
              </w:rPr>
              <w:t>2016-8-26</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$405.80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2015-8-12</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2016-3-31</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¥45,000.00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2015-10-29</w:t>
            </w:r>
            <w:r w:rsidRPr="000A5B5D">
              <w:rPr>
                <w:rFonts w:ascii="Arial Narrow" w:hAnsi="Arial Narrow" w:cs="Arial" w:hint="eastAsia"/>
              </w:rPr>
              <w:t>至</w:t>
            </w:r>
            <w:r w:rsidRPr="000A5B5D">
              <w:rPr>
                <w:rFonts w:ascii="Arial Narrow" w:hAnsi="Arial Narrow" w:cs="Arial"/>
              </w:rPr>
              <w:t>2015-12-24</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2016-6-16</w:t>
            </w:r>
            <w:r w:rsidRPr="000A5B5D">
              <w:rPr>
                <w:rFonts w:ascii="Arial Narrow" w:hAnsi="Arial Narrow" w:cs="Arial" w:hint="eastAsia"/>
              </w:rPr>
              <w:t>至</w:t>
            </w:r>
            <w:r w:rsidRPr="000A5B5D">
              <w:rPr>
                <w:rFonts w:ascii="Arial Narrow" w:hAnsi="Arial Narrow" w:cs="Arial"/>
              </w:rPr>
              <w:t>2016-10-28</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2015-10-08</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2016-09-28</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$1,500.00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2015-06-02</w:t>
            </w:r>
            <w:r w:rsidRPr="000A5B5D">
              <w:rPr>
                <w:rFonts w:ascii="Arial Narrow" w:hAnsi="Arial Narrow" w:cs="Arial" w:hint="eastAsia"/>
              </w:rPr>
              <w:t>至</w:t>
            </w:r>
            <w:r w:rsidRPr="000A5B5D">
              <w:rPr>
                <w:rFonts w:ascii="Arial Narrow" w:hAnsi="Arial Narrow" w:cs="Arial"/>
              </w:rPr>
              <w:t>2015-06-11</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2016-06-02</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$2,000.00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2015-10-30</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2016-10-29</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浙江恒逸石化有限公司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$6,090.00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2012-12-3</w:t>
            </w:r>
            <w:r w:rsidRPr="000A5B5D">
              <w:rPr>
                <w:rFonts w:ascii="Arial Narrow" w:hAnsi="Arial Narrow" w:cs="Arial" w:hint="eastAsia"/>
              </w:rPr>
              <w:t>至</w:t>
            </w:r>
            <w:r w:rsidRPr="000A5B5D">
              <w:rPr>
                <w:rFonts w:ascii="Arial Narrow" w:hAnsi="Arial Narrow" w:cs="Arial"/>
              </w:rPr>
              <w:t>2013-10-14</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2016-7-20</w:t>
            </w:r>
            <w:r w:rsidRPr="000A5B5D">
              <w:rPr>
                <w:rFonts w:ascii="Arial Narrow" w:hAnsi="Arial Narrow" w:cs="Arial" w:hint="eastAsia"/>
              </w:rPr>
              <w:t>至</w:t>
            </w:r>
            <w:r w:rsidRPr="000A5B5D">
              <w:rPr>
                <w:rFonts w:ascii="Arial Narrow" w:hAnsi="Arial Narrow" w:cs="Arial"/>
              </w:rPr>
              <w:t>2020-12-2</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上海恒逸聚酯纤维有限公司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$427.24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2015-12-8</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2016-3-4</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上海恒逸聚酯纤维有限公司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¥10,000.00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2015-8-6</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2016-8-4</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浙江恒逸集团有限公司</w:t>
            </w:r>
          </w:p>
        </w:tc>
        <w:tc>
          <w:tcPr>
            <w:tcW w:w="226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香港天逸国际控股有限公司</w:t>
            </w:r>
          </w:p>
        </w:tc>
        <w:tc>
          <w:tcPr>
            <w:tcW w:w="113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$32,500.00 </w:t>
            </w:r>
          </w:p>
        </w:tc>
        <w:tc>
          <w:tcPr>
            <w:tcW w:w="1277"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2015-04-29</w:t>
            </w:r>
            <w:r w:rsidRPr="000A5B5D">
              <w:rPr>
                <w:rFonts w:ascii="Arial Narrow" w:hAnsi="Arial Narrow" w:cs="Arial" w:hint="eastAsia"/>
              </w:rPr>
              <w:t>至</w:t>
            </w:r>
            <w:r w:rsidRPr="000A5B5D">
              <w:rPr>
                <w:rFonts w:ascii="Arial Narrow" w:hAnsi="Arial Narrow" w:cs="Arial"/>
              </w:rPr>
              <w:t>2015-12-30</w:t>
            </w:r>
          </w:p>
        </w:tc>
        <w:tc>
          <w:tcPr>
            <w:tcW w:w="127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2016-04-22</w:t>
            </w:r>
            <w:r w:rsidRPr="000A5B5D">
              <w:rPr>
                <w:rFonts w:ascii="Arial Narrow" w:hAnsi="Arial Narrow" w:cs="Arial" w:hint="eastAsia"/>
              </w:rPr>
              <w:t>至</w:t>
            </w:r>
            <w:r w:rsidRPr="000A5B5D">
              <w:rPr>
                <w:rFonts w:ascii="Arial Narrow" w:hAnsi="Arial Narrow" w:cs="Arial"/>
              </w:rPr>
              <w:t>2016-12-29</w:t>
            </w:r>
          </w:p>
        </w:tc>
        <w:tc>
          <w:tcPr>
            <w:tcW w:w="80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r w:rsidR="00851B9D" w:rsidRPr="000A5B5D" w:rsidTr="00851B9D">
        <w:trPr>
          <w:trHeight w:val="397"/>
        </w:trPr>
        <w:tc>
          <w:tcPr>
            <w:tcW w:w="2296"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浙江恒逸石化有限公司</w:t>
            </w:r>
          </w:p>
          <w:p w:rsidR="00851B9D" w:rsidRPr="000A5B5D" w:rsidRDefault="00851B9D" w:rsidP="00851B9D">
            <w:pPr>
              <w:rPr>
                <w:rFonts w:ascii="Arial Narrow" w:hAnsi="Arial Narrow" w:cs="Arial"/>
              </w:rPr>
            </w:pPr>
            <w:r w:rsidRPr="000A5B5D">
              <w:rPr>
                <w:rFonts w:ascii="Arial Narrow" w:hAnsi="Arial Narrow" w:cs="Arial" w:hint="eastAsia"/>
              </w:rPr>
              <w:t>浙江恒逸高新材料有限公司</w:t>
            </w:r>
          </w:p>
        </w:tc>
        <w:tc>
          <w:tcPr>
            <w:tcW w:w="2268"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香港天逸国际控股有限公司</w:t>
            </w:r>
          </w:p>
        </w:tc>
        <w:tc>
          <w:tcPr>
            <w:tcW w:w="113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$4,200.00</w:t>
            </w:r>
          </w:p>
        </w:tc>
        <w:tc>
          <w:tcPr>
            <w:tcW w:w="1277" w:type="dxa"/>
            <w:tcBorders>
              <w:bottom w:val="single" w:sz="12" w:space="0" w:color="auto"/>
            </w:tcBorders>
            <w:vAlign w:val="center"/>
          </w:tcPr>
          <w:p w:rsidR="00851B9D" w:rsidRPr="000A5B5D" w:rsidDel="00DB34E5" w:rsidRDefault="00851B9D" w:rsidP="00851B9D">
            <w:pPr>
              <w:jc w:val="right"/>
              <w:rPr>
                <w:rFonts w:ascii="Arial Narrow" w:hAnsi="Arial Narrow" w:cs="Arial"/>
              </w:rPr>
            </w:pPr>
            <w:r w:rsidRPr="000A5B5D">
              <w:rPr>
                <w:rFonts w:ascii="Arial Narrow" w:hAnsi="Arial Narrow" w:cs="Arial"/>
              </w:rPr>
              <w:t>2014-7-8</w:t>
            </w:r>
          </w:p>
        </w:tc>
        <w:tc>
          <w:tcPr>
            <w:tcW w:w="1275" w:type="dxa"/>
            <w:tcBorders>
              <w:bottom w:val="single" w:sz="12" w:space="0" w:color="auto"/>
            </w:tcBorders>
            <w:vAlign w:val="center"/>
          </w:tcPr>
          <w:p w:rsidR="00851B9D" w:rsidRPr="000A5B5D" w:rsidDel="00DB34E5" w:rsidRDefault="00851B9D" w:rsidP="00851B9D">
            <w:pPr>
              <w:jc w:val="right"/>
              <w:rPr>
                <w:rFonts w:ascii="Arial Narrow" w:hAnsi="Arial Narrow" w:cs="Arial"/>
              </w:rPr>
            </w:pPr>
            <w:r w:rsidRPr="000A5B5D">
              <w:rPr>
                <w:rFonts w:ascii="Arial Narrow" w:hAnsi="Arial Narrow" w:cs="Arial"/>
              </w:rPr>
              <w:t>2016-4-22</w:t>
            </w:r>
          </w:p>
        </w:tc>
        <w:tc>
          <w:tcPr>
            <w:tcW w:w="806" w:type="dxa"/>
            <w:tcBorders>
              <w:bottom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否</w:t>
            </w:r>
          </w:p>
        </w:tc>
      </w:tr>
    </w:tbl>
    <w:p w:rsidR="00851B9D" w:rsidRPr="000A5B5D" w:rsidRDefault="00851B9D" w:rsidP="00851B9D">
      <w:pPr>
        <w:tabs>
          <w:tab w:val="left" w:pos="9000"/>
        </w:tabs>
        <w:spacing w:line="400" w:lineRule="exact"/>
        <w:ind w:firstLineChars="200" w:firstLine="480"/>
        <w:rPr>
          <w:rFonts w:ascii="Arial" w:hAnsi="Arial" w:cs="Arial"/>
          <w:b/>
          <w:sz w:val="24"/>
        </w:rPr>
      </w:pPr>
      <w:r w:rsidRPr="000A5B5D">
        <w:rPr>
          <w:rFonts w:ascii="Arial" w:hAnsi="Arial" w:cs="Arial" w:hint="eastAsia"/>
          <w:sz w:val="24"/>
        </w:rPr>
        <w:t>（</w:t>
      </w:r>
      <w:r w:rsidRPr="000A5B5D">
        <w:rPr>
          <w:rFonts w:ascii="Arial" w:hAnsi="Arial" w:cs="Arial"/>
          <w:sz w:val="24"/>
        </w:rPr>
        <w:t>4</w:t>
      </w:r>
      <w:r w:rsidRPr="000A5B5D">
        <w:rPr>
          <w:rFonts w:ascii="Arial" w:hAnsi="Arial" w:cs="Arial" w:hint="eastAsia"/>
          <w:sz w:val="24"/>
        </w:rPr>
        <w:t>）关联方资金拆借</w:t>
      </w:r>
    </w:p>
    <w:tbl>
      <w:tblPr>
        <w:tblW w:w="9242"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296"/>
        <w:gridCol w:w="1701"/>
        <w:gridCol w:w="1418"/>
        <w:gridCol w:w="1417"/>
        <w:gridCol w:w="2410"/>
      </w:tblGrid>
      <w:tr w:rsidR="00851B9D" w:rsidRPr="000A5B5D" w:rsidTr="00851B9D">
        <w:trPr>
          <w:trHeight w:val="397"/>
          <w:tblHeader/>
        </w:trPr>
        <w:tc>
          <w:tcPr>
            <w:tcW w:w="229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关联方</w:t>
            </w:r>
          </w:p>
        </w:tc>
        <w:tc>
          <w:tcPr>
            <w:tcW w:w="170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拆借金额</w:t>
            </w:r>
          </w:p>
        </w:tc>
        <w:tc>
          <w:tcPr>
            <w:tcW w:w="1418"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起始日</w:t>
            </w:r>
          </w:p>
        </w:tc>
        <w:tc>
          <w:tcPr>
            <w:tcW w:w="14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到期日</w:t>
            </w:r>
          </w:p>
        </w:tc>
        <w:tc>
          <w:tcPr>
            <w:tcW w:w="241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说</w:t>
            </w:r>
            <w:r w:rsidRPr="000A5B5D">
              <w:rPr>
                <w:rFonts w:ascii="Arial Narrow" w:hAnsi="Arial Narrow" w:cs="Arial"/>
                <w:kern w:val="0"/>
                <w:szCs w:val="21"/>
              </w:rPr>
              <w:t xml:space="preserve">  </w:t>
            </w:r>
            <w:r w:rsidRPr="000A5B5D">
              <w:rPr>
                <w:rFonts w:ascii="Arial Narrow" w:hAnsi="Arial Narrow" w:cs="Arial" w:hint="eastAsia"/>
                <w:kern w:val="0"/>
                <w:szCs w:val="21"/>
              </w:rPr>
              <w:t>明</w:t>
            </w:r>
          </w:p>
        </w:tc>
      </w:tr>
      <w:tr w:rsidR="00851B9D" w:rsidRPr="000A5B5D" w:rsidTr="00851B9D">
        <w:trPr>
          <w:trHeight w:val="397"/>
        </w:trPr>
        <w:tc>
          <w:tcPr>
            <w:tcW w:w="229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拆入：</w:t>
            </w:r>
          </w:p>
        </w:tc>
        <w:tc>
          <w:tcPr>
            <w:tcW w:w="1701" w:type="dxa"/>
            <w:vAlign w:val="center"/>
          </w:tcPr>
          <w:p w:rsidR="00851B9D" w:rsidRPr="000A5B5D" w:rsidRDefault="00851B9D" w:rsidP="00851B9D">
            <w:pPr>
              <w:widowControl/>
              <w:jc w:val="right"/>
              <w:rPr>
                <w:rFonts w:ascii="Arial Narrow" w:hAnsi="Arial Narrow" w:cs="Arial"/>
                <w:kern w:val="0"/>
                <w:szCs w:val="21"/>
              </w:rPr>
            </w:pPr>
          </w:p>
        </w:tc>
        <w:tc>
          <w:tcPr>
            <w:tcW w:w="1418" w:type="dxa"/>
            <w:vAlign w:val="center"/>
          </w:tcPr>
          <w:p w:rsidR="00851B9D" w:rsidRPr="000A5B5D" w:rsidRDefault="00851B9D" w:rsidP="00851B9D">
            <w:pPr>
              <w:widowControl/>
              <w:jc w:val="right"/>
              <w:rPr>
                <w:rFonts w:ascii="Arial Narrow" w:hAnsi="Arial Narrow" w:cs="Arial"/>
                <w:kern w:val="0"/>
                <w:szCs w:val="21"/>
              </w:rPr>
            </w:pPr>
          </w:p>
        </w:tc>
        <w:tc>
          <w:tcPr>
            <w:tcW w:w="1417" w:type="dxa"/>
            <w:vAlign w:val="center"/>
          </w:tcPr>
          <w:p w:rsidR="00851B9D" w:rsidRPr="000A5B5D" w:rsidRDefault="00851B9D" w:rsidP="00851B9D">
            <w:pPr>
              <w:widowControl/>
              <w:jc w:val="right"/>
              <w:rPr>
                <w:rFonts w:ascii="Arial Narrow" w:hAnsi="Arial Narrow" w:cs="Arial"/>
                <w:kern w:val="0"/>
                <w:szCs w:val="21"/>
              </w:rPr>
            </w:pPr>
          </w:p>
        </w:tc>
        <w:tc>
          <w:tcPr>
            <w:tcW w:w="2410"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229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浙江恒逸集团有限公司</w:t>
            </w:r>
          </w:p>
        </w:tc>
        <w:tc>
          <w:tcPr>
            <w:tcW w:w="170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9,515,650,140.54</w:t>
            </w:r>
          </w:p>
        </w:tc>
        <w:tc>
          <w:tcPr>
            <w:tcW w:w="141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c>
          <w:tcPr>
            <w:tcW w:w="2410" w:type="dxa"/>
            <w:vAlign w:val="center"/>
          </w:tcPr>
          <w:p w:rsidR="00851B9D" w:rsidRPr="000A5B5D" w:rsidRDefault="00851B9D" w:rsidP="00851B9D">
            <w:pPr>
              <w:widowControl/>
              <w:jc w:val="right"/>
              <w:rPr>
                <w:rFonts w:ascii="Arial Narrow" w:hAnsi="Arial Narrow" w:cs="Arial"/>
                <w:kern w:val="0"/>
              </w:rPr>
            </w:pPr>
            <w:r w:rsidRPr="000A5B5D">
              <w:rPr>
                <w:rFonts w:ascii="Arial Narrow" w:hAnsi="Arial Narrow" w:cs="Arial" w:hint="eastAsia"/>
                <w:kern w:val="0"/>
              </w:rPr>
              <w:t>恒逸集团向本公司补充的</w:t>
            </w:r>
          </w:p>
          <w:p w:rsidR="00851B9D" w:rsidRPr="000A5B5D" w:rsidRDefault="00851B9D" w:rsidP="00851B9D">
            <w:pPr>
              <w:widowControl/>
              <w:jc w:val="right"/>
              <w:rPr>
                <w:rFonts w:ascii="Arial Narrow" w:hAnsi="Arial Narrow" w:cs="Arial"/>
                <w:kern w:val="0"/>
              </w:rPr>
            </w:pPr>
            <w:r w:rsidRPr="000A5B5D">
              <w:rPr>
                <w:rFonts w:ascii="Arial Narrow" w:hAnsi="Arial Narrow" w:cs="Arial" w:hint="eastAsia"/>
                <w:kern w:val="0"/>
              </w:rPr>
              <w:t>临时营运资金已逐笔全额偿还</w:t>
            </w:r>
          </w:p>
        </w:tc>
      </w:tr>
      <w:tr w:rsidR="00851B9D" w:rsidRPr="000A5B5D" w:rsidTr="00851B9D">
        <w:trPr>
          <w:trHeight w:val="397"/>
        </w:trPr>
        <w:tc>
          <w:tcPr>
            <w:tcW w:w="2296" w:type="dxa"/>
            <w:vAlign w:val="center"/>
          </w:tcPr>
          <w:p w:rsidR="00851B9D" w:rsidRPr="000A5B5D" w:rsidRDefault="00851B9D" w:rsidP="00851B9D">
            <w:pPr>
              <w:widowControl/>
              <w:rPr>
                <w:rFonts w:ascii="Arial Narrow" w:hAnsi="Arial Narrow" w:cs="Arial"/>
                <w:kern w:val="0"/>
                <w:szCs w:val="21"/>
              </w:rPr>
            </w:pPr>
          </w:p>
        </w:tc>
        <w:tc>
          <w:tcPr>
            <w:tcW w:w="1701" w:type="dxa"/>
            <w:vAlign w:val="center"/>
          </w:tcPr>
          <w:p w:rsidR="00851B9D" w:rsidRPr="000A5B5D" w:rsidRDefault="00851B9D" w:rsidP="00851B9D">
            <w:pPr>
              <w:widowControl/>
              <w:jc w:val="right"/>
              <w:rPr>
                <w:rFonts w:ascii="Arial Narrow" w:hAnsi="Arial Narrow" w:cs="Arial"/>
                <w:kern w:val="0"/>
                <w:szCs w:val="21"/>
              </w:rPr>
            </w:pPr>
          </w:p>
        </w:tc>
        <w:tc>
          <w:tcPr>
            <w:tcW w:w="1418" w:type="dxa"/>
            <w:vAlign w:val="center"/>
          </w:tcPr>
          <w:p w:rsidR="00851B9D" w:rsidRPr="000A5B5D" w:rsidRDefault="00851B9D" w:rsidP="00851B9D">
            <w:pPr>
              <w:widowControl/>
              <w:jc w:val="right"/>
              <w:rPr>
                <w:rFonts w:ascii="Arial Narrow" w:hAnsi="Arial Narrow" w:cs="Arial"/>
                <w:kern w:val="0"/>
                <w:szCs w:val="21"/>
              </w:rPr>
            </w:pPr>
          </w:p>
        </w:tc>
        <w:tc>
          <w:tcPr>
            <w:tcW w:w="1417" w:type="dxa"/>
            <w:vAlign w:val="center"/>
          </w:tcPr>
          <w:p w:rsidR="00851B9D" w:rsidRPr="000A5B5D" w:rsidRDefault="00851B9D" w:rsidP="00851B9D">
            <w:pPr>
              <w:widowControl/>
              <w:jc w:val="right"/>
              <w:rPr>
                <w:rFonts w:ascii="Arial Narrow" w:hAnsi="Arial Narrow" w:cs="Arial"/>
                <w:kern w:val="0"/>
                <w:szCs w:val="21"/>
              </w:rPr>
            </w:pPr>
          </w:p>
        </w:tc>
        <w:tc>
          <w:tcPr>
            <w:tcW w:w="2410"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229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拆出：</w:t>
            </w:r>
          </w:p>
        </w:tc>
        <w:tc>
          <w:tcPr>
            <w:tcW w:w="1701" w:type="dxa"/>
            <w:vAlign w:val="center"/>
          </w:tcPr>
          <w:p w:rsidR="00851B9D" w:rsidRPr="000A5B5D" w:rsidRDefault="00851B9D" w:rsidP="00851B9D">
            <w:pPr>
              <w:widowControl/>
              <w:jc w:val="right"/>
              <w:rPr>
                <w:rFonts w:ascii="Arial Narrow" w:hAnsi="Arial Narrow" w:cs="Arial"/>
                <w:kern w:val="0"/>
                <w:szCs w:val="21"/>
              </w:rPr>
            </w:pPr>
          </w:p>
        </w:tc>
        <w:tc>
          <w:tcPr>
            <w:tcW w:w="1418" w:type="dxa"/>
            <w:vAlign w:val="center"/>
          </w:tcPr>
          <w:p w:rsidR="00851B9D" w:rsidRPr="000A5B5D" w:rsidRDefault="00851B9D" w:rsidP="00851B9D">
            <w:pPr>
              <w:widowControl/>
              <w:jc w:val="right"/>
              <w:rPr>
                <w:rFonts w:ascii="Arial Narrow" w:hAnsi="Arial Narrow" w:cs="Arial"/>
                <w:kern w:val="0"/>
                <w:szCs w:val="21"/>
              </w:rPr>
            </w:pPr>
          </w:p>
        </w:tc>
        <w:tc>
          <w:tcPr>
            <w:tcW w:w="1417" w:type="dxa"/>
            <w:vAlign w:val="center"/>
          </w:tcPr>
          <w:p w:rsidR="00851B9D" w:rsidRPr="000A5B5D" w:rsidRDefault="00851B9D" w:rsidP="00851B9D">
            <w:pPr>
              <w:widowControl/>
              <w:jc w:val="right"/>
              <w:rPr>
                <w:rFonts w:ascii="Arial Narrow" w:hAnsi="Arial Narrow" w:cs="Arial"/>
                <w:kern w:val="0"/>
                <w:szCs w:val="21"/>
              </w:rPr>
            </w:pPr>
          </w:p>
        </w:tc>
        <w:tc>
          <w:tcPr>
            <w:tcW w:w="2410"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229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海南逸盛石化有限公司</w:t>
            </w:r>
          </w:p>
        </w:tc>
        <w:tc>
          <w:tcPr>
            <w:tcW w:w="170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440,000,000.00</w:t>
            </w:r>
          </w:p>
        </w:tc>
        <w:tc>
          <w:tcPr>
            <w:tcW w:w="1418"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2014-12-18</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2015-11-26</w:t>
            </w:r>
            <w:r w:rsidRPr="000A5B5D">
              <w:rPr>
                <w:rFonts w:ascii="Arial Narrow" w:hAnsi="Arial Narrow" w:cs="Arial" w:hint="eastAsia"/>
                <w:kern w:val="0"/>
                <w:szCs w:val="21"/>
              </w:rPr>
              <w:t>至</w:t>
            </w:r>
            <w:r w:rsidRPr="000A5B5D">
              <w:rPr>
                <w:rFonts w:ascii="Arial Narrow" w:hAnsi="Arial Narrow" w:cs="Arial"/>
                <w:kern w:val="0"/>
                <w:szCs w:val="21"/>
              </w:rPr>
              <w:t>2015-12-03</w:t>
            </w:r>
          </w:p>
        </w:tc>
        <w:tc>
          <w:tcPr>
            <w:tcW w:w="241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委托贷款</w:t>
            </w:r>
          </w:p>
        </w:tc>
      </w:tr>
      <w:tr w:rsidR="00851B9D" w:rsidRPr="000A5B5D" w:rsidTr="00851B9D">
        <w:trPr>
          <w:trHeight w:val="397"/>
        </w:trPr>
        <w:tc>
          <w:tcPr>
            <w:tcW w:w="2296"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海南逸盛石化有限公司</w:t>
            </w:r>
          </w:p>
        </w:tc>
        <w:tc>
          <w:tcPr>
            <w:tcW w:w="170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360,000,000.00</w:t>
            </w:r>
          </w:p>
        </w:tc>
        <w:tc>
          <w:tcPr>
            <w:tcW w:w="1418"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2015-01-05</w:t>
            </w:r>
            <w:r w:rsidRPr="000A5B5D">
              <w:rPr>
                <w:rFonts w:ascii="Arial Narrow" w:hAnsi="Arial Narrow" w:cs="Arial" w:hint="eastAsia"/>
                <w:kern w:val="0"/>
                <w:szCs w:val="21"/>
              </w:rPr>
              <w:t>至</w:t>
            </w:r>
            <w:r w:rsidRPr="000A5B5D">
              <w:rPr>
                <w:rFonts w:ascii="Arial Narrow" w:hAnsi="Arial Narrow" w:cs="Arial"/>
                <w:kern w:val="0"/>
                <w:szCs w:val="21"/>
              </w:rPr>
              <w:t>2015-01-21</w:t>
            </w:r>
          </w:p>
        </w:tc>
        <w:tc>
          <w:tcPr>
            <w:tcW w:w="1417"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2015-12-03</w:t>
            </w:r>
            <w:r w:rsidRPr="000A5B5D">
              <w:rPr>
                <w:rFonts w:ascii="Arial Narrow" w:hAnsi="Arial Narrow" w:cs="Arial" w:hint="eastAsia"/>
                <w:kern w:val="0"/>
                <w:szCs w:val="21"/>
              </w:rPr>
              <w:t>至</w:t>
            </w:r>
            <w:r w:rsidRPr="000A5B5D">
              <w:rPr>
                <w:rFonts w:ascii="Arial Narrow" w:hAnsi="Arial Narrow" w:cs="Arial"/>
                <w:kern w:val="0"/>
                <w:szCs w:val="21"/>
              </w:rPr>
              <w:t>2015-12-10</w:t>
            </w:r>
          </w:p>
        </w:tc>
        <w:tc>
          <w:tcPr>
            <w:tcW w:w="241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委托贷款</w:t>
            </w:r>
          </w:p>
        </w:tc>
      </w:tr>
    </w:tbl>
    <w:p w:rsidR="00851B9D" w:rsidRPr="000A5B5D" w:rsidRDefault="00851B9D" w:rsidP="00851B9D">
      <w:pPr>
        <w:tabs>
          <w:tab w:val="left" w:pos="9000"/>
        </w:tabs>
        <w:spacing w:line="400" w:lineRule="exact"/>
        <w:ind w:firstLineChars="200" w:firstLine="480"/>
        <w:rPr>
          <w:rFonts w:ascii="Arial" w:hAnsi="Arial" w:cs="Arial"/>
          <w:sz w:val="24"/>
        </w:rPr>
      </w:pPr>
      <w:bookmarkStart w:id="56" w:name="_Toc215903193"/>
      <w:r w:rsidRPr="000A5B5D">
        <w:rPr>
          <w:rFonts w:ascii="Arial" w:hAnsi="Arial" w:cs="Arial" w:hint="eastAsia"/>
          <w:sz w:val="24"/>
        </w:rPr>
        <w:t>（</w:t>
      </w:r>
      <w:r w:rsidRPr="000A5B5D">
        <w:rPr>
          <w:rFonts w:ascii="Arial" w:hAnsi="Arial" w:cs="Arial"/>
          <w:sz w:val="24"/>
        </w:rPr>
        <w:t>5</w:t>
      </w:r>
      <w:r w:rsidRPr="000A5B5D">
        <w:rPr>
          <w:rFonts w:ascii="Arial" w:hAnsi="Arial" w:cs="Arial" w:hint="eastAsia"/>
          <w:sz w:val="24"/>
        </w:rPr>
        <w:t>）</w:t>
      </w:r>
      <w:bookmarkStart w:id="57" w:name="_Toc215903192"/>
      <w:r w:rsidRPr="000A5B5D">
        <w:rPr>
          <w:rFonts w:ascii="Arial" w:hAnsi="Arial" w:cs="Arial" w:hint="eastAsia"/>
          <w:sz w:val="24"/>
        </w:rPr>
        <w:t>关联方资产转让、债务重组情况</w:t>
      </w:r>
      <w:bookmarkEnd w:id="57"/>
    </w:p>
    <w:p w:rsidR="00851B9D" w:rsidRPr="000A5B5D" w:rsidRDefault="00851B9D" w:rsidP="00851B9D">
      <w:pPr>
        <w:tabs>
          <w:tab w:val="left" w:pos="9000"/>
        </w:tabs>
        <w:spacing w:line="400" w:lineRule="exact"/>
        <w:ind w:firstLineChars="200" w:firstLine="480"/>
        <w:rPr>
          <w:rFonts w:ascii="Arial" w:hAnsi="Arial" w:cs="Arial"/>
          <w:sz w:val="24"/>
        </w:rPr>
      </w:pPr>
    </w:p>
    <w:tbl>
      <w:tblPr>
        <w:tblW w:w="9242"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572"/>
        <w:gridCol w:w="1843"/>
        <w:gridCol w:w="1843"/>
        <w:gridCol w:w="1984"/>
      </w:tblGrid>
      <w:tr w:rsidR="00851B9D" w:rsidRPr="000A5B5D" w:rsidTr="00851B9D">
        <w:trPr>
          <w:trHeight w:val="440"/>
        </w:trPr>
        <w:tc>
          <w:tcPr>
            <w:tcW w:w="3572" w:type="dxa"/>
            <w:vMerge w:val="restart"/>
            <w:tcBorders>
              <w:top w:val="single" w:sz="12" w:space="0" w:color="auto"/>
            </w:tcBorders>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t>关联方</w:t>
            </w:r>
          </w:p>
        </w:tc>
        <w:tc>
          <w:tcPr>
            <w:tcW w:w="1843" w:type="dxa"/>
            <w:vMerge w:val="restart"/>
            <w:tcBorders>
              <w:top w:val="single" w:sz="12" w:space="0" w:color="auto"/>
            </w:tcBorders>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hint="eastAsia"/>
                <w:kern w:val="0"/>
                <w:szCs w:val="21"/>
              </w:rPr>
              <w:t>关联交易内容</w:t>
            </w:r>
          </w:p>
        </w:tc>
        <w:tc>
          <w:tcPr>
            <w:tcW w:w="1843" w:type="dxa"/>
            <w:vMerge w:val="restart"/>
            <w:tcBorders>
              <w:top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hint="eastAsia"/>
              </w:rPr>
              <w:t>本年发生额</w:t>
            </w:r>
          </w:p>
        </w:tc>
        <w:tc>
          <w:tcPr>
            <w:tcW w:w="1984" w:type="dxa"/>
            <w:vMerge w:val="restart"/>
            <w:tcBorders>
              <w:top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hint="eastAsia"/>
              </w:rPr>
              <w:t>上年发生额</w:t>
            </w:r>
          </w:p>
        </w:tc>
      </w:tr>
      <w:tr w:rsidR="00851B9D" w:rsidRPr="000A5B5D" w:rsidTr="00851B9D">
        <w:trPr>
          <w:trHeight w:val="480"/>
        </w:trPr>
        <w:tc>
          <w:tcPr>
            <w:tcW w:w="3572" w:type="dxa"/>
            <w:vMerge/>
            <w:vAlign w:val="center"/>
          </w:tcPr>
          <w:p w:rsidR="00851B9D" w:rsidRPr="000A5B5D" w:rsidRDefault="00851B9D" w:rsidP="00851B9D">
            <w:pPr>
              <w:widowControl/>
              <w:spacing w:line="400" w:lineRule="exact"/>
              <w:rPr>
                <w:rFonts w:ascii="Arial Narrow" w:hAnsi="Arial Narrow" w:cs="Arial"/>
                <w:kern w:val="0"/>
                <w:szCs w:val="21"/>
              </w:rPr>
            </w:pPr>
          </w:p>
        </w:tc>
        <w:tc>
          <w:tcPr>
            <w:tcW w:w="1843" w:type="dxa"/>
            <w:vMerge/>
            <w:vAlign w:val="center"/>
          </w:tcPr>
          <w:p w:rsidR="00851B9D" w:rsidRPr="000A5B5D" w:rsidRDefault="00851B9D" w:rsidP="00851B9D">
            <w:pPr>
              <w:widowControl/>
              <w:spacing w:line="400" w:lineRule="exact"/>
              <w:jc w:val="right"/>
              <w:rPr>
                <w:rFonts w:ascii="Arial Narrow" w:hAnsi="Arial Narrow" w:cs="Arial"/>
                <w:kern w:val="0"/>
                <w:szCs w:val="21"/>
              </w:rPr>
            </w:pPr>
          </w:p>
        </w:tc>
        <w:tc>
          <w:tcPr>
            <w:tcW w:w="1843" w:type="dxa"/>
            <w:vMerge/>
            <w:vAlign w:val="center"/>
          </w:tcPr>
          <w:p w:rsidR="00851B9D" w:rsidRPr="000A5B5D" w:rsidRDefault="00851B9D" w:rsidP="00851B9D">
            <w:pPr>
              <w:widowControl/>
              <w:spacing w:line="400" w:lineRule="exact"/>
              <w:jc w:val="right"/>
              <w:rPr>
                <w:rFonts w:ascii="Arial Narrow" w:hAnsi="Arial Narrow" w:cs="Arial"/>
                <w:kern w:val="0"/>
                <w:szCs w:val="21"/>
              </w:rPr>
            </w:pPr>
          </w:p>
        </w:tc>
        <w:tc>
          <w:tcPr>
            <w:tcW w:w="1984" w:type="dxa"/>
            <w:vMerge/>
            <w:vAlign w:val="center"/>
          </w:tcPr>
          <w:p w:rsidR="00851B9D" w:rsidRPr="000A5B5D" w:rsidRDefault="00851B9D" w:rsidP="00851B9D">
            <w:pPr>
              <w:widowControl/>
              <w:spacing w:line="400" w:lineRule="exact"/>
              <w:jc w:val="right"/>
              <w:rPr>
                <w:rFonts w:ascii="Arial Narrow" w:hAnsi="Arial Narrow" w:cs="Arial"/>
                <w:kern w:val="0"/>
                <w:szCs w:val="21"/>
              </w:rPr>
            </w:pPr>
          </w:p>
        </w:tc>
      </w:tr>
      <w:tr w:rsidR="00851B9D" w:rsidRPr="000A5B5D" w:rsidTr="00851B9D">
        <w:trPr>
          <w:trHeight w:val="345"/>
        </w:trPr>
        <w:tc>
          <w:tcPr>
            <w:tcW w:w="3572" w:type="dxa"/>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t>浙江巴陵恒逸己内酰胺有限责任公司</w:t>
            </w:r>
          </w:p>
        </w:tc>
        <w:tc>
          <w:tcPr>
            <w:tcW w:w="1843" w:type="dxa"/>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hint="eastAsia"/>
                <w:kern w:val="0"/>
                <w:szCs w:val="21"/>
              </w:rPr>
              <w:t>资产转让</w:t>
            </w:r>
          </w:p>
        </w:tc>
        <w:tc>
          <w:tcPr>
            <w:tcW w:w="1843" w:type="dxa"/>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kern w:val="0"/>
                <w:szCs w:val="21"/>
              </w:rPr>
              <w:t>0.00</w:t>
            </w:r>
          </w:p>
        </w:tc>
        <w:tc>
          <w:tcPr>
            <w:tcW w:w="1984" w:type="dxa"/>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kern w:val="0"/>
                <w:szCs w:val="21"/>
              </w:rPr>
              <w:t>21,437,200.00</w:t>
            </w:r>
          </w:p>
        </w:tc>
      </w:tr>
      <w:tr w:rsidR="00851B9D" w:rsidRPr="000A5B5D" w:rsidTr="00851B9D">
        <w:trPr>
          <w:trHeight w:val="345"/>
        </w:trPr>
        <w:tc>
          <w:tcPr>
            <w:tcW w:w="3572" w:type="dxa"/>
            <w:tcBorders>
              <w:bottom w:val="single" w:sz="12" w:space="0" w:color="auto"/>
            </w:tcBorders>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lastRenderedPageBreak/>
              <w:t>浙江恒逸集团有限公司</w:t>
            </w:r>
          </w:p>
        </w:tc>
        <w:tc>
          <w:tcPr>
            <w:tcW w:w="1843" w:type="dxa"/>
            <w:tcBorders>
              <w:bottom w:val="single" w:sz="12" w:space="0" w:color="auto"/>
            </w:tcBorders>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hint="eastAsia"/>
                <w:kern w:val="0"/>
                <w:szCs w:val="21"/>
              </w:rPr>
              <w:t>购买浙商银行股权</w:t>
            </w:r>
          </w:p>
        </w:tc>
        <w:tc>
          <w:tcPr>
            <w:tcW w:w="1843" w:type="dxa"/>
            <w:tcBorders>
              <w:bottom w:val="single" w:sz="12" w:space="0" w:color="auto"/>
            </w:tcBorders>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kern w:val="0"/>
                <w:szCs w:val="21"/>
              </w:rPr>
              <w:t>721,600,000.00</w:t>
            </w:r>
          </w:p>
        </w:tc>
        <w:tc>
          <w:tcPr>
            <w:tcW w:w="1984" w:type="dxa"/>
            <w:tcBorders>
              <w:bottom w:val="single" w:sz="12" w:space="0" w:color="auto"/>
            </w:tcBorders>
            <w:vAlign w:val="center"/>
          </w:tcPr>
          <w:p w:rsidR="00851B9D" w:rsidRPr="000A5B5D" w:rsidRDefault="00851B9D" w:rsidP="00851B9D">
            <w:pPr>
              <w:widowControl/>
              <w:spacing w:line="400" w:lineRule="exact"/>
              <w:jc w:val="right"/>
              <w:rPr>
                <w:rFonts w:ascii="Arial Narrow" w:hAnsi="Arial Narrow" w:cs="Arial"/>
                <w:kern w:val="0"/>
                <w:szCs w:val="21"/>
              </w:rPr>
            </w:pPr>
            <w:r w:rsidRPr="000A5B5D">
              <w:rPr>
                <w:rFonts w:ascii="Arial Narrow" w:hAnsi="Arial Narrow" w:cs="Arial"/>
                <w:kern w:val="0"/>
                <w:szCs w:val="21"/>
              </w:rPr>
              <w:t>0.00</w:t>
            </w:r>
          </w:p>
        </w:tc>
      </w:tr>
    </w:tbl>
    <w:p w:rsidR="00851B9D" w:rsidRPr="000A5B5D" w:rsidRDefault="00851B9D" w:rsidP="00851B9D">
      <w:pPr>
        <w:tabs>
          <w:tab w:val="left" w:pos="900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6</w:t>
      </w:r>
      <w:r w:rsidRPr="000A5B5D">
        <w:rPr>
          <w:rFonts w:ascii="Arial" w:hAnsi="Arial" w:cs="Arial" w:hint="eastAsia"/>
          <w:sz w:val="24"/>
        </w:rPr>
        <w:t>）关键管理人员报酬</w:t>
      </w:r>
    </w:p>
    <w:tbl>
      <w:tblPr>
        <w:tblW w:w="9253" w:type="dxa"/>
        <w:tblBorders>
          <w:top w:val="single" w:sz="12" w:space="0" w:color="auto"/>
          <w:bottom w:val="single" w:sz="12" w:space="0" w:color="auto"/>
          <w:insideH w:val="dotted" w:sz="4" w:space="0" w:color="auto"/>
          <w:insideV w:val="dotted" w:sz="4" w:space="0" w:color="auto"/>
        </w:tblBorders>
        <w:tblLayout w:type="fixed"/>
        <w:tblCellMar>
          <w:left w:w="30" w:type="dxa"/>
          <w:right w:w="30" w:type="dxa"/>
        </w:tblCellMar>
        <w:tblLook w:val="04A0" w:firstRow="1" w:lastRow="0" w:firstColumn="1" w:lastColumn="0" w:noHBand="0" w:noVBand="1"/>
      </w:tblPr>
      <w:tblGrid>
        <w:gridCol w:w="2312"/>
        <w:gridCol w:w="2968"/>
        <w:gridCol w:w="3973"/>
      </w:tblGrid>
      <w:tr w:rsidR="00851B9D" w:rsidRPr="000A5B5D" w:rsidTr="00851B9D">
        <w:trPr>
          <w:trHeight w:val="397"/>
        </w:trPr>
        <w:tc>
          <w:tcPr>
            <w:tcW w:w="2312" w:type="dxa"/>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项</w:t>
            </w:r>
            <w:r w:rsidRPr="000A5B5D">
              <w:rPr>
                <w:rFonts w:ascii="Arial Narrow" w:hAnsi="Arial Narrow" w:cs="Arial"/>
                <w:szCs w:val="21"/>
              </w:rPr>
              <w:t xml:space="preserve">   </w:t>
            </w:r>
            <w:r w:rsidRPr="000A5B5D">
              <w:rPr>
                <w:rFonts w:ascii="Arial Narrow" w:hAnsi="Arial Narrow" w:cs="Arial" w:hint="eastAsia"/>
                <w:szCs w:val="21"/>
              </w:rPr>
              <w:t>目</w:t>
            </w:r>
          </w:p>
        </w:tc>
        <w:tc>
          <w:tcPr>
            <w:tcW w:w="2968" w:type="dxa"/>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本年发生额</w:t>
            </w:r>
          </w:p>
        </w:tc>
        <w:tc>
          <w:tcPr>
            <w:tcW w:w="3973" w:type="dxa"/>
            <w:tcBorders>
              <w:top w:val="single" w:sz="12" w:space="0" w:color="auto"/>
            </w:tcBorders>
            <w:vAlign w:val="center"/>
          </w:tcPr>
          <w:p w:rsidR="00851B9D" w:rsidRPr="000A5B5D" w:rsidRDefault="00851B9D" w:rsidP="00851B9D">
            <w:pPr>
              <w:jc w:val="center"/>
              <w:rPr>
                <w:rFonts w:ascii="Arial Narrow" w:hAnsi="Arial Narrow" w:cs="Arial"/>
                <w:szCs w:val="21"/>
              </w:rPr>
            </w:pPr>
            <w:r w:rsidRPr="000A5B5D">
              <w:rPr>
                <w:rFonts w:ascii="Arial Narrow" w:hAnsi="Arial Narrow" w:cs="Arial" w:hint="eastAsia"/>
                <w:szCs w:val="21"/>
              </w:rPr>
              <w:t>上年发生额</w:t>
            </w:r>
          </w:p>
        </w:tc>
      </w:tr>
      <w:tr w:rsidR="00851B9D" w:rsidRPr="000A5B5D" w:rsidTr="00851B9D">
        <w:trPr>
          <w:trHeight w:val="397"/>
        </w:trPr>
        <w:tc>
          <w:tcPr>
            <w:tcW w:w="2312" w:type="dxa"/>
            <w:tcBorders>
              <w:bottom w:val="single" w:sz="12" w:space="0" w:color="auto"/>
            </w:tcBorders>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总额</w:t>
            </w:r>
          </w:p>
        </w:tc>
        <w:tc>
          <w:tcPr>
            <w:tcW w:w="2968"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708.59</w:t>
            </w:r>
            <w:r w:rsidRPr="000A5B5D">
              <w:rPr>
                <w:rFonts w:ascii="Arial Narrow" w:hAnsi="Arial Narrow" w:cs="Arial" w:hint="eastAsia"/>
                <w:szCs w:val="21"/>
              </w:rPr>
              <w:t>万元</w:t>
            </w:r>
          </w:p>
        </w:tc>
        <w:tc>
          <w:tcPr>
            <w:tcW w:w="3973"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853.41</w:t>
            </w:r>
            <w:r w:rsidRPr="000A5B5D">
              <w:rPr>
                <w:rFonts w:ascii="Arial Narrow" w:hAnsi="Arial Narrow" w:cs="Arial" w:hint="eastAsia"/>
                <w:szCs w:val="21"/>
              </w:rPr>
              <w:t>万元</w:t>
            </w:r>
          </w:p>
        </w:tc>
      </w:tr>
    </w:tbl>
    <w:p w:rsidR="00851B9D" w:rsidRPr="000A5B5D" w:rsidRDefault="00851B9D" w:rsidP="00851B9D">
      <w:pPr>
        <w:spacing w:line="400" w:lineRule="exact"/>
        <w:ind w:left="482"/>
        <w:outlineLvl w:val="1"/>
        <w:rPr>
          <w:rFonts w:ascii="Arial" w:hAnsi="Arial" w:cs="Arial"/>
          <w:b/>
          <w:sz w:val="24"/>
          <w:szCs w:val="24"/>
        </w:rPr>
      </w:pPr>
      <w:bookmarkStart w:id="58" w:name="_Toc241636503"/>
      <w:bookmarkEnd w:id="56"/>
      <w:r w:rsidRPr="000A5B5D">
        <w:rPr>
          <w:rFonts w:ascii="Arial" w:hAnsi="Arial" w:cs="Arial"/>
          <w:b/>
          <w:sz w:val="24"/>
          <w:szCs w:val="24"/>
        </w:rPr>
        <w:t>6</w:t>
      </w:r>
      <w:r w:rsidRPr="000A5B5D">
        <w:rPr>
          <w:rFonts w:ascii="Arial" w:hAnsi="Arial" w:cs="Arial" w:hint="eastAsia"/>
          <w:b/>
          <w:sz w:val="24"/>
          <w:szCs w:val="24"/>
        </w:rPr>
        <w:t>、关联方应收应付款项</w:t>
      </w:r>
      <w:bookmarkEnd w:id="58"/>
    </w:p>
    <w:p w:rsidR="00851B9D" w:rsidRPr="000A5B5D" w:rsidRDefault="00851B9D" w:rsidP="00851B9D">
      <w:pPr>
        <w:spacing w:line="400" w:lineRule="exact"/>
        <w:ind w:left="482"/>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1</w:t>
      </w:r>
      <w:r w:rsidRPr="000A5B5D">
        <w:rPr>
          <w:rFonts w:ascii="Arial" w:hAnsi="Arial" w:cs="Arial" w:hint="eastAsia"/>
          <w:sz w:val="24"/>
          <w:szCs w:val="24"/>
        </w:rPr>
        <w:t>）应收项目</w:t>
      </w:r>
    </w:p>
    <w:tbl>
      <w:tblPr>
        <w:tblW w:w="9214"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808"/>
        <w:gridCol w:w="1395"/>
        <w:gridCol w:w="1194"/>
        <w:gridCol w:w="1504"/>
        <w:gridCol w:w="1313"/>
      </w:tblGrid>
      <w:tr w:rsidR="00851B9D" w:rsidRPr="000A5B5D" w:rsidTr="00851B9D">
        <w:trPr>
          <w:trHeight w:val="397"/>
          <w:tblHeader/>
        </w:trPr>
        <w:tc>
          <w:tcPr>
            <w:tcW w:w="3808"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项目名称</w:t>
            </w:r>
          </w:p>
        </w:tc>
        <w:tc>
          <w:tcPr>
            <w:tcW w:w="2589"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817"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blHeader/>
        </w:trPr>
        <w:tc>
          <w:tcPr>
            <w:tcW w:w="3808" w:type="dxa"/>
            <w:vMerge/>
            <w:vAlign w:val="center"/>
          </w:tcPr>
          <w:p w:rsidR="00851B9D" w:rsidRPr="000A5B5D" w:rsidRDefault="00851B9D" w:rsidP="00851B9D">
            <w:pPr>
              <w:widowControl/>
              <w:jc w:val="center"/>
              <w:rPr>
                <w:rFonts w:ascii="Arial Narrow" w:hAnsi="Arial Narrow" w:cs="Arial"/>
                <w:bCs/>
                <w:kern w:val="0"/>
                <w:szCs w:val="21"/>
              </w:rPr>
            </w:pPr>
          </w:p>
        </w:tc>
        <w:tc>
          <w:tcPr>
            <w:tcW w:w="1395"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11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50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131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r>
      <w:tr w:rsidR="00851B9D" w:rsidRPr="000A5B5D" w:rsidTr="00851B9D">
        <w:trPr>
          <w:trHeight w:val="397"/>
        </w:trPr>
        <w:tc>
          <w:tcPr>
            <w:tcW w:w="3808"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应收账款：</w:t>
            </w:r>
          </w:p>
        </w:tc>
        <w:tc>
          <w:tcPr>
            <w:tcW w:w="1395" w:type="dxa"/>
            <w:vAlign w:val="center"/>
          </w:tcPr>
          <w:p w:rsidR="00851B9D" w:rsidRPr="000A5B5D" w:rsidRDefault="00851B9D" w:rsidP="00851B9D">
            <w:pPr>
              <w:widowControl/>
              <w:jc w:val="right"/>
              <w:rPr>
                <w:rFonts w:ascii="Arial Narrow" w:hAnsi="Arial Narrow" w:cs="Arial"/>
                <w:kern w:val="0"/>
                <w:szCs w:val="21"/>
              </w:rPr>
            </w:pPr>
          </w:p>
        </w:tc>
        <w:tc>
          <w:tcPr>
            <w:tcW w:w="1194" w:type="dxa"/>
            <w:vAlign w:val="center"/>
          </w:tcPr>
          <w:p w:rsidR="00851B9D" w:rsidRPr="000A5B5D" w:rsidRDefault="00851B9D" w:rsidP="00851B9D">
            <w:pPr>
              <w:widowControl/>
              <w:jc w:val="right"/>
              <w:rPr>
                <w:rFonts w:ascii="Arial Narrow" w:hAnsi="Arial Narrow" w:cs="Arial"/>
                <w:kern w:val="0"/>
                <w:szCs w:val="21"/>
              </w:rPr>
            </w:pPr>
          </w:p>
        </w:tc>
        <w:tc>
          <w:tcPr>
            <w:tcW w:w="1504" w:type="dxa"/>
            <w:vAlign w:val="center"/>
          </w:tcPr>
          <w:p w:rsidR="00851B9D" w:rsidRPr="000A5B5D" w:rsidRDefault="00851B9D" w:rsidP="00851B9D">
            <w:pPr>
              <w:widowControl/>
              <w:jc w:val="right"/>
              <w:rPr>
                <w:rFonts w:ascii="Arial Narrow" w:hAnsi="Arial Narrow" w:cs="Arial"/>
                <w:kern w:val="0"/>
                <w:szCs w:val="21"/>
              </w:rPr>
            </w:pPr>
          </w:p>
        </w:tc>
        <w:tc>
          <w:tcPr>
            <w:tcW w:w="1313"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3808"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海南逸盛石化有限公司</w:t>
            </w:r>
          </w:p>
        </w:tc>
        <w:tc>
          <w:tcPr>
            <w:tcW w:w="139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285,000.00</w:t>
            </w:r>
          </w:p>
        </w:tc>
        <w:tc>
          <w:tcPr>
            <w:tcW w:w="119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5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313"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r w:rsidR="00851B9D" w:rsidRPr="000A5B5D" w:rsidTr="00851B9D">
        <w:trPr>
          <w:trHeight w:val="397"/>
        </w:trPr>
        <w:tc>
          <w:tcPr>
            <w:tcW w:w="3808"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其他应收款：</w:t>
            </w:r>
          </w:p>
        </w:tc>
        <w:tc>
          <w:tcPr>
            <w:tcW w:w="1395" w:type="dxa"/>
            <w:vAlign w:val="center"/>
          </w:tcPr>
          <w:p w:rsidR="00851B9D" w:rsidRPr="000A5B5D" w:rsidRDefault="00851B9D" w:rsidP="00851B9D">
            <w:pPr>
              <w:widowControl/>
              <w:jc w:val="right"/>
              <w:rPr>
                <w:rFonts w:ascii="Arial Narrow" w:hAnsi="Arial Narrow" w:cs="Arial"/>
                <w:kern w:val="0"/>
                <w:szCs w:val="21"/>
              </w:rPr>
            </w:pPr>
          </w:p>
        </w:tc>
        <w:tc>
          <w:tcPr>
            <w:tcW w:w="1194" w:type="dxa"/>
            <w:vAlign w:val="center"/>
          </w:tcPr>
          <w:p w:rsidR="00851B9D" w:rsidRPr="000A5B5D" w:rsidRDefault="00851B9D" w:rsidP="00851B9D">
            <w:pPr>
              <w:widowControl/>
              <w:jc w:val="right"/>
              <w:rPr>
                <w:rFonts w:ascii="Arial Narrow" w:hAnsi="Arial Narrow" w:cs="Arial"/>
                <w:kern w:val="0"/>
                <w:szCs w:val="21"/>
              </w:rPr>
            </w:pPr>
          </w:p>
        </w:tc>
        <w:tc>
          <w:tcPr>
            <w:tcW w:w="1504" w:type="dxa"/>
            <w:vAlign w:val="center"/>
          </w:tcPr>
          <w:p w:rsidR="00851B9D" w:rsidRPr="000A5B5D" w:rsidRDefault="00851B9D" w:rsidP="00851B9D">
            <w:pPr>
              <w:widowControl/>
              <w:jc w:val="right"/>
              <w:rPr>
                <w:rFonts w:ascii="Arial Narrow" w:hAnsi="Arial Narrow" w:cs="Arial"/>
                <w:kern w:val="0"/>
                <w:szCs w:val="21"/>
              </w:rPr>
            </w:pPr>
          </w:p>
        </w:tc>
        <w:tc>
          <w:tcPr>
            <w:tcW w:w="1313"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3808"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浙江巴陵恒逸己内酰胺有限责任公司</w:t>
            </w:r>
          </w:p>
        </w:tc>
        <w:tc>
          <w:tcPr>
            <w:tcW w:w="139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19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150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6,600.00 </w:t>
            </w:r>
          </w:p>
        </w:tc>
        <w:tc>
          <w:tcPr>
            <w:tcW w:w="1313"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bl>
    <w:p w:rsidR="00851B9D" w:rsidRPr="000A5B5D" w:rsidRDefault="00851B9D" w:rsidP="00851B9D">
      <w:pPr>
        <w:spacing w:line="400" w:lineRule="exact"/>
        <w:ind w:left="482"/>
        <w:rPr>
          <w:rFonts w:ascii="Arial" w:hAnsi="Arial" w:cs="Arial"/>
          <w:sz w:val="24"/>
          <w:szCs w:val="24"/>
        </w:rPr>
      </w:pPr>
      <w:r w:rsidRPr="000A5B5D">
        <w:rPr>
          <w:rFonts w:ascii="Arial" w:hAnsi="Arial" w:cs="Arial" w:hint="eastAsia"/>
          <w:sz w:val="24"/>
          <w:szCs w:val="24"/>
        </w:rPr>
        <w:t>（</w:t>
      </w:r>
      <w:r w:rsidRPr="000A5B5D">
        <w:rPr>
          <w:rFonts w:ascii="Arial" w:hAnsi="Arial" w:cs="Arial"/>
          <w:sz w:val="24"/>
          <w:szCs w:val="24"/>
        </w:rPr>
        <w:t>2</w:t>
      </w:r>
      <w:r w:rsidRPr="000A5B5D">
        <w:rPr>
          <w:rFonts w:ascii="Arial" w:hAnsi="Arial" w:cs="Arial" w:hint="eastAsia"/>
          <w:sz w:val="24"/>
          <w:szCs w:val="24"/>
        </w:rPr>
        <w:t>）应付项目</w:t>
      </w:r>
    </w:p>
    <w:tbl>
      <w:tblPr>
        <w:tblW w:w="9242"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795"/>
        <w:gridCol w:w="2612"/>
        <w:gridCol w:w="2835"/>
      </w:tblGrid>
      <w:tr w:rsidR="00851B9D" w:rsidRPr="000A5B5D" w:rsidTr="00851B9D">
        <w:trPr>
          <w:trHeight w:val="397"/>
          <w:tblHeader/>
        </w:trPr>
        <w:tc>
          <w:tcPr>
            <w:tcW w:w="379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项目名称</w:t>
            </w:r>
          </w:p>
        </w:tc>
        <w:tc>
          <w:tcPr>
            <w:tcW w:w="261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83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3795"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应付账款：</w:t>
            </w:r>
          </w:p>
        </w:tc>
        <w:tc>
          <w:tcPr>
            <w:tcW w:w="2612" w:type="dxa"/>
            <w:vAlign w:val="center"/>
          </w:tcPr>
          <w:p w:rsidR="00851B9D" w:rsidRPr="000A5B5D" w:rsidRDefault="00851B9D" w:rsidP="00851B9D">
            <w:pPr>
              <w:widowControl/>
              <w:jc w:val="right"/>
              <w:rPr>
                <w:rFonts w:ascii="Arial Narrow" w:hAnsi="Arial Narrow" w:cs="Arial"/>
                <w:kern w:val="0"/>
                <w:szCs w:val="21"/>
              </w:rPr>
            </w:pPr>
          </w:p>
        </w:tc>
        <w:tc>
          <w:tcPr>
            <w:tcW w:w="2835"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3795"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海南逸盛石化有限公司</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19,428,877.47</w:t>
            </w:r>
          </w:p>
        </w:tc>
      </w:tr>
      <w:tr w:rsidR="00851B9D" w:rsidRPr="000A5B5D" w:rsidTr="00851B9D">
        <w:trPr>
          <w:trHeight w:val="397"/>
        </w:trPr>
        <w:tc>
          <w:tcPr>
            <w:tcW w:w="3795"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宁波恒逸物流有限公司</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10,074,758.81</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2,955,610.04</w:t>
            </w:r>
          </w:p>
        </w:tc>
      </w:tr>
      <w:tr w:rsidR="00851B9D" w:rsidRPr="000A5B5D" w:rsidTr="00851B9D">
        <w:trPr>
          <w:trHeight w:val="397"/>
        </w:trPr>
        <w:tc>
          <w:tcPr>
            <w:tcW w:w="3795"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浙江巴陵恒逸己内酰胺有限责任公司</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4,016,099.00</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21,518,107.58</w:t>
            </w:r>
          </w:p>
        </w:tc>
      </w:tr>
      <w:tr w:rsidR="00851B9D" w:rsidRPr="000A5B5D" w:rsidTr="00851B9D">
        <w:trPr>
          <w:trHeight w:val="397"/>
        </w:trPr>
        <w:tc>
          <w:tcPr>
            <w:tcW w:w="37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浙江恒逸物流有限公司</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13,436,107.07</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8,486,838.53</w:t>
            </w:r>
          </w:p>
        </w:tc>
      </w:tr>
      <w:tr w:rsidR="00851B9D" w:rsidRPr="000A5B5D" w:rsidTr="00851B9D">
        <w:trPr>
          <w:trHeight w:val="397"/>
        </w:trPr>
        <w:tc>
          <w:tcPr>
            <w:tcW w:w="3795"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27,526,964.88</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52,389,433.62 </w:t>
            </w:r>
          </w:p>
        </w:tc>
      </w:tr>
      <w:tr w:rsidR="00851B9D" w:rsidRPr="000A5B5D" w:rsidTr="00851B9D">
        <w:trPr>
          <w:trHeight w:val="397"/>
        </w:trPr>
        <w:tc>
          <w:tcPr>
            <w:tcW w:w="3795"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预收款项：</w:t>
            </w:r>
          </w:p>
        </w:tc>
        <w:tc>
          <w:tcPr>
            <w:tcW w:w="2612" w:type="dxa"/>
            <w:vAlign w:val="center"/>
          </w:tcPr>
          <w:p w:rsidR="00851B9D" w:rsidRPr="000A5B5D" w:rsidRDefault="00851B9D" w:rsidP="00851B9D">
            <w:pPr>
              <w:widowControl/>
              <w:jc w:val="right"/>
              <w:rPr>
                <w:rFonts w:ascii="Arial Narrow" w:hAnsi="Arial Narrow" w:cs="Arial"/>
                <w:kern w:val="0"/>
                <w:szCs w:val="21"/>
              </w:rPr>
            </w:pPr>
          </w:p>
        </w:tc>
        <w:tc>
          <w:tcPr>
            <w:tcW w:w="2835"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3795"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杭州萧山合和纺织有限公司</w:t>
            </w:r>
          </w:p>
        </w:tc>
        <w:tc>
          <w:tcPr>
            <w:tcW w:w="2612"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815,948.15</w:t>
            </w:r>
          </w:p>
        </w:tc>
        <w:tc>
          <w:tcPr>
            <w:tcW w:w="2835"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174,339.17 </w:t>
            </w:r>
          </w:p>
        </w:tc>
      </w:tr>
      <w:tr w:rsidR="00851B9D" w:rsidRPr="000A5B5D" w:rsidTr="00851B9D">
        <w:trPr>
          <w:trHeight w:val="397"/>
        </w:trPr>
        <w:tc>
          <w:tcPr>
            <w:tcW w:w="3795"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其他应付款：</w:t>
            </w:r>
          </w:p>
        </w:tc>
        <w:tc>
          <w:tcPr>
            <w:tcW w:w="2612" w:type="dxa"/>
            <w:vAlign w:val="center"/>
          </w:tcPr>
          <w:p w:rsidR="00851B9D" w:rsidRPr="000A5B5D" w:rsidRDefault="00851B9D" w:rsidP="00851B9D">
            <w:pPr>
              <w:widowControl/>
              <w:jc w:val="right"/>
              <w:rPr>
                <w:rFonts w:ascii="Arial Narrow" w:hAnsi="Arial Narrow" w:cs="Arial"/>
                <w:kern w:val="0"/>
                <w:szCs w:val="21"/>
              </w:rPr>
            </w:pPr>
          </w:p>
        </w:tc>
        <w:tc>
          <w:tcPr>
            <w:tcW w:w="2835" w:type="dxa"/>
            <w:vAlign w:val="center"/>
          </w:tcPr>
          <w:p w:rsidR="00851B9D" w:rsidRPr="000A5B5D" w:rsidRDefault="00851B9D" w:rsidP="00851B9D">
            <w:pPr>
              <w:widowControl/>
              <w:jc w:val="right"/>
              <w:rPr>
                <w:rFonts w:ascii="Arial Narrow" w:hAnsi="Arial Narrow" w:cs="Arial"/>
                <w:kern w:val="0"/>
                <w:szCs w:val="21"/>
              </w:rPr>
            </w:pPr>
          </w:p>
        </w:tc>
      </w:tr>
      <w:tr w:rsidR="00851B9D" w:rsidRPr="000A5B5D" w:rsidTr="00851B9D">
        <w:trPr>
          <w:trHeight w:val="397"/>
        </w:trPr>
        <w:tc>
          <w:tcPr>
            <w:tcW w:w="3795"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kern w:val="0"/>
                <w:szCs w:val="21"/>
              </w:rPr>
              <w:t>浙江恒逸物流有限公司</w:t>
            </w:r>
          </w:p>
        </w:tc>
        <w:tc>
          <w:tcPr>
            <w:tcW w:w="2612"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100.00</w:t>
            </w:r>
          </w:p>
        </w:tc>
        <w:tc>
          <w:tcPr>
            <w:tcW w:w="2835"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r>
    </w:tbl>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股份支付</w:t>
      </w:r>
    </w:p>
    <w:p w:rsidR="00851B9D" w:rsidRPr="000A5B5D" w:rsidRDefault="00851B9D" w:rsidP="00851B9D">
      <w:pPr>
        <w:pStyle w:val="10"/>
        <w:numPr>
          <w:ilvl w:val="0"/>
          <w:numId w:val="6"/>
        </w:numPr>
        <w:spacing w:line="400" w:lineRule="exact"/>
        <w:ind w:left="0" w:firstLineChars="0" w:firstLine="504"/>
        <w:outlineLvl w:val="1"/>
        <w:rPr>
          <w:rFonts w:ascii="Arial" w:hAnsi="Arial" w:cs="Arial"/>
          <w:b/>
          <w:sz w:val="24"/>
        </w:rPr>
      </w:pPr>
      <w:r w:rsidRPr="000A5B5D">
        <w:rPr>
          <w:rFonts w:ascii="Arial" w:hAnsi="Arial" w:cs="Arial" w:hint="eastAsia"/>
          <w:b/>
          <w:sz w:val="24"/>
        </w:rPr>
        <w:t>股份支付总体情况</w:t>
      </w:r>
    </w:p>
    <w:tbl>
      <w:tblPr>
        <w:tblW w:w="9214" w:type="dxa"/>
        <w:jc w:val="center"/>
        <w:tblBorders>
          <w:top w:val="single" w:sz="12" w:space="0" w:color="auto"/>
          <w:bottom w:val="single" w:sz="12" w:space="0" w:color="auto"/>
          <w:insideH w:val="dotted" w:sz="4" w:space="0" w:color="auto"/>
          <w:insideV w:val="dotted" w:sz="4" w:space="0" w:color="auto"/>
        </w:tblBorders>
        <w:tblLook w:val="0000" w:firstRow="0" w:lastRow="0" w:firstColumn="0" w:lastColumn="0" w:noHBand="0" w:noVBand="0"/>
      </w:tblPr>
      <w:tblGrid>
        <w:gridCol w:w="6486"/>
        <w:gridCol w:w="2728"/>
      </w:tblGrid>
      <w:tr w:rsidR="00851B9D" w:rsidRPr="000A5B5D" w:rsidTr="00851B9D">
        <w:trPr>
          <w:trHeight w:val="525"/>
          <w:tblHeader/>
          <w:jc w:val="center"/>
        </w:trPr>
        <w:tc>
          <w:tcPr>
            <w:tcW w:w="6486" w:type="dxa"/>
            <w:tcBorders>
              <w:top w:val="single" w:sz="12" w:space="0" w:color="auto"/>
            </w:tcBorders>
            <w:vAlign w:val="center"/>
          </w:tcPr>
          <w:p w:rsidR="00851B9D" w:rsidRPr="000A5B5D" w:rsidRDefault="00851B9D" w:rsidP="00851B9D">
            <w:pPr>
              <w:widowControl/>
              <w:spacing w:line="400" w:lineRule="exact"/>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728" w:type="dxa"/>
            <w:tcBorders>
              <w:top w:val="single" w:sz="12" w:space="0" w:color="auto"/>
            </w:tcBorders>
            <w:vAlign w:val="center"/>
          </w:tcPr>
          <w:p w:rsidR="00851B9D" w:rsidRPr="000A5B5D" w:rsidRDefault="00851B9D" w:rsidP="00851B9D">
            <w:pPr>
              <w:widowControl/>
              <w:spacing w:line="400" w:lineRule="exact"/>
              <w:jc w:val="center"/>
              <w:rPr>
                <w:rFonts w:ascii="Arial Narrow" w:hAnsi="Arial Narrow" w:cs="Arial"/>
                <w:kern w:val="0"/>
                <w:szCs w:val="21"/>
              </w:rPr>
            </w:pPr>
            <w:r w:rsidRPr="000A5B5D">
              <w:rPr>
                <w:rFonts w:ascii="Arial Narrow" w:hAnsi="Arial Narrow" w:cs="Arial" w:hint="eastAsia"/>
                <w:kern w:val="0"/>
                <w:szCs w:val="21"/>
              </w:rPr>
              <w:t>相关内容</w:t>
            </w:r>
          </w:p>
        </w:tc>
      </w:tr>
      <w:tr w:rsidR="00851B9D" w:rsidRPr="000A5B5D" w:rsidTr="00851B9D">
        <w:trPr>
          <w:trHeight w:val="360"/>
          <w:jc w:val="center"/>
        </w:trPr>
        <w:tc>
          <w:tcPr>
            <w:tcW w:w="6486" w:type="dxa"/>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t>公司本年授予的各项权益工具总额</w:t>
            </w:r>
          </w:p>
        </w:tc>
        <w:tc>
          <w:tcPr>
            <w:tcW w:w="2728" w:type="dxa"/>
            <w:vAlign w:val="center"/>
          </w:tcPr>
          <w:p w:rsidR="00851B9D" w:rsidRPr="000A5B5D" w:rsidRDefault="00851B9D" w:rsidP="00851B9D">
            <w:pPr>
              <w:widowControl/>
              <w:spacing w:line="400" w:lineRule="exact"/>
              <w:jc w:val="right"/>
              <w:rPr>
                <w:rFonts w:ascii="Arial Narrow" w:hAnsi="Arial Narrow" w:cs="Arial"/>
                <w:szCs w:val="21"/>
              </w:rPr>
            </w:pPr>
            <w:r w:rsidRPr="000A5B5D">
              <w:rPr>
                <w:rFonts w:ascii="Arial Narrow" w:hAnsi="Arial Narrow" w:cs="Arial"/>
                <w:szCs w:val="21"/>
              </w:rPr>
              <w:t xml:space="preserve">11,700,000.00                               </w:t>
            </w:r>
          </w:p>
        </w:tc>
      </w:tr>
      <w:tr w:rsidR="00851B9D" w:rsidRPr="000A5B5D" w:rsidTr="00851B9D">
        <w:trPr>
          <w:trHeight w:val="360"/>
          <w:jc w:val="center"/>
        </w:trPr>
        <w:tc>
          <w:tcPr>
            <w:tcW w:w="6486" w:type="dxa"/>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t>公司本年行权的各项权益工具总额</w:t>
            </w:r>
          </w:p>
        </w:tc>
        <w:tc>
          <w:tcPr>
            <w:tcW w:w="2728" w:type="dxa"/>
            <w:vAlign w:val="center"/>
          </w:tcPr>
          <w:p w:rsidR="00851B9D" w:rsidRPr="000A5B5D" w:rsidRDefault="00851B9D" w:rsidP="00851B9D">
            <w:pPr>
              <w:widowControl/>
              <w:spacing w:line="400" w:lineRule="exact"/>
              <w:jc w:val="right"/>
              <w:rPr>
                <w:rFonts w:ascii="Arial Narrow" w:hAnsi="Arial Narrow" w:cs="Arial"/>
                <w:szCs w:val="21"/>
              </w:rPr>
            </w:pPr>
            <w:r w:rsidRPr="000A5B5D">
              <w:rPr>
                <w:rFonts w:ascii="Arial Narrow" w:hAnsi="Arial Narrow" w:cs="Arial"/>
                <w:szCs w:val="21"/>
              </w:rPr>
              <w:t xml:space="preserve">      0.00</w:t>
            </w:r>
          </w:p>
        </w:tc>
      </w:tr>
      <w:tr w:rsidR="00851B9D" w:rsidRPr="000A5B5D" w:rsidTr="00851B9D">
        <w:trPr>
          <w:trHeight w:val="360"/>
          <w:jc w:val="center"/>
        </w:trPr>
        <w:tc>
          <w:tcPr>
            <w:tcW w:w="6486" w:type="dxa"/>
            <w:vAlign w:val="center"/>
          </w:tcPr>
          <w:p w:rsidR="00851B9D" w:rsidRPr="000A5B5D" w:rsidRDefault="00851B9D" w:rsidP="00851B9D">
            <w:pPr>
              <w:widowControl/>
              <w:spacing w:line="400" w:lineRule="exact"/>
              <w:rPr>
                <w:rFonts w:ascii="Arial Narrow" w:hAnsi="Arial Narrow" w:cs="Arial"/>
                <w:kern w:val="0"/>
                <w:szCs w:val="21"/>
              </w:rPr>
            </w:pPr>
            <w:r w:rsidRPr="000A5B5D">
              <w:rPr>
                <w:rFonts w:ascii="Arial Narrow" w:hAnsi="Arial Narrow" w:cs="Arial" w:hint="eastAsia"/>
                <w:kern w:val="0"/>
                <w:szCs w:val="21"/>
              </w:rPr>
              <w:t>公司本年失效的各项权益工具总额</w:t>
            </w:r>
          </w:p>
        </w:tc>
        <w:tc>
          <w:tcPr>
            <w:tcW w:w="2728" w:type="dxa"/>
            <w:vAlign w:val="center"/>
          </w:tcPr>
          <w:p w:rsidR="00851B9D" w:rsidRPr="000A5B5D" w:rsidRDefault="00851B9D" w:rsidP="00851B9D">
            <w:pPr>
              <w:widowControl/>
              <w:spacing w:line="400" w:lineRule="exact"/>
              <w:jc w:val="right"/>
              <w:rPr>
                <w:rFonts w:ascii="Arial Narrow" w:hAnsi="Arial Narrow" w:cs="Arial"/>
                <w:szCs w:val="21"/>
              </w:rPr>
            </w:pPr>
            <w:r w:rsidRPr="000A5B5D">
              <w:rPr>
                <w:rFonts w:ascii="Arial Narrow" w:hAnsi="Arial Narrow" w:cs="Arial"/>
                <w:szCs w:val="21"/>
              </w:rPr>
              <w:t xml:space="preserve">          0.00</w:t>
            </w:r>
          </w:p>
        </w:tc>
      </w:tr>
      <w:tr w:rsidR="00851B9D" w:rsidRPr="000A5B5D" w:rsidTr="00851B9D">
        <w:trPr>
          <w:trHeight w:val="510"/>
          <w:jc w:val="center"/>
        </w:trPr>
        <w:tc>
          <w:tcPr>
            <w:tcW w:w="6486" w:type="dxa"/>
            <w:vAlign w:val="center"/>
          </w:tcPr>
          <w:p w:rsidR="00851B9D" w:rsidRPr="000A5B5D" w:rsidRDefault="00851B9D" w:rsidP="00851B9D">
            <w:pPr>
              <w:widowControl/>
              <w:spacing w:line="320" w:lineRule="exact"/>
              <w:rPr>
                <w:rFonts w:ascii="Arial Narrow" w:hAnsi="Arial Narrow" w:cs="Arial"/>
                <w:kern w:val="0"/>
                <w:szCs w:val="21"/>
              </w:rPr>
            </w:pPr>
            <w:r w:rsidRPr="000A5B5D">
              <w:rPr>
                <w:rFonts w:ascii="Arial Narrow" w:hAnsi="Arial Narrow" w:cs="Arial" w:hint="eastAsia"/>
                <w:kern w:val="0"/>
                <w:szCs w:val="21"/>
              </w:rPr>
              <w:lastRenderedPageBreak/>
              <w:t>公司年末发行在外的股份期权行权价格的范围和合同剩余期限</w:t>
            </w:r>
          </w:p>
        </w:tc>
        <w:tc>
          <w:tcPr>
            <w:tcW w:w="2728" w:type="dxa"/>
            <w:vAlign w:val="center"/>
          </w:tcPr>
          <w:p w:rsidR="00851B9D" w:rsidRPr="000A5B5D" w:rsidRDefault="00851B9D" w:rsidP="00851B9D">
            <w:pPr>
              <w:widowControl/>
              <w:spacing w:line="320" w:lineRule="exact"/>
              <w:jc w:val="right"/>
              <w:rPr>
                <w:rFonts w:ascii="Arial Narrow" w:hAnsi="Arial Narrow" w:cs="Arial"/>
                <w:kern w:val="0"/>
                <w:szCs w:val="21"/>
              </w:rPr>
            </w:pPr>
            <w:r w:rsidRPr="000A5B5D">
              <w:rPr>
                <w:rFonts w:ascii="Arial Narrow" w:hAnsi="Arial Narrow" w:cs="Arial"/>
                <w:kern w:val="0"/>
                <w:szCs w:val="21"/>
              </w:rPr>
              <w:t>——</w:t>
            </w:r>
          </w:p>
        </w:tc>
      </w:tr>
      <w:tr w:rsidR="00851B9D" w:rsidRPr="000A5B5D" w:rsidTr="00851B9D">
        <w:trPr>
          <w:trHeight w:val="495"/>
          <w:jc w:val="center"/>
        </w:trPr>
        <w:tc>
          <w:tcPr>
            <w:tcW w:w="6486" w:type="dxa"/>
            <w:tcBorders>
              <w:bottom w:val="single" w:sz="12" w:space="0" w:color="auto"/>
            </w:tcBorders>
            <w:vAlign w:val="center"/>
          </w:tcPr>
          <w:p w:rsidR="00851B9D" w:rsidRPr="000A5B5D" w:rsidRDefault="00851B9D" w:rsidP="00851B9D">
            <w:pPr>
              <w:widowControl/>
              <w:spacing w:line="320" w:lineRule="exact"/>
              <w:rPr>
                <w:rFonts w:ascii="Arial Narrow" w:hAnsi="Arial Narrow" w:cs="Arial"/>
                <w:kern w:val="0"/>
                <w:szCs w:val="21"/>
              </w:rPr>
            </w:pPr>
            <w:r w:rsidRPr="000A5B5D">
              <w:rPr>
                <w:rFonts w:ascii="Arial Narrow" w:hAnsi="Arial Narrow" w:cs="Arial" w:hint="eastAsia"/>
                <w:kern w:val="0"/>
                <w:szCs w:val="21"/>
              </w:rPr>
              <w:t>公司年末其他权益工具行权价格的范围和合同剩余期限</w:t>
            </w:r>
          </w:p>
        </w:tc>
        <w:tc>
          <w:tcPr>
            <w:tcW w:w="2728" w:type="dxa"/>
            <w:tcBorders>
              <w:bottom w:val="single" w:sz="12" w:space="0" w:color="auto"/>
            </w:tcBorders>
            <w:vAlign w:val="center"/>
          </w:tcPr>
          <w:p w:rsidR="00851B9D" w:rsidRPr="000A5B5D" w:rsidRDefault="00851B9D" w:rsidP="00851B9D">
            <w:pPr>
              <w:widowControl/>
              <w:spacing w:line="320" w:lineRule="exact"/>
              <w:jc w:val="right"/>
              <w:rPr>
                <w:rFonts w:ascii="Arial Narrow" w:hAnsi="Arial Narrow" w:cs="Arial"/>
                <w:kern w:val="0"/>
                <w:szCs w:val="21"/>
              </w:rPr>
            </w:pPr>
            <w:r w:rsidRPr="000A5B5D">
              <w:rPr>
                <w:rFonts w:ascii="Arial Narrow" w:hAnsi="Arial Narrow" w:cs="Arial"/>
                <w:kern w:val="0"/>
                <w:szCs w:val="21"/>
              </w:rPr>
              <w:t>——</w:t>
            </w:r>
          </w:p>
        </w:tc>
      </w:tr>
    </w:tbl>
    <w:p w:rsidR="00851B9D" w:rsidRPr="000A5B5D" w:rsidRDefault="00851B9D" w:rsidP="00851B9D">
      <w:pPr>
        <w:tabs>
          <w:tab w:val="left" w:pos="8820"/>
          <w:tab w:val="left" w:pos="9000"/>
        </w:tabs>
        <w:spacing w:line="400" w:lineRule="exact"/>
        <w:ind w:firstLineChars="200" w:firstLine="480"/>
        <w:rPr>
          <w:rFonts w:ascii="Arial" w:hAnsi="Arial" w:cs="Arial"/>
          <w:sz w:val="24"/>
        </w:rPr>
      </w:pPr>
      <w:r w:rsidRPr="000A5B5D">
        <w:rPr>
          <w:rFonts w:ascii="Arial" w:hAnsi="Arial" w:cs="Arial" w:hint="eastAsia"/>
          <w:sz w:val="24"/>
        </w:rPr>
        <w:t>本公司本年实施了第一期限制性股票激励计划（以下称</w:t>
      </w:r>
      <w:r w:rsidRPr="000A5B5D">
        <w:rPr>
          <w:rFonts w:ascii="Arial" w:hAnsi="Arial" w:cs="Arial"/>
          <w:sz w:val="24"/>
        </w:rPr>
        <w:t>“</w:t>
      </w:r>
      <w:r w:rsidRPr="000A5B5D">
        <w:rPr>
          <w:rFonts w:ascii="Arial" w:hAnsi="Arial" w:cs="Arial" w:hint="eastAsia"/>
          <w:sz w:val="24"/>
        </w:rPr>
        <w:t>本计划</w:t>
      </w:r>
      <w:r w:rsidRPr="000A5B5D">
        <w:rPr>
          <w:rFonts w:ascii="Arial" w:hAnsi="Arial" w:cs="Arial"/>
          <w:sz w:val="24"/>
        </w:rPr>
        <w:t>”</w:t>
      </w:r>
      <w:r w:rsidRPr="000A5B5D">
        <w:rPr>
          <w:rFonts w:ascii="Arial" w:hAnsi="Arial" w:cs="Arial" w:hint="eastAsia"/>
          <w:sz w:val="24"/>
        </w:rPr>
        <w:t>或</w:t>
      </w:r>
      <w:r w:rsidRPr="000A5B5D">
        <w:rPr>
          <w:rFonts w:ascii="Arial" w:hAnsi="Arial" w:cs="Arial"/>
          <w:sz w:val="24"/>
        </w:rPr>
        <w:t>“</w:t>
      </w:r>
      <w:r w:rsidRPr="000A5B5D">
        <w:rPr>
          <w:rFonts w:ascii="Arial" w:hAnsi="Arial" w:cs="Arial" w:hint="eastAsia"/>
          <w:sz w:val="24"/>
        </w:rPr>
        <w:t>本激励计划</w:t>
      </w:r>
      <w:r w:rsidRPr="000A5B5D">
        <w:rPr>
          <w:rFonts w:ascii="Arial" w:hAnsi="Arial" w:cs="Arial"/>
          <w:sz w:val="24"/>
        </w:rPr>
        <w:t>”</w:t>
      </w:r>
      <w:r w:rsidRPr="000A5B5D">
        <w:rPr>
          <w:rFonts w:ascii="Arial" w:hAnsi="Arial" w:cs="Arial" w:hint="eastAsia"/>
          <w:sz w:val="24"/>
        </w:rPr>
        <w:t>），以</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8</w:t>
      </w:r>
      <w:r w:rsidRPr="000A5B5D">
        <w:rPr>
          <w:rFonts w:ascii="Arial" w:hAnsi="Arial" w:cs="Arial" w:hint="eastAsia"/>
          <w:sz w:val="24"/>
        </w:rPr>
        <w:t>月</w:t>
      </w:r>
      <w:r w:rsidRPr="000A5B5D">
        <w:rPr>
          <w:rFonts w:ascii="Arial" w:hAnsi="Arial" w:cs="Arial"/>
          <w:sz w:val="24"/>
        </w:rPr>
        <w:t>25</w:t>
      </w:r>
      <w:r w:rsidRPr="000A5B5D">
        <w:rPr>
          <w:rFonts w:ascii="Arial" w:hAnsi="Arial" w:cs="Arial" w:hint="eastAsia"/>
          <w:sz w:val="24"/>
        </w:rPr>
        <w:t>日为授予日，以定向发行的方式向</w:t>
      </w:r>
      <w:r w:rsidRPr="000A5B5D">
        <w:rPr>
          <w:rFonts w:ascii="Arial" w:hAnsi="Arial" w:cs="Arial"/>
          <w:sz w:val="24"/>
        </w:rPr>
        <w:t>15</w:t>
      </w:r>
      <w:r w:rsidRPr="000A5B5D">
        <w:rPr>
          <w:rFonts w:ascii="Arial" w:hAnsi="Arial" w:cs="Arial" w:hint="eastAsia"/>
          <w:sz w:val="24"/>
        </w:rPr>
        <w:t>名激励对象授予</w:t>
      </w:r>
      <w:r w:rsidRPr="000A5B5D">
        <w:rPr>
          <w:rFonts w:ascii="Arial" w:hAnsi="Arial" w:cs="Arial"/>
          <w:sz w:val="24"/>
        </w:rPr>
        <w:t>1,170</w:t>
      </w:r>
      <w:r w:rsidRPr="000A5B5D">
        <w:rPr>
          <w:rFonts w:ascii="Arial" w:hAnsi="Arial" w:cs="Arial" w:hint="eastAsia"/>
          <w:sz w:val="24"/>
        </w:rPr>
        <w:t>万股限制性股票，每股面值</w:t>
      </w:r>
      <w:r w:rsidRPr="000A5B5D">
        <w:rPr>
          <w:rFonts w:ascii="Arial" w:hAnsi="Arial" w:cs="Arial"/>
          <w:sz w:val="24"/>
        </w:rPr>
        <w:t>1</w:t>
      </w:r>
      <w:r w:rsidRPr="000A5B5D">
        <w:rPr>
          <w:rFonts w:ascii="Arial" w:hAnsi="Arial" w:cs="Arial" w:hint="eastAsia"/>
          <w:sz w:val="24"/>
        </w:rPr>
        <w:t>元，限制性股票授予价格为每股</w:t>
      </w:r>
      <w:r w:rsidRPr="000A5B5D">
        <w:rPr>
          <w:rFonts w:ascii="Arial" w:hAnsi="Arial" w:cs="Arial"/>
          <w:sz w:val="24"/>
        </w:rPr>
        <w:t>5.35</w:t>
      </w:r>
      <w:r w:rsidRPr="000A5B5D">
        <w:rPr>
          <w:rFonts w:ascii="Arial" w:hAnsi="Arial" w:cs="Arial" w:hint="eastAsia"/>
          <w:sz w:val="24"/>
        </w:rPr>
        <w:t>元。</w:t>
      </w:r>
    </w:p>
    <w:p w:rsidR="00851B9D" w:rsidRPr="000A5B5D" w:rsidRDefault="00851B9D" w:rsidP="00851B9D">
      <w:pPr>
        <w:tabs>
          <w:tab w:val="left" w:pos="8820"/>
          <w:tab w:val="left" w:pos="9000"/>
        </w:tabs>
        <w:spacing w:line="400" w:lineRule="exact"/>
        <w:ind w:firstLineChars="200" w:firstLine="480"/>
        <w:rPr>
          <w:rFonts w:ascii="Arial" w:hAnsi="Arial" w:cs="Arial"/>
          <w:sz w:val="24"/>
        </w:rPr>
      </w:pPr>
      <w:r w:rsidRPr="000A5B5D">
        <w:rPr>
          <w:rFonts w:ascii="Arial" w:hAnsi="Arial" w:cs="Arial" w:hint="eastAsia"/>
          <w:sz w:val="24"/>
        </w:rPr>
        <w:t>本计划的有效期为限制性股票授予之日起</w:t>
      </w:r>
      <w:r w:rsidRPr="000A5B5D">
        <w:rPr>
          <w:rFonts w:ascii="Arial" w:hAnsi="Arial" w:cs="Arial"/>
          <w:sz w:val="24"/>
        </w:rPr>
        <w:t>5</w:t>
      </w:r>
      <w:r w:rsidRPr="000A5B5D">
        <w:rPr>
          <w:rFonts w:ascii="Arial" w:hAnsi="Arial" w:cs="Arial" w:hint="eastAsia"/>
          <w:sz w:val="24"/>
        </w:rPr>
        <w:t>年。本激励计划授予的限制性股票自授予之日起</w:t>
      </w:r>
      <w:r w:rsidRPr="000A5B5D">
        <w:rPr>
          <w:rFonts w:ascii="Arial" w:hAnsi="Arial" w:cs="Arial"/>
          <w:sz w:val="24"/>
        </w:rPr>
        <w:t>12</w:t>
      </w:r>
      <w:r w:rsidRPr="000A5B5D">
        <w:rPr>
          <w:rFonts w:ascii="Arial" w:hAnsi="Arial" w:cs="Arial" w:hint="eastAsia"/>
          <w:sz w:val="24"/>
        </w:rPr>
        <w:t>个月内为锁定期。授予限制性股票的解锁安排如表所示：</w:t>
      </w:r>
      <w:r w:rsidRPr="000A5B5D">
        <w:rPr>
          <w:rFonts w:ascii="Arial" w:hAnsi="Arial" w:cs="Arial"/>
          <w:sz w:val="24"/>
        </w:rPr>
        <w:t xml:space="preserve"> </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5528"/>
        <w:gridCol w:w="2162"/>
      </w:tblGrid>
      <w:tr w:rsidR="00851B9D" w:rsidRPr="000A5B5D" w:rsidTr="00851B9D">
        <w:trPr>
          <w:trHeight w:val="450"/>
        </w:trPr>
        <w:tc>
          <w:tcPr>
            <w:tcW w:w="1526" w:type="dxa"/>
            <w:tcBorders>
              <w:top w:val="single" w:sz="12" w:space="0" w:color="auto"/>
            </w:tcBorders>
            <w:noWrap/>
            <w:vAlign w:val="center"/>
            <w:hideMark/>
          </w:tcPr>
          <w:p w:rsidR="00851B9D" w:rsidRPr="000A5B5D" w:rsidRDefault="00851B9D" w:rsidP="00851B9D">
            <w:pPr>
              <w:tabs>
                <w:tab w:val="left" w:pos="8820"/>
                <w:tab w:val="left" w:pos="9000"/>
              </w:tabs>
              <w:spacing w:line="276" w:lineRule="auto"/>
              <w:jc w:val="center"/>
              <w:rPr>
                <w:rFonts w:ascii="Arial Narrow" w:hAnsi="Arial Narrow" w:cs="Arial"/>
                <w:b/>
                <w:bCs/>
                <w:szCs w:val="21"/>
              </w:rPr>
            </w:pPr>
            <w:r w:rsidRPr="000A5B5D">
              <w:rPr>
                <w:rFonts w:ascii="Arial Narrow" w:hAnsi="Arial Narrow" w:cs="Arial" w:hint="eastAsia"/>
                <w:b/>
                <w:bCs/>
                <w:szCs w:val="21"/>
              </w:rPr>
              <w:t>解锁安排</w:t>
            </w:r>
          </w:p>
        </w:tc>
        <w:tc>
          <w:tcPr>
            <w:tcW w:w="5528" w:type="dxa"/>
            <w:tcBorders>
              <w:top w:val="single" w:sz="12" w:space="0" w:color="auto"/>
            </w:tcBorders>
            <w:noWrap/>
            <w:vAlign w:val="center"/>
            <w:hideMark/>
          </w:tcPr>
          <w:p w:rsidR="00851B9D" w:rsidRPr="000A5B5D" w:rsidRDefault="00851B9D" w:rsidP="00851B9D">
            <w:pPr>
              <w:tabs>
                <w:tab w:val="left" w:pos="8820"/>
                <w:tab w:val="left" w:pos="9000"/>
              </w:tabs>
              <w:spacing w:line="276" w:lineRule="auto"/>
              <w:ind w:firstLineChars="200" w:firstLine="361"/>
              <w:jc w:val="center"/>
              <w:rPr>
                <w:rFonts w:ascii="Arial Narrow" w:hAnsi="Arial Narrow" w:cs="Arial"/>
                <w:b/>
                <w:bCs/>
                <w:szCs w:val="21"/>
              </w:rPr>
            </w:pPr>
            <w:r w:rsidRPr="000A5B5D">
              <w:rPr>
                <w:rFonts w:ascii="Arial Narrow" w:hAnsi="Arial Narrow" w:cs="Arial" w:hint="eastAsia"/>
                <w:b/>
                <w:bCs/>
                <w:szCs w:val="21"/>
              </w:rPr>
              <w:t>解锁时间</w:t>
            </w:r>
          </w:p>
        </w:tc>
        <w:tc>
          <w:tcPr>
            <w:tcW w:w="2162" w:type="dxa"/>
            <w:tcBorders>
              <w:top w:val="single" w:sz="12" w:space="0" w:color="auto"/>
            </w:tcBorders>
            <w:vAlign w:val="center"/>
            <w:hideMark/>
          </w:tcPr>
          <w:p w:rsidR="00851B9D" w:rsidRPr="000A5B5D" w:rsidRDefault="00851B9D" w:rsidP="00851B9D">
            <w:pPr>
              <w:tabs>
                <w:tab w:val="left" w:pos="8820"/>
                <w:tab w:val="left" w:pos="9000"/>
              </w:tabs>
              <w:spacing w:line="276" w:lineRule="auto"/>
              <w:ind w:firstLine="422"/>
              <w:jc w:val="center"/>
              <w:rPr>
                <w:rFonts w:ascii="Arial Narrow" w:hAnsi="Arial Narrow" w:cs="Arial"/>
                <w:b/>
                <w:bCs/>
                <w:szCs w:val="21"/>
              </w:rPr>
            </w:pPr>
            <w:r w:rsidRPr="000A5B5D">
              <w:rPr>
                <w:rFonts w:ascii="Arial Narrow" w:hAnsi="Arial Narrow" w:cs="Arial" w:hint="eastAsia"/>
                <w:b/>
                <w:bCs/>
                <w:szCs w:val="21"/>
              </w:rPr>
              <w:t>可解锁数量占限制性股票数量比例</w:t>
            </w:r>
          </w:p>
        </w:tc>
      </w:tr>
      <w:tr w:rsidR="00851B9D" w:rsidRPr="000A5B5D" w:rsidTr="00851B9D">
        <w:trPr>
          <w:trHeight w:val="270"/>
        </w:trPr>
        <w:tc>
          <w:tcPr>
            <w:tcW w:w="1526" w:type="dxa"/>
            <w:noWrap/>
            <w:vAlign w:val="center"/>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第一次解锁</w:t>
            </w:r>
          </w:p>
        </w:tc>
        <w:tc>
          <w:tcPr>
            <w:tcW w:w="5528" w:type="dxa"/>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自首次授予日起满</w:t>
            </w:r>
            <w:r w:rsidRPr="000A5B5D">
              <w:rPr>
                <w:rFonts w:ascii="Arial Narrow" w:hAnsi="Arial Narrow" w:cs="Arial"/>
                <w:szCs w:val="21"/>
              </w:rPr>
              <w:t>12</w:t>
            </w:r>
            <w:r w:rsidRPr="000A5B5D">
              <w:rPr>
                <w:rFonts w:ascii="Arial Narrow" w:hAnsi="Arial Narrow" w:cs="Arial" w:hint="eastAsia"/>
                <w:szCs w:val="21"/>
              </w:rPr>
              <w:t>个月后的首个交易日至首次授予日起</w:t>
            </w:r>
            <w:r w:rsidRPr="000A5B5D">
              <w:rPr>
                <w:rFonts w:ascii="Arial Narrow" w:hAnsi="Arial Narrow" w:cs="Arial"/>
                <w:szCs w:val="21"/>
              </w:rPr>
              <w:t>24</w:t>
            </w:r>
            <w:r w:rsidRPr="000A5B5D">
              <w:rPr>
                <w:rFonts w:ascii="Arial Narrow" w:hAnsi="Arial Narrow" w:cs="Arial" w:hint="eastAsia"/>
                <w:szCs w:val="21"/>
              </w:rPr>
              <w:t>个月内的最后一个交易日止</w:t>
            </w:r>
          </w:p>
        </w:tc>
        <w:tc>
          <w:tcPr>
            <w:tcW w:w="2162" w:type="dxa"/>
            <w:noWrap/>
            <w:vAlign w:val="center"/>
            <w:hideMark/>
          </w:tcPr>
          <w:p w:rsidR="00851B9D" w:rsidRPr="000A5B5D" w:rsidRDefault="00851B9D" w:rsidP="00851B9D">
            <w:pPr>
              <w:tabs>
                <w:tab w:val="left" w:pos="8820"/>
                <w:tab w:val="left" w:pos="9000"/>
              </w:tabs>
              <w:spacing w:line="276" w:lineRule="auto"/>
              <w:ind w:firstLineChars="200" w:firstLine="360"/>
              <w:jc w:val="center"/>
              <w:rPr>
                <w:rFonts w:ascii="Arial Narrow" w:hAnsi="Arial Narrow" w:cs="Arial"/>
                <w:szCs w:val="21"/>
              </w:rPr>
            </w:pPr>
            <w:r w:rsidRPr="000A5B5D">
              <w:rPr>
                <w:rFonts w:ascii="Arial Narrow" w:hAnsi="Arial Narrow" w:cs="Arial"/>
                <w:szCs w:val="21"/>
              </w:rPr>
              <w:t>25%</w:t>
            </w:r>
          </w:p>
        </w:tc>
      </w:tr>
      <w:tr w:rsidR="00851B9D" w:rsidRPr="000A5B5D" w:rsidTr="00851B9D">
        <w:trPr>
          <w:trHeight w:val="270"/>
        </w:trPr>
        <w:tc>
          <w:tcPr>
            <w:tcW w:w="1526" w:type="dxa"/>
            <w:noWrap/>
            <w:vAlign w:val="center"/>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第二次解锁</w:t>
            </w:r>
          </w:p>
        </w:tc>
        <w:tc>
          <w:tcPr>
            <w:tcW w:w="5528" w:type="dxa"/>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自首次授予日起满</w:t>
            </w:r>
            <w:r w:rsidRPr="000A5B5D">
              <w:rPr>
                <w:rFonts w:ascii="Arial Narrow" w:hAnsi="Arial Narrow" w:cs="Arial"/>
                <w:szCs w:val="21"/>
              </w:rPr>
              <w:t>24</w:t>
            </w:r>
            <w:r w:rsidRPr="000A5B5D">
              <w:rPr>
                <w:rFonts w:ascii="Arial Narrow" w:hAnsi="Arial Narrow" w:cs="Arial" w:hint="eastAsia"/>
                <w:szCs w:val="21"/>
              </w:rPr>
              <w:t>个月后的首个交易日至首次授予日起</w:t>
            </w:r>
            <w:r w:rsidRPr="000A5B5D">
              <w:rPr>
                <w:rFonts w:ascii="Arial Narrow" w:hAnsi="Arial Narrow" w:cs="Arial"/>
                <w:szCs w:val="21"/>
              </w:rPr>
              <w:t>36</w:t>
            </w:r>
            <w:r w:rsidRPr="000A5B5D">
              <w:rPr>
                <w:rFonts w:ascii="Arial Narrow" w:hAnsi="Arial Narrow" w:cs="Arial" w:hint="eastAsia"/>
                <w:szCs w:val="21"/>
              </w:rPr>
              <w:t>个月内的最后一个交易日止</w:t>
            </w:r>
          </w:p>
        </w:tc>
        <w:tc>
          <w:tcPr>
            <w:tcW w:w="2162" w:type="dxa"/>
            <w:noWrap/>
            <w:vAlign w:val="center"/>
            <w:hideMark/>
          </w:tcPr>
          <w:p w:rsidR="00851B9D" w:rsidRPr="000A5B5D" w:rsidRDefault="00851B9D" w:rsidP="00851B9D">
            <w:pPr>
              <w:tabs>
                <w:tab w:val="left" w:pos="8820"/>
                <w:tab w:val="left" w:pos="9000"/>
              </w:tabs>
              <w:spacing w:line="276" w:lineRule="auto"/>
              <w:ind w:firstLineChars="200" w:firstLine="360"/>
              <w:jc w:val="center"/>
              <w:rPr>
                <w:rFonts w:ascii="Arial Narrow" w:hAnsi="Arial Narrow" w:cs="Arial"/>
                <w:szCs w:val="21"/>
              </w:rPr>
            </w:pPr>
            <w:r w:rsidRPr="000A5B5D">
              <w:rPr>
                <w:rFonts w:ascii="Arial Narrow" w:hAnsi="Arial Narrow" w:cs="Arial"/>
                <w:szCs w:val="21"/>
              </w:rPr>
              <w:t>25%</w:t>
            </w:r>
          </w:p>
        </w:tc>
      </w:tr>
      <w:tr w:rsidR="00851B9D" w:rsidRPr="000A5B5D" w:rsidTr="00851B9D">
        <w:trPr>
          <w:trHeight w:val="270"/>
        </w:trPr>
        <w:tc>
          <w:tcPr>
            <w:tcW w:w="1526" w:type="dxa"/>
            <w:noWrap/>
            <w:vAlign w:val="center"/>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第三次解锁</w:t>
            </w:r>
          </w:p>
        </w:tc>
        <w:tc>
          <w:tcPr>
            <w:tcW w:w="5528" w:type="dxa"/>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首次授予日起</w:t>
            </w:r>
            <w:r w:rsidRPr="000A5B5D">
              <w:rPr>
                <w:rFonts w:ascii="Arial Narrow" w:hAnsi="Arial Narrow" w:cs="Arial"/>
                <w:szCs w:val="21"/>
              </w:rPr>
              <w:t>36</w:t>
            </w:r>
            <w:r w:rsidRPr="000A5B5D">
              <w:rPr>
                <w:rFonts w:ascii="Arial Narrow" w:hAnsi="Arial Narrow" w:cs="Arial" w:hint="eastAsia"/>
                <w:szCs w:val="21"/>
              </w:rPr>
              <w:t>个月内的最后一个交易日止首次授予日起</w:t>
            </w:r>
            <w:r w:rsidRPr="000A5B5D">
              <w:rPr>
                <w:rFonts w:ascii="Arial Narrow" w:hAnsi="Arial Narrow" w:cs="Arial"/>
                <w:szCs w:val="21"/>
              </w:rPr>
              <w:t>48</w:t>
            </w:r>
            <w:r w:rsidRPr="000A5B5D">
              <w:rPr>
                <w:rFonts w:ascii="Arial Narrow" w:hAnsi="Arial Narrow" w:cs="Arial" w:hint="eastAsia"/>
                <w:szCs w:val="21"/>
              </w:rPr>
              <w:t>个月内的最后一个交易日止</w:t>
            </w:r>
          </w:p>
        </w:tc>
        <w:tc>
          <w:tcPr>
            <w:tcW w:w="2162" w:type="dxa"/>
            <w:noWrap/>
            <w:vAlign w:val="center"/>
            <w:hideMark/>
          </w:tcPr>
          <w:p w:rsidR="00851B9D" w:rsidRPr="000A5B5D" w:rsidRDefault="00851B9D" w:rsidP="00851B9D">
            <w:pPr>
              <w:tabs>
                <w:tab w:val="left" w:pos="8820"/>
                <w:tab w:val="left" w:pos="9000"/>
              </w:tabs>
              <w:spacing w:line="276" w:lineRule="auto"/>
              <w:ind w:firstLineChars="200" w:firstLine="360"/>
              <w:jc w:val="center"/>
              <w:rPr>
                <w:rFonts w:ascii="Arial Narrow" w:hAnsi="Arial Narrow" w:cs="Arial"/>
                <w:szCs w:val="21"/>
              </w:rPr>
            </w:pPr>
            <w:r w:rsidRPr="000A5B5D">
              <w:rPr>
                <w:rFonts w:ascii="Arial Narrow" w:hAnsi="Arial Narrow" w:cs="Arial"/>
                <w:szCs w:val="21"/>
              </w:rPr>
              <w:t>25%</w:t>
            </w:r>
          </w:p>
        </w:tc>
      </w:tr>
      <w:tr w:rsidR="00851B9D" w:rsidRPr="000A5B5D" w:rsidTr="00851B9D">
        <w:trPr>
          <w:trHeight w:val="270"/>
        </w:trPr>
        <w:tc>
          <w:tcPr>
            <w:tcW w:w="1526" w:type="dxa"/>
            <w:tcBorders>
              <w:bottom w:val="single" w:sz="12" w:space="0" w:color="auto"/>
            </w:tcBorders>
            <w:noWrap/>
            <w:vAlign w:val="center"/>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第四次解锁</w:t>
            </w:r>
          </w:p>
        </w:tc>
        <w:tc>
          <w:tcPr>
            <w:tcW w:w="5528" w:type="dxa"/>
            <w:tcBorders>
              <w:bottom w:val="single" w:sz="12" w:space="0" w:color="auto"/>
            </w:tcBorders>
            <w:hideMark/>
          </w:tcPr>
          <w:p w:rsidR="00851B9D" w:rsidRPr="000A5B5D" w:rsidRDefault="00851B9D" w:rsidP="00851B9D">
            <w:pPr>
              <w:tabs>
                <w:tab w:val="left" w:pos="8820"/>
                <w:tab w:val="left" w:pos="9000"/>
              </w:tabs>
              <w:spacing w:line="276" w:lineRule="auto"/>
              <w:rPr>
                <w:rFonts w:ascii="Arial Narrow" w:hAnsi="Arial Narrow" w:cs="Arial"/>
                <w:szCs w:val="21"/>
              </w:rPr>
            </w:pPr>
            <w:r w:rsidRPr="000A5B5D">
              <w:rPr>
                <w:rFonts w:ascii="Arial Narrow" w:hAnsi="Arial Narrow" w:cs="Arial" w:hint="eastAsia"/>
                <w:szCs w:val="21"/>
              </w:rPr>
              <w:t>自首次授予日起满</w:t>
            </w:r>
            <w:r w:rsidRPr="000A5B5D">
              <w:rPr>
                <w:rFonts w:ascii="Arial Narrow" w:hAnsi="Arial Narrow" w:cs="Arial"/>
                <w:szCs w:val="21"/>
              </w:rPr>
              <w:t>48</w:t>
            </w:r>
            <w:r w:rsidRPr="000A5B5D">
              <w:rPr>
                <w:rFonts w:ascii="Arial Narrow" w:hAnsi="Arial Narrow" w:cs="Arial" w:hint="eastAsia"/>
                <w:szCs w:val="21"/>
              </w:rPr>
              <w:t>个月后的首个交易日至首次授予日起</w:t>
            </w:r>
            <w:r w:rsidRPr="000A5B5D">
              <w:rPr>
                <w:rFonts w:ascii="Arial Narrow" w:hAnsi="Arial Narrow" w:cs="Arial"/>
                <w:szCs w:val="21"/>
              </w:rPr>
              <w:t>60</w:t>
            </w:r>
            <w:r w:rsidRPr="000A5B5D">
              <w:rPr>
                <w:rFonts w:ascii="Arial Narrow" w:hAnsi="Arial Narrow" w:cs="Arial" w:hint="eastAsia"/>
                <w:szCs w:val="21"/>
              </w:rPr>
              <w:t>个月内的最后一个交易日止</w:t>
            </w:r>
          </w:p>
        </w:tc>
        <w:tc>
          <w:tcPr>
            <w:tcW w:w="2162" w:type="dxa"/>
            <w:tcBorders>
              <w:bottom w:val="single" w:sz="12" w:space="0" w:color="auto"/>
            </w:tcBorders>
            <w:noWrap/>
            <w:vAlign w:val="center"/>
            <w:hideMark/>
          </w:tcPr>
          <w:p w:rsidR="00851B9D" w:rsidRPr="000A5B5D" w:rsidRDefault="00851B9D" w:rsidP="00851B9D">
            <w:pPr>
              <w:tabs>
                <w:tab w:val="left" w:pos="8820"/>
                <w:tab w:val="left" w:pos="9000"/>
              </w:tabs>
              <w:spacing w:line="276" w:lineRule="auto"/>
              <w:ind w:firstLineChars="200" w:firstLine="360"/>
              <w:jc w:val="center"/>
              <w:rPr>
                <w:rFonts w:ascii="Arial Narrow" w:hAnsi="Arial Narrow" w:cs="Arial"/>
                <w:szCs w:val="21"/>
              </w:rPr>
            </w:pPr>
            <w:r w:rsidRPr="000A5B5D">
              <w:rPr>
                <w:rFonts w:ascii="Arial Narrow" w:hAnsi="Arial Narrow" w:cs="Arial"/>
                <w:szCs w:val="21"/>
              </w:rPr>
              <w:t>25%</w:t>
            </w:r>
          </w:p>
        </w:tc>
      </w:tr>
    </w:tbl>
    <w:p w:rsidR="00851B9D" w:rsidRPr="000A5B5D" w:rsidRDefault="00851B9D" w:rsidP="00851B9D">
      <w:pPr>
        <w:tabs>
          <w:tab w:val="center" w:pos="4740"/>
        </w:tabs>
        <w:spacing w:line="400" w:lineRule="exact"/>
        <w:ind w:firstLineChars="200" w:firstLine="480"/>
        <w:rPr>
          <w:rFonts w:ascii="Arial" w:hAnsi="Arial" w:cs="Arial"/>
          <w:sz w:val="24"/>
        </w:rPr>
      </w:pPr>
      <w:r w:rsidRPr="000A5B5D">
        <w:rPr>
          <w:rFonts w:ascii="Arial" w:hAnsi="Arial" w:cs="Arial" w:hint="eastAsia"/>
          <w:sz w:val="24"/>
        </w:rPr>
        <w:t>本激励计划为附业绩考核条件的权益工具。因公司</w:t>
      </w:r>
      <w:r w:rsidRPr="000A5B5D">
        <w:rPr>
          <w:rFonts w:ascii="Arial" w:hAnsi="Arial" w:cs="Arial"/>
          <w:sz w:val="24"/>
        </w:rPr>
        <w:t>2015</w:t>
      </w:r>
      <w:r w:rsidRPr="000A5B5D">
        <w:rPr>
          <w:rFonts w:ascii="Arial" w:hAnsi="Arial" w:cs="Arial" w:hint="eastAsia"/>
          <w:sz w:val="24"/>
        </w:rPr>
        <w:t>年度未能达到</w:t>
      </w:r>
      <w:r w:rsidRPr="000A5B5D">
        <w:rPr>
          <w:rFonts w:ascii="Arial" w:hAnsi="Arial" w:cs="Arial"/>
          <w:sz w:val="24"/>
        </w:rPr>
        <w:t>“</w:t>
      </w:r>
      <w:r w:rsidRPr="000A5B5D">
        <w:rPr>
          <w:rFonts w:ascii="Arial" w:hAnsi="Arial" w:cs="Arial" w:hint="eastAsia"/>
          <w:sz w:val="24"/>
        </w:rPr>
        <w:t>锁定期内归属于上市公司股东的净利润及归属于上市公司股东的扣除非经常性损益的净利润均不得低于授予日前最近三个会计年度的平均水平且不得为负</w:t>
      </w:r>
      <w:r w:rsidRPr="000A5B5D">
        <w:rPr>
          <w:rFonts w:ascii="Arial" w:hAnsi="Arial" w:cs="Arial"/>
          <w:sz w:val="24"/>
        </w:rPr>
        <w:t>”</w:t>
      </w:r>
      <w:r w:rsidRPr="000A5B5D">
        <w:rPr>
          <w:rFonts w:ascii="Arial" w:hAnsi="Arial" w:cs="Arial" w:hint="eastAsia"/>
          <w:sz w:val="24"/>
        </w:rPr>
        <w:t>的要求，公司第一个解锁期的股票解锁条件不满足，涉及的相关股票不能在第一次解锁时间内解锁，也无法递延到下个年度。</w:t>
      </w:r>
    </w:p>
    <w:p w:rsidR="00851B9D" w:rsidRPr="000A5B5D" w:rsidRDefault="00851B9D" w:rsidP="00851B9D">
      <w:pPr>
        <w:pStyle w:val="10"/>
        <w:numPr>
          <w:ilvl w:val="0"/>
          <w:numId w:val="6"/>
        </w:numPr>
        <w:spacing w:line="400" w:lineRule="exact"/>
        <w:ind w:left="0" w:firstLineChars="0" w:firstLine="420"/>
        <w:outlineLvl w:val="1"/>
        <w:rPr>
          <w:rFonts w:ascii="Arial" w:hAnsi="Arial" w:cs="Arial"/>
          <w:b/>
          <w:sz w:val="24"/>
        </w:rPr>
      </w:pPr>
      <w:r w:rsidRPr="000A5B5D">
        <w:rPr>
          <w:rFonts w:ascii="Arial" w:hAnsi="Arial" w:cs="Arial" w:hint="eastAsia"/>
          <w:b/>
          <w:sz w:val="24"/>
        </w:rPr>
        <w:t>以权益结算的股份支付情况</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4787"/>
        <w:gridCol w:w="4427"/>
      </w:tblGrid>
      <w:tr w:rsidR="00851B9D" w:rsidRPr="000A5B5D" w:rsidTr="00851B9D">
        <w:trPr>
          <w:trHeight w:val="345"/>
          <w:jc w:val="center"/>
        </w:trPr>
        <w:tc>
          <w:tcPr>
            <w:tcW w:w="478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442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相关内容</w:t>
            </w:r>
          </w:p>
        </w:tc>
      </w:tr>
      <w:tr w:rsidR="00851B9D" w:rsidRPr="000A5B5D" w:rsidTr="00851B9D">
        <w:trPr>
          <w:trHeight w:val="345"/>
          <w:jc w:val="center"/>
        </w:trPr>
        <w:tc>
          <w:tcPr>
            <w:tcW w:w="4787"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授予日权益工具公允价值的确定方法</w:t>
            </w:r>
          </w:p>
        </w:tc>
        <w:tc>
          <w:tcPr>
            <w:tcW w:w="442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Black-Scholes</w:t>
            </w:r>
            <w:r w:rsidRPr="000A5B5D">
              <w:rPr>
                <w:rFonts w:ascii="Arial Narrow" w:hAnsi="Arial Narrow" w:cs="Arial" w:hint="eastAsia"/>
                <w:kern w:val="0"/>
                <w:szCs w:val="21"/>
              </w:rPr>
              <w:t>模型</w:t>
            </w:r>
          </w:p>
          <w:p w:rsidR="00851B9D" w:rsidRPr="000A5B5D" w:rsidRDefault="00851B9D" w:rsidP="00851B9D">
            <w:pPr>
              <w:widowControl/>
              <w:ind w:right="7"/>
              <w:jc w:val="right"/>
              <w:rPr>
                <w:rFonts w:ascii="Arial Narrow" w:hAnsi="Arial Narrow" w:cs="Arial"/>
                <w:kern w:val="0"/>
                <w:szCs w:val="21"/>
              </w:rPr>
            </w:pPr>
            <w:r w:rsidRPr="000A5B5D">
              <w:rPr>
                <w:rFonts w:ascii="Arial Narrow" w:hAnsi="Arial Narrow" w:cs="Arial" w:hint="eastAsia"/>
                <w:kern w:val="0"/>
                <w:szCs w:val="21"/>
              </w:rPr>
              <w:t>本次限制性股票的公允价值等于流通股票公允价值剔除限制性因素所带来的折价，即：限制性股票的公允价值</w:t>
            </w:r>
            <w:r w:rsidRPr="000A5B5D">
              <w:rPr>
                <w:rFonts w:ascii="Arial Narrow" w:hAnsi="Arial Narrow" w:cs="Arial"/>
                <w:kern w:val="0"/>
                <w:szCs w:val="21"/>
              </w:rPr>
              <w:t>=</w:t>
            </w:r>
            <w:r w:rsidRPr="000A5B5D">
              <w:rPr>
                <w:rFonts w:ascii="Arial Narrow" w:hAnsi="Arial Narrow" w:cs="Arial" w:hint="eastAsia"/>
                <w:kern w:val="0"/>
                <w:szCs w:val="21"/>
              </w:rPr>
              <w:t>授予日股票收盘价－授予价格－限制性因素折价，限制性因素所带来的折价即激励对象为锁定未来合理预期收益而进行的权证投资成本；因此，本次授予的限制性股票应确认的总成本＝每股限制性股票的公允价值</w:t>
            </w:r>
            <w:r w:rsidRPr="000A5B5D">
              <w:rPr>
                <w:rFonts w:ascii="Arial Narrow" w:hAnsi="Arial Narrow" w:cs="Arial"/>
                <w:kern w:val="0"/>
                <w:szCs w:val="21"/>
              </w:rPr>
              <w:t>*</w:t>
            </w:r>
            <w:r w:rsidRPr="000A5B5D">
              <w:rPr>
                <w:rFonts w:ascii="Arial Narrow" w:hAnsi="Arial Narrow" w:cs="Arial" w:hint="eastAsia"/>
                <w:kern w:val="0"/>
                <w:szCs w:val="21"/>
              </w:rPr>
              <w:t>限制性股票数量。</w:t>
            </w:r>
            <w:r w:rsidRPr="000A5B5D">
              <w:rPr>
                <w:rFonts w:ascii="Arial Narrow" w:hAnsi="Arial Narrow" w:cs="Arial"/>
                <w:kern w:val="0"/>
                <w:szCs w:val="21"/>
              </w:rPr>
              <w:t xml:space="preserve"> </w:t>
            </w:r>
          </w:p>
        </w:tc>
      </w:tr>
      <w:tr w:rsidR="00851B9D" w:rsidRPr="000A5B5D" w:rsidTr="00851B9D">
        <w:trPr>
          <w:trHeight w:val="345"/>
          <w:jc w:val="center"/>
        </w:trPr>
        <w:tc>
          <w:tcPr>
            <w:tcW w:w="4787"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可行权权益工具数量的确定依据</w:t>
            </w:r>
          </w:p>
        </w:tc>
        <w:tc>
          <w:tcPr>
            <w:tcW w:w="442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hint="eastAsia"/>
                <w:kern w:val="0"/>
                <w:szCs w:val="21"/>
              </w:rPr>
              <w:t>根据公司管理层的最佳估计作出</w:t>
            </w:r>
          </w:p>
        </w:tc>
      </w:tr>
      <w:tr w:rsidR="00851B9D" w:rsidRPr="000A5B5D" w:rsidTr="00851B9D">
        <w:trPr>
          <w:trHeight w:val="345"/>
          <w:jc w:val="center"/>
        </w:trPr>
        <w:tc>
          <w:tcPr>
            <w:tcW w:w="4787"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本年估计与上年估计有重大差异的原因</w:t>
            </w:r>
          </w:p>
        </w:tc>
        <w:tc>
          <w:tcPr>
            <w:tcW w:w="442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w:t>
            </w:r>
          </w:p>
        </w:tc>
      </w:tr>
      <w:tr w:rsidR="00851B9D" w:rsidRPr="000A5B5D" w:rsidTr="00851B9D">
        <w:trPr>
          <w:trHeight w:val="345"/>
          <w:jc w:val="center"/>
        </w:trPr>
        <w:tc>
          <w:tcPr>
            <w:tcW w:w="4787" w:type="dxa"/>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lastRenderedPageBreak/>
              <w:t>以权益结算的股份支付计入资本公积的累计金额</w:t>
            </w:r>
          </w:p>
        </w:tc>
        <w:tc>
          <w:tcPr>
            <w:tcW w:w="4427" w:type="dxa"/>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853,125.00</w:t>
            </w:r>
          </w:p>
        </w:tc>
      </w:tr>
      <w:tr w:rsidR="00851B9D" w:rsidRPr="000A5B5D" w:rsidTr="00851B9D">
        <w:trPr>
          <w:trHeight w:val="345"/>
          <w:jc w:val="center"/>
        </w:trPr>
        <w:tc>
          <w:tcPr>
            <w:tcW w:w="4787" w:type="dxa"/>
            <w:tcBorders>
              <w:bottom w:val="single" w:sz="12" w:space="0" w:color="auto"/>
            </w:tcBorders>
            <w:vAlign w:val="center"/>
          </w:tcPr>
          <w:p w:rsidR="00851B9D" w:rsidRPr="000A5B5D" w:rsidRDefault="00851B9D" w:rsidP="00851B9D">
            <w:pPr>
              <w:widowControl/>
              <w:jc w:val="left"/>
              <w:rPr>
                <w:rFonts w:ascii="Arial Narrow" w:hAnsi="Arial Narrow" w:cs="Arial"/>
                <w:kern w:val="0"/>
                <w:szCs w:val="21"/>
              </w:rPr>
            </w:pPr>
            <w:r w:rsidRPr="000A5B5D">
              <w:rPr>
                <w:rFonts w:ascii="Arial Narrow" w:hAnsi="Arial Narrow" w:cs="Arial" w:hint="eastAsia"/>
                <w:kern w:val="0"/>
                <w:szCs w:val="21"/>
              </w:rPr>
              <w:t>本年以权益结算的股份支付确认的费用总额</w:t>
            </w:r>
          </w:p>
        </w:tc>
        <w:tc>
          <w:tcPr>
            <w:tcW w:w="4427" w:type="dxa"/>
            <w:tcBorders>
              <w:bottom w:val="single" w:sz="12" w:space="0" w:color="auto"/>
            </w:tcBorders>
            <w:vAlign w:val="center"/>
          </w:tcPr>
          <w:p w:rsidR="00851B9D" w:rsidRPr="000A5B5D" w:rsidRDefault="00851B9D" w:rsidP="00851B9D">
            <w:pPr>
              <w:widowControl/>
              <w:jc w:val="right"/>
              <w:rPr>
                <w:rFonts w:ascii="Arial Narrow" w:hAnsi="Arial Narrow" w:cs="Arial"/>
                <w:szCs w:val="21"/>
              </w:rPr>
            </w:pPr>
            <w:r w:rsidRPr="000A5B5D">
              <w:rPr>
                <w:rFonts w:ascii="Arial Narrow" w:hAnsi="Arial Narrow" w:cs="Arial"/>
                <w:szCs w:val="21"/>
              </w:rPr>
              <w:t>853,125.00</w:t>
            </w:r>
          </w:p>
        </w:tc>
      </w:tr>
    </w:tbl>
    <w:p w:rsidR="00851B9D" w:rsidRPr="000A5B5D" w:rsidRDefault="00851B9D" w:rsidP="00851B9D">
      <w:pPr>
        <w:tabs>
          <w:tab w:val="left" w:pos="8820"/>
          <w:tab w:val="left" w:pos="9000"/>
        </w:tabs>
        <w:spacing w:line="400" w:lineRule="exact"/>
        <w:ind w:firstLineChars="200" w:firstLine="480"/>
        <w:rPr>
          <w:rFonts w:ascii="Arial" w:hAnsi="Arial" w:cs="Arial"/>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承诺及或有事项</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w:t>
      </w:r>
      <w:r w:rsidRPr="000A5B5D">
        <w:rPr>
          <w:rFonts w:ascii="Arial" w:hAnsi="Arial" w:cs="Arial" w:hint="eastAsia"/>
          <w:b/>
          <w:sz w:val="24"/>
        </w:rPr>
        <w:t>、其他承诺事项</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w:t>
      </w:r>
      <w:r w:rsidRPr="000A5B5D">
        <w:rPr>
          <w:rFonts w:ascii="Arial" w:hAnsi="Arial" w:cs="Arial"/>
          <w:sz w:val="24"/>
        </w:rPr>
        <w:t>2014</w:t>
      </w:r>
      <w:r w:rsidRPr="000A5B5D">
        <w:rPr>
          <w:rFonts w:ascii="Arial" w:hAnsi="Arial" w:cs="Arial" w:hint="eastAsia"/>
          <w:sz w:val="24"/>
        </w:rPr>
        <w:t>年</w:t>
      </w:r>
      <w:r w:rsidRPr="000A5B5D">
        <w:rPr>
          <w:rFonts w:ascii="Arial" w:hAnsi="Arial" w:cs="Arial"/>
          <w:sz w:val="24"/>
        </w:rPr>
        <w:t>1</w:t>
      </w:r>
      <w:r w:rsidRPr="000A5B5D">
        <w:rPr>
          <w:rFonts w:ascii="Arial" w:hAnsi="Arial" w:cs="Arial" w:hint="eastAsia"/>
          <w:sz w:val="24"/>
        </w:rPr>
        <w:t>月</w:t>
      </w:r>
      <w:r w:rsidRPr="000A5B5D">
        <w:rPr>
          <w:rFonts w:ascii="Arial" w:hAnsi="Arial" w:cs="Arial"/>
          <w:sz w:val="24"/>
        </w:rPr>
        <w:t>27</w:t>
      </w:r>
      <w:r w:rsidRPr="000A5B5D">
        <w:rPr>
          <w:rFonts w:ascii="Arial" w:hAnsi="Arial" w:cs="Arial" w:hint="eastAsia"/>
          <w:sz w:val="24"/>
        </w:rPr>
        <w:t>日，本公司控股子公司恒逸实业（文莱）有限公司（以下简称</w:t>
      </w:r>
      <w:r w:rsidRPr="000A5B5D">
        <w:rPr>
          <w:rFonts w:ascii="Arial" w:hAnsi="Arial" w:cs="Arial"/>
          <w:sz w:val="24"/>
        </w:rPr>
        <w:t>“</w:t>
      </w:r>
      <w:r w:rsidRPr="000A5B5D">
        <w:rPr>
          <w:rFonts w:ascii="Arial" w:hAnsi="Arial" w:cs="Arial" w:hint="eastAsia"/>
          <w:sz w:val="24"/>
        </w:rPr>
        <w:t>文莱实业</w:t>
      </w:r>
      <w:r w:rsidRPr="000A5B5D">
        <w:rPr>
          <w:rFonts w:ascii="Arial" w:hAnsi="Arial" w:cs="Arial"/>
          <w:sz w:val="24"/>
        </w:rPr>
        <w:t>”</w:t>
      </w:r>
      <w:r w:rsidRPr="000A5B5D">
        <w:rPr>
          <w:rFonts w:ascii="Arial" w:hAnsi="Arial" w:cs="Arial" w:hint="eastAsia"/>
          <w:sz w:val="24"/>
        </w:rPr>
        <w:t>）与文莱经发局签署了《土地租赁协议》，明确了租金费率及支付方式等具体事项。主要内容如下：</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1 \* GB3 </w:instrText>
      </w:r>
      <w:r w:rsidRPr="000A5B5D">
        <w:rPr>
          <w:rFonts w:ascii="Arial" w:hAnsi="Arial" w:cs="Arial"/>
          <w:sz w:val="24"/>
        </w:rPr>
        <w:fldChar w:fldCharType="separate"/>
      </w:r>
      <w:r w:rsidRPr="000A5B5D">
        <w:rPr>
          <w:rFonts w:ascii="宋体" w:hAnsi="宋体" w:cs="宋体" w:hint="eastAsia"/>
          <w:sz w:val="24"/>
        </w:rPr>
        <w:t>①</w:t>
      </w:r>
      <w:r w:rsidRPr="000A5B5D">
        <w:rPr>
          <w:rFonts w:ascii="Arial" w:hAnsi="Arial" w:cs="Arial"/>
          <w:sz w:val="24"/>
        </w:rPr>
        <w:fldChar w:fldCharType="end"/>
      </w:r>
      <w:r w:rsidRPr="000A5B5D">
        <w:rPr>
          <w:rFonts w:ascii="Arial" w:hAnsi="Arial" w:cs="Arial" w:hint="eastAsia"/>
          <w:sz w:val="24"/>
        </w:rPr>
        <w:t>租赁土地地点</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文莱达鲁萨兰国（</w:t>
      </w:r>
      <w:r w:rsidRPr="000A5B5D">
        <w:rPr>
          <w:rFonts w:ascii="Arial" w:hAnsi="Arial" w:cs="Arial"/>
          <w:sz w:val="24"/>
        </w:rPr>
        <w:t>Brunei Darussalam</w:t>
      </w:r>
      <w:r w:rsidRPr="000A5B5D">
        <w:rPr>
          <w:rFonts w:ascii="Arial" w:hAnsi="Arial" w:cs="Arial" w:hint="eastAsia"/>
          <w:sz w:val="24"/>
        </w:rPr>
        <w:t>）大摩拉岛（</w:t>
      </w:r>
      <w:r w:rsidRPr="000A5B5D">
        <w:rPr>
          <w:rFonts w:ascii="Arial" w:hAnsi="Arial" w:cs="Arial"/>
          <w:sz w:val="24"/>
        </w:rPr>
        <w:t>Pulau Muara Besar</w:t>
      </w:r>
      <w:r w:rsidRPr="000A5B5D">
        <w:rPr>
          <w:rFonts w:ascii="Arial" w:hAnsi="Arial" w:cs="Arial" w:hint="eastAsia"/>
          <w:sz w:val="24"/>
        </w:rPr>
        <w:t>）。</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2 \* GB3 </w:instrText>
      </w:r>
      <w:r w:rsidRPr="000A5B5D">
        <w:rPr>
          <w:rFonts w:ascii="Arial" w:hAnsi="Arial" w:cs="Arial"/>
          <w:sz w:val="24"/>
        </w:rPr>
        <w:fldChar w:fldCharType="separate"/>
      </w:r>
      <w:r w:rsidRPr="000A5B5D">
        <w:rPr>
          <w:rFonts w:ascii="宋体" w:hAnsi="宋体" w:cs="宋体" w:hint="eastAsia"/>
          <w:sz w:val="24"/>
        </w:rPr>
        <w:t>②</w:t>
      </w:r>
      <w:r w:rsidRPr="000A5B5D">
        <w:rPr>
          <w:rFonts w:ascii="Arial" w:hAnsi="Arial" w:cs="Arial"/>
          <w:sz w:val="24"/>
        </w:rPr>
        <w:fldChar w:fldCharType="end"/>
      </w:r>
      <w:r w:rsidRPr="000A5B5D">
        <w:rPr>
          <w:rFonts w:ascii="Arial" w:hAnsi="Arial" w:cs="Arial" w:hint="eastAsia"/>
          <w:sz w:val="24"/>
        </w:rPr>
        <w:t>租赁土地面积：</w:t>
      </w:r>
      <w:r w:rsidRPr="000A5B5D">
        <w:rPr>
          <w:rFonts w:ascii="Arial" w:hAnsi="Arial" w:cs="Arial"/>
          <w:sz w:val="24"/>
        </w:rPr>
        <w:t>260</w:t>
      </w:r>
      <w:r w:rsidRPr="000A5B5D">
        <w:rPr>
          <w:rFonts w:ascii="Arial" w:hAnsi="Arial" w:cs="Arial" w:hint="eastAsia"/>
          <w:sz w:val="24"/>
        </w:rPr>
        <w:t>公顷。</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3 \* GB3 </w:instrText>
      </w:r>
      <w:r w:rsidRPr="000A5B5D">
        <w:rPr>
          <w:rFonts w:ascii="Arial" w:hAnsi="Arial" w:cs="Arial"/>
          <w:sz w:val="24"/>
        </w:rPr>
        <w:fldChar w:fldCharType="separate"/>
      </w:r>
      <w:r w:rsidRPr="000A5B5D">
        <w:rPr>
          <w:rFonts w:ascii="宋体" w:hAnsi="宋体" w:cs="宋体" w:hint="eastAsia"/>
          <w:sz w:val="24"/>
        </w:rPr>
        <w:t>③</w:t>
      </w:r>
      <w:r w:rsidRPr="000A5B5D">
        <w:rPr>
          <w:rFonts w:ascii="Arial" w:hAnsi="Arial" w:cs="Arial"/>
          <w:sz w:val="24"/>
        </w:rPr>
        <w:fldChar w:fldCharType="end"/>
      </w:r>
      <w:r w:rsidRPr="000A5B5D">
        <w:rPr>
          <w:rFonts w:ascii="Arial" w:hAnsi="Arial" w:cs="Arial" w:hint="eastAsia"/>
          <w:sz w:val="24"/>
        </w:rPr>
        <w:t>土地租赁期限：</w:t>
      </w:r>
      <w:r w:rsidRPr="000A5B5D">
        <w:rPr>
          <w:rFonts w:ascii="Arial" w:hAnsi="Arial" w:cs="Arial"/>
          <w:sz w:val="24"/>
        </w:rPr>
        <w:t>30</w:t>
      </w:r>
      <w:r w:rsidRPr="000A5B5D">
        <w:rPr>
          <w:rFonts w:ascii="Arial" w:hAnsi="Arial" w:cs="Arial" w:hint="eastAsia"/>
          <w:sz w:val="24"/>
        </w:rPr>
        <w:t>年，到期前可申请续期</w:t>
      </w:r>
      <w:r w:rsidRPr="000A5B5D">
        <w:rPr>
          <w:rFonts w:ascii="Arial" w:hAnsi="Arial" w:cs="Arial"/>
          <w:sz w:val="24"/>
        </w:rPr>
        <w:t>30</w:t>
      </w:r>
      <w:r w:rsidRPr="000A5B5D">
        <w:rPr>
          <w:rFonts w:ascii="Arial" w:hAnsi="Arial" w:cs="Arial" w:hint="eastAsia"/>
          <w:sz w:val="24"/>
        </w:rPr>
        <w:t>年。</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4 \* GB3 </w:instrText>
      </w:r>
      <w:r w:rsidRPr="000A5B5D">
        <w:rPr>
          <w:rFonts w:ascii="Arial" w:hAnsi="Arial" w:cs="Arial"/>
          <w:sz w:val="24"/>
        </w:rPr>
        <w:fldChar w:fldCharType="separate"/>
      </w:r>
      <w:r w:rsidRPr="000A5B5D">
        <w:rPr>
          <w:rFonts w:ascii="宋体" w:hAnsi="宋体" w:cs="宋体" w:hint="eastAsia"/>
          <w:sz w:val="24"/>
        </w:rPr>
        <w:t>④</w:t>
      </w:r>
      <w:r w:rsidRPr="000A5B5D">
        <w:rPr>
          <w:rFonts w:ascii="Arial" w:hAnsi="Arial" w:cs="Arial"/>
          <w:sz w:val="24"/>
        </w:rPr>
        <w:fldChar w:fldCharType="end"/>
      </w:r>
      <w:r w:rsidRPr="000A5B5D">
        <w:rPr>
          <w:rFonts w:ascii="Arial" w:hAnsi="Arial" w:cs="Arial" w:hint="eastAsia"/>
          <w:sz w:val="24"/>
        </w:rPr>
        <w:t>土地租金确定方式：</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考虑到</w:t>
      </w:r>
      <w:r w:rsidRPr="000A5B5D">
        <w:rPr>
          <w:rFonts w:ascii="Arial" w:hAnsi="Arial" w:cs="Arial"/>
          <w:sz w:val="24"/>
        </w:rPr>
        <w:t>PMB</w:t>
      </w:r>
      <w:r w:rsidRPr="000A5B5D">
        <w:rPr>
          <w:rFonts w:ascii="Arial" w:hAnsi="Arial" w:cs="Arial" w:hint="eastAsia"/>
          <w:sz w:val="24"/>
        </w:rPr>
        <w:t>石油化工项目土地需经过填方及处理，文莱政府给与</w:t>
      </w:r>
      <w:r w:rsidRPr="000A5B5D">
        <w:rPr>
          <w:rFonts w:ascii="Arial" w:hAnsi="Arial" w:cs="Arial"/>
          <w:sz w:val="24"/>
        </w:rPr>
        <w:t>PMB</w:t>
      </w:r>
      <w:r w:rsidRPr="000A5B5D">
        <w:rPr>
          <w:rFonts w:ascii="Arial" w:hAnsi="Arial" w:cs="Arial" w:hint="eastAsia"/>
          <w:sz w:val="24"/>
        </w:rPr>
        <w:t>石油化工项目初期免租金的优惠。</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土地租金比照当地租金水平，考虑</w:t>
      </w:r>
      <w:r w:rsidRPr="000A5B5D">
        <w:rPr>
          <w:rFonts w:ascii="Arial" w:hAnsi="Arial" w:cs="Arial"/>
          <w:sz w:val="24"/>
        </w:rPr>
        <w:t>PMB</w:t>
      </w:r>
      <w:r w:rsidRPr="000A5B5D">
        <w:rPr>
          <w:rFonts w:ascii="Arial" w:hAnsi="Arial" w:cs="Arial" w:hint="eastAsia"/>
          <w:sz w:val="24"/>
        </w:rPr>
        <w:t>石油化工项目对当地的其他贡献，给与一定的优惠。</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考虑到通货膨胀以及居民消费价格上涨因素，文莱经发局将每</w:t>
      </w:r>
      <w:r w:rsidRPr="000A5B5D">
        <w:rPr>
          <w:rFonts w:ascii="Arial" w:hAnsi="Arial" w:cs="Arial"/>
          <w:sz w:val="24"/>
        </w:rPr>
        <w:t>5</w:t>
      </w:r>
      <w:r w:rsidRPr="000A5B5D">
        <w:rPr>
          <w:rFonts w:ascii="Arial" w:hAnsi="Arial" w:cs="Arial" w:hint="eastAsia"/>
          <w:sz w:val="24"/>
        </w:rPr>
        <w:t>年对租金费率上调一次，每次上调幅度最高不超过</w:t>
      </w:r>
      <w:r w:rsidRPr="000A5B5D">
        <w:rPr>
          <w:rFonts w:ascii="Arial" w:hAnsi="Arial" w:cs="Arial"/>
          <w:sz w:val="24"/>
        </w:rPr>
        <w:t>10%</w:t>
      </w:r>
      <w:r w:rsidRPr="000A5B5D">
        <w:rPr>
          <w:rFonts w:ascii="Arial" w:hAnsi="Arial" w:cs="Arial" w:hint="eastAsia"/>
          <w:sz w:val="24"/>
        </w:rPr>
        <w:t>。</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5 \* GB3 </w:instrText>
      </w:r>
      <w:r w:rsidRPr="000A5B5D">
        <w:rPr>
          <w:rFonts w:ascii="Arial" w:hAnsi="Arial" w:cs="Arial"/>
          <w:sz w:val="24"/>
        </w:rPr>
        <w:fldChar w:fldCharType="separate"/>
      </w:r>
      <w:r w:rsidRPr="000A5B5D">
        <w:rPr>
          <w:rFonts w:ascii="宋体" w:hAnsi="宋体" w:cs="宋体" w:hint="eastAsia"/>
          <w:sz w:val="24"/>
        </w:rPr>
        <w:t>⑤</w:t>
      </w:r>
      <w:r w:rsidRPr="000A5B5D">
        <w:rPr>
          <w:rFonts w:ascii="Arial" w:hAnsi="Arial" w:cs="Arial"/>
          <w:sz w:val="24"/>
        </w:rPr>
        <w:fldChar w:fldCharType="end"/>
      </w:r>
      <w:r w:rsidRPr="000A5B5D">
        <w:rPr>
          <w:rFonts w:ascii="Arial" w:hAnsi="Arial" w:cs="Arial" w:hint="eastAsia"/>
          <w:sz w:val="24"/>
        </w:rPr>
        <w:t>土地租金支付方式</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免租期满后每年的每季度内第一个月的第一个工作日或提前向文莱经发局支付租金。</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sz w:val="24"/>
        </w:rPr>
        <w:fldChar w:fldCharType="begin"/>
      </w:r>
      <w:r w:rsidRPr="000A5B5D">
        <w:rPr>
          <w:rFonts w:ascii="Arial" w:hAnsi="Arial" w:cs="Arial"/>
          <w:sz w:val="24"/>
        </w:rPr>
        <w:instrText xml:space="preserve"> = 6 \* GB3 </w:instrText>
      </w:r>
      <w:r w:rsidRPr="000A5B5D">
        <w:rPr>
          <w:rFonts w:ascii="Arial" w:hAnsi="Arial" w:cs="Arial"/>
          <w:sz w:val="24"/>
        </w:rPr>
        <w:fldChar w:fldCharType="separate"/>
      </w:r>
      <w:r w:rsidRPr="000A5B5D">
        <w:rPr>
          <w:rFonts w:ascii="宋体" w:hAnsi="宋体" w:cs="宋体" w:hint="eastAsia"/>
          <w:sz w:val="24"/>
        </w:rPr>
        <w:t>⑥</w:t>
      </w:r>
      <w:r w:rsidRPr="000A5B5D">
        <w:rPr>
          <w:rFonts w:ascii="Arial" w:hAnsi="Arial" w:cs="Arial"/>
          <w:sz w:val="24"/>
        </w:rPr>
        <w:fldChar w:fldCharType="end"/>
      </w:r>
      <w:r w:rsidRPr="000A5B5D">
        <w:rPr>
          <w:rFonts w:ascii="Arial" w:hAnsi="Arial" w:cs="Arial" w:hint="eastAsia"/>
          <w:sz w:val="24"/>
        </w:rPr>
        <w:t>先决条件</w:t>
      </w:r>
    </w:p>
    <w:p w:rsidR="00851B9D" w:rsidRPr="000A5B5D" w:rsidRDefault="00851B9D" w:rsidP="00851B9D">
      <w:pPr>
        <w:tabs>
          <w:tab w:val="left" w:pos="9000"/>
          <w:tab w:val="left" w:pos="9180"/>
        </w:tabs>
        <w:spacing w:line="400" w:lineRule="exact"/>
        <w:ind w:firstLineChars="200" w:firstLine="480"/>
        <w:rPr>
          <w:rFonts w:ascii="Arial" w:hAnsi="Arial" w:cs="Arial"/>
          <w:sz w:val="24"/>
        </w:rPr>
      </w:pPr>
      <w:r w:rsidRPr="000A5B5D">
        <w:rPr>
          <w:rFonts w:ascii="Arial" w:hAnsi="Arial" w:cs="Arial" w:hint="eastAsia"/>
          <w:sz w:val="24"/>
        </w:rPr>
        <w:t>《土地租赁协议》正式实施前，应满足先决条件：文莱经发局已获得符合项目要求的租赁土地的所有权证书、双方间签署的《实施协议》已生效且其中的条件均已满足。</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w:t>
      </w:r>
      <w:r w:rsidRPr="000A5B5D">
        <w:rPr>
          <w:rFonts w:ascii="Arial" w:hAnsi="Arial" w:cs="Arial" w:hint="eastAsia"/>
          <w:b/>
          <w:sz w:val="24"/>
        </w:rPr>
        <w:t>、或有事项</w:t>
      </w:r>
    </w:p>
    <w:p w:rsidR="00851B9D" w:rsidRPr="000A5B5D" w:rsidRDefault="00851B9D" w:rsidP="00851B9D">
      <w:pPr>
        <w:spacing w:line="400" w:lineRule="exact"/>
        <w:ind w:firstLineChars="200" w:firstLine="480"/>
        <w:rPr>
          <w:rFonts w:ascii="Arial" w:hAnsi="Arial" w:cs="Arial"/>
          <w:bCs/>
          <w:sz w:val="24"/>
        </w:rPr>
      </w:pPr>
      <w:r w:rsidRPr="000A5B5D">
        <w:rPr>
          <w:rFonts w:ascii="Arial" w:hAnsi="Arial" w:cs="Arial" w:hint="eastAsia"/>
          <w:bCs/>
          <w:sz w:val="24"/>
        </w:rPr>
        <w:t>（</w:t>
      </w:r>
      <w:r w:rsidRPr="000A5B5D">
        <w:rPr>
          <w:rFonts w:ascii="Arial" w:hAnsi="Arial" w:cs="Arial"/>
          <w:bCs/>
          <w:sz w:val="24"/>
        </w:rPr>
        <w:t>1</w:t>
      </w:r>
      <w:r w:rsidRPr="000A5B5D">
        <w:rPr>
          <w:rFonts w:ascii="Arial" w:hAnsi="Arial" w:cs="Arial" w:hint="eastAsia"/>
          <w:bCs/>
          <w:sz w:val="24"/>
        </w:rPr>
        <w:t>）截止</w:t>
      </w:r>
      <w:r w:rsidRPr="000A5B5D">
        <w:rPr>
          <w:rFonts w:ascii="Arial" w:hAnsi="Arial" w:cs="Arial"/>
          <w:bCs/>
          <w:sz w:val="24"/>
        </w:rPr>
        <w:t>2015</w:t>
      </w:r>
      <w:r w:rsidRPr="000A5B5D">
        <w:rPr>
          <w:rFonts w:ascii="Arial" w:hAnsi="Arial" w:cs="Arial" w:hint="eastAsia"/>
          <w:bCs/>
          <w:sz w:val="24"/>
        </w:rPr>
        <w:t>年</w:t>
      </w:r>
      <w:r w:rsidRPr="000A5B5D">
        <w:rPr>
          <w:rFonts w:ascii="Arial" w:hAnsi="Arial" w:cs="Arial"/>
          <w:bCs/>
          <w:sz w:val="24"/>
        </w:rPr>
        <w:t>12</w:t>
      </w:r>
      <w:r w:rsidRPr="000A5B5D">
        <w:rPr>
          <w:rFonts w:ascii="Arial" w:hAnsi="Arial" w:cs="Arial" w:hint="eastAsia"/>
          <w:bCs/>
          <w:sz w:val="24"/>
        </w:rPr>
        <w:t>月</w:t>
      </w:r>
      <w:r w:rsidRPr="000A5B5D">
        <w:rPr>
          <w:rFonts w:ascii="Arial" w:hAnsi="Arial" w:cs="Arial"/>
          <w:bCs/>
          <w:sz w:val="24"/>
        </w:rPr>
        <w:t>31</w:t>
      </w:r>
      <w:r w:rsidRPr="000A5B5D">
        <w:rPr>
          <w:rFonts w:ascii="Arial" w:hAnsi="Arial" w:cs="Arial" w:hint="eastAsia"/>
          <w:bCs/>
          <w:sz w:val="24"/>
        </w:rPr>
        <w:t>日，本公司未决诉讼事项如下：。</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bCs/>
          <w:sz w:val="24"/>
        </w:rPr>
        <w:t>因物件损害责任纠纷，</w:t>
      </w:r>
      <w:r w:rsidRPr="000A5B5D">
        <w:rPr>
          <w:rFonts w:ascii="Arial" w:hAnsi="Arial" w:cs="Arial"/>
          <w:bCs/>
          <w:sz w:val="24"/>
        </w:rPr>
        <w:t>2014</w:t>
      </w:r>
      <w:r w:rsidRPr="000A5B5D">
        <w:rPr>
          <w:rFonts w:ascii="Arial" w:hAnsi="Arial" w:cs="Arial" w:hint="eastAsia"/>
          <w:bCs/>
          <w:sz w:val="24"/>
        </w:rPr>
        <w:t>年</w:t>
      </w:r>
      <w:r w:rsidRPr="000A5B5D">
        <w:rPr>
          <w:rFonts w:ascii="Arial" w:hAnsi="Arial" w:cs="Arial"/>
          <w:bCs/>
          <w:sz w:val="24"/>
        </w:rPr>
        <w:t>11</w:t>
      </w:r>
      <w:r w:rsidRPr="000A5B5D">
        <w:rPr>
          <w:rFonts w:ascii="Arial" w:hAnsi="Arial" w:cs="Arial" w:hint="eastAsia"/>
          <w:bCs/>
          <w:sz w:val="24"/>
        </w:rPr>
        <w:t>月</w:t>
      </w:r>
      <w:r w:rsidRPr="000A5B5D">
        <w:rPr>
          <w:rFonts w:ascii="Arial" w:hAnsi="Arial" w:cs="Arial"/>
          <w:bCs/>
          <w:sz w:val="24"/>
        </w:rPr>
        <w:t>18</w:t>
      </w:r>
      <w:r w:rsidRPr="000A5B5D">
        <w:rPr>
          <w:rFonts w:ascii="Arial" w:hAnsi="Arial" w:cs="Arial" w:hint="eastAsia"/>
          <w:bCs/>
          <w:sz w:val="24"/>
        </w:rPr>
        <w:t>日，本公司之子公司浙江恒逸聚合物有限公司及浙江恒逸石化有限公司向杭州市萧山区人民法院提起诉讼，起诉浙江省火电建设公司（已于</w:t>
      </w:r>
      <w:r w:rsidRPr="000A5B5D">
        <w:rPr>
          <w:rFonts w:ascii="Arial" w:hAnsi="Arial" w:cs="Arial"/>
          <w:bCs/>
          <w:sz w:val="24"/>
        </w:rPr>
        <w:t>2014</w:t>
      </w:r>
      <w:r w:rsidRPr="000A5B5D">
        <w:rPr>
          <w:rFonts w:ascii="Arial" w:hAnsi="Arial" w:cs="Arial" w:hint="eastAsia"/>
          <w:bCs/>
          <w:sz w:val="24"/>
        </w:rPr>
        <w:t>年</w:t>
      </w:r>
      <w:r w:rsidRPr="000A5B5D">
        <w:rPr>
          <w:rFonts w:ascii="Arial" w:hAnsi="Arial" w:cs="Arial"/>
          <w:bCs/>
          <w:sz w:val="24"/>
        </w:rPr>
        <w:t>12</w:t>
      </w:r>
      <w:r w:rsidRPr="000A5B5D">
        <w:rPr>
          <w:rFonts w:ascii="Arial" w:hAnsi="Arial" w:cs="Arial" w:hint="eastAsia"/>
          <w:bCs/>
          <w:sz w:val="24"/>
        </w:rPr>
        <w:t>月</w:t>
      </w:r>
      <w:r w:rsidRPr="000A5B5D">
        <w:rPr>
          <w:rFonts w:ascii="Arial" w:hAnsi="Arial" w:cs="Arial"/>
          <w:bCs/>
          <w:sz w:val="24"/>
        </w:rPr>
        <w:t>23</w:t>
      </w:r>
      <w:r w:rsidRPr="000A5B5D">
        <w:rPr>
          <w:rFonts w:ascii="Arial" w:hAnsi="Arial" w:cs="Arial" w:hint="eastAsia"/>
          <w:bCs/>
          <w:sz w:val="24"/>
        </w:rPr>
        <w:t>日更名为中国能源建设集团浙江火电建设有限公司）及其分包单位南通宾城送变电工程有限公司因施工过程中发生的重大事故，导致本公司生产中断而产生的设备毁损、产品报废、恢复生产等各项巨大损失。截止本财务报告报出日，杭州市萧山区人民法院已对该案件进行立案调查，案件正处于一审阶段，尚未结案</w:t>
      </w:r>
      <w:r w:rsidRPr="000A5B5D">
        <w:rPr>
          <w:rFonts w:ascii="Arial" w:hAnsi="Arial" w:cs="Arial" w:hint="eastAsia"/>
          <w:sz w:val="24"/>
        </w:rPr>
        <w:t>。</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lastRenderedPageBreak/>
        <w:t>（</w:t>
      </w:r>
      <w:r w:rsidRPr="000A5B5D">
        <w:rPr>
          <w:rFonts w:ascii="Arial" w:hAnsi="Arial" w:cs="Arial"/>
          <w:sz w:val="24"/>
        </w:rPr>
        <w:t>2</w:t>
      </w:r>
      <w:r w:rsidRPr="000A5B5D">
        <w:rPr>
          <w:rFonts w:ascii="Arial" w:hAnsi="Arial" w:cs="Arial" w:hint="eastAsia"/>
          <w:sz w:val="24"/>
        </w:rPr>
        <w:t>）截止</w:t>
      </w:r>
      <w:r w:rsidRPr="000A5B5D">
        <w:rPr>
          <w:rFonts w:ascii="Arial" w:hAnsi="Arial" w:cs="Arial"/>
          <w:sz w:val="24"/>
        </w:rPr>
        <w:t>2015</w:t>
      </w:r>
      <w:r w:rsidRPr="000A5B5D">
        <w:rPr>
          <w:rFonts w:ascii="Arial" w:hAnsi="Arial" w:cs="Arial" w:hint="eastAsia"/>
          <w:sz w:val="24"/>
        </w:rPr>
        <w:t>年</w:t>
      </w:r>
      <w:r w:rsidRPr="000A5B5D">
        <w:rPr>
          <w:rFonts w:ascii="Arial" w:hAnsi="Arial" w:cs="Arial"/>
          <w:sz w:val="24"/>
        </w:rPr>
        <w:t>12</w:t>
      </w:r>
      <w:r w:rsidRPr="000A5B5D">
        <w:rPr>
          <w:rFonts w:ascii="Arial" w:hAnsi="Arial" w:cs="Arial" w:hint="eastAsia"/>
          <w:sz w:val="24"/>
        </w:rPr>
        <w:t>月</w:t>
      </w:r>
      <w:r w:rsidRPr="000A5B5D">
        <w:rPr>
          <w:rFonts w:ascii="Arial" w:hAnsi="Arial" w:cs="Arial"/>
          <w:sz w:val="24"/>
        </w:rPr>
        <w:t>31</w:t>
      </w:r>
      <w:r w:rsidRPr="000A5B5D">
        <w:rPr>
          <w:rFonts w:ascii="Arial" w:hAnsi="Arial" w:cs="Arial" w:hint="eastAsia"/>
          <w:sz w:val="24"/>
        </w:rPr>
        <w:t>日，本公司债务担保如下：</w:t>
      </w:r>
      <w:r w:rsidRPr="000A5B5D">
        <w:rPr>
          <w:rFonts w:ascii="Arial" w:hAnsi="Arial" w:cs="Arial"/>
          <w:sz w:val="24"/>
        </w:rPr>
        <w:t xml:space="preserve">            </w:t>
      </w:r>
      <w:r w:rsidRPr="000A5B5D">
        <w:rPr>
          <w:rFonts w:ascii="Arial" w:hAnsi="Arial" w:cs="Arial" w:hint="eastAsia"/>
          <w:sz w:val="24"/>
        </w:rPr>
        <w:t>单位：万元</w:t>
      </w:r>
    </w:p>
    <w:tbl>
      <w:tblPr>
        <w:tblW w:w="9216"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027"/>
        <w:gridCol w:w="3191"/>
        <w:gridCol w:w="853"/>
        <w:gridCol w:w="1204"/>
        <w:gridCol w:w="981"/>
        <w:gridCol w:w="960"/>
      </w:tblGrid>
      <w:tr w:rsidR="00851B9D" w:rsidRPr="000A5B5D" w:rsidTr="00851B9D">
        <w:trPr>
          <w:trHeight w:val="397"/>
          <w:tblHeader/>
        </w:trPr>
        <w:tc>
          <w:tcPr>
            <w:tcW w:w="2027" w:type="dxa"/>
            <w:tcBorders>
              <w:top w:val="single" w:sz="12" w:space="0" w:color="auto"/>
            </w:tcBorders>
            <w:vAlign w:val="center"/>
          </w:tcPr>
          <w:p w:rsidR="00851B9D" w:rsidRPr="000A5B5D" w:rsidRDefault="00851B9D" w:rsidP="00851B9D">
            <w:pPr>
              <w:ind w:leftChars="-20" w:left="-36" w:rightChars="-44" w:right="-79"/>
              <w:jc w:val="center"/>
              <w:rPr>
                <w:rFonts w:ascii="Arial Narrow" w:hAnsi="Arial Narrow" w:cs="Arial"/>
              </w:rPr>
            </w:pPr>
            <w:r w:rsidRPr="000A5B5D">
              <w:rPr>
                <w:rFonts w:ascii="Arial Narrow" w:hAnsi="Arial Narrow" w:cs="Arial" w:hint="eastAsia"/>
              </w:rPr>
              <w:t>担保单位</w:t>
            </w:r>
          </w:p>
        </w:tc>
        <w:tc>
          <w:tcPr>
            <w:tcW w:w="3191" w:type="dxa"/>
            <w:tcBorders>
              <w:top w:val="single" w:sz="12" w:space="0" w:color="auto"/>
            </w:tcBorders>
            <w:vAlign w:val="center"/>
          </w:tcPr>
          <w:p w:rsidR="00851B9D" w:rsidRPr="000A5B5D" w:rsidRDefault="00851B9D" w:rsidP="00851B9D">
            <w:pPr>
              <w:ind w:leftChars="-25" w:left="-45" w:rightChars="-43" w:right="-77"/>
              <w:jc w:val="center"/>
              <w:rPr>
                <w:rFonts w:ascii="Arial Narrow" w:hAnsi="Arial Narrow" w:cs="Arial"/>
              </w:rPr>
            </w:pPr>
            <w:r w:rsidRPr="000A5B5D">
              <w:rPr>
                <w:rFonts w:ascii="Arial Narrow" w:hAnsi="Arial Narrow" w:cs="Arial" w:hint="eastAsia"/>
              </w:rPr>
              <w:t>被担保单位</w:t>
            </w:r>
          </w:p>
        </w:tc>
        <w:tc>
          <w:tcPr>
            <w:tcW w:w="853" w:type="dxa"/>
            <w:tcBorders>
              <w:top w:val="single" w:sz="12" w:space="0" w:color="auto"/>
            </w:tcBorders>
            <w:vAlign w:val="center"/>
          </w:tcPr>
          <w:p w:rsidR="00851B9D" w:rsidRPr="000A5B5D" w:rsidRDefault="00851B9D" w:rsidP="00851B9D">
            <w:pPr>
              <w:ind w:leftChars="-25" w:left="-45" w:rightChars="-41" w:right="-74"/>
              <w:jc w:val="center"/>
              <w:rPr>
                <w:rFonts w:ascii="Arial Narrow" w:hAnsi="Arial Narrow" w:cs="Arial"/>
              </w:rPr>
            </w:pPr>
            <w:r w:rsidRPr="000A5B5D">
              <w:rPr>
                <w:rFonts w:ascii="Arial Narrow" w:hAnsi="Arial Narrow" w:cs="Arial" w:hint="eastAsia"/>
              </w:rPr>
              <w:t>担保方式</w:t>
            </w:r>
          </w:p>
        </w:tc>
        <w:tc>
          <w:tcPr>
            <w:tcW w:w="1204" w:type="dxa"/>
            <w:tcBorders>
              <w:top w:val="single" w:sz="12" w:space="0" w:color="auto"/>
            </w:tcBorders>
            <w:vAlign w:val="center"/>
          </w:tcPr>
          <w:p w:rsidR="00851B9D" w:rsidRPr="000A5B5D" w:rsidRDefault="00851B9D" w:rsidP="00851B9D">
            <w:pPr>
              <w:ind w:leftChars="-43" w:left="-77" w:rightChars="-30" w:right="-54"/>
              <w:jc w:val="center"/>
              <w:rPr>
                <w:rFonts w:ascii="Arial Narrow" w:hAnsi="Arial Narrow" w:cs="Arial"/>
              </w:rPr>
            </w:pPr>
            <w:r w:rsidRPr="000A5B5D">
              <w:rPr>
                <w:rFonts w:ascii="Arial Narrow" w:hAnsi="Arial Narrow" w:cs="Arial" w:hint="eastAsia"/>
              </w:rPr>
              <w:t>担保借款金额</w:t>
            </w:r>
          </w:p>
        </w:tc>
        <w:tc>
          <w:tcPr>
            <w:tcW w:w="981" w:type="dxa"/>
            <w:tcBorders>
              <w:top w:val="single" w:sz="12" w:space="0" w:color="auto"/>
            </w:tcBorders>
            <w:vAlign w:val="center"/>
          </w:tcPr>
          <w:p w:rsidR="00851B9D" w:rsidRPr="000A5B5D" w:rsidRDefault="00851B9D" w:rsidP="00851B9D">
            <w:pPr>
              <w:ind w:leftChars="-44" w:left="-79" w:rightChars="-30" w:right="-54"/>
              <w:jc w:val="center"/>
              <w:rPr>
                <w:rFonts w:ascii="Arial Narrow" w:hAnsi="Arial Narrow" w:cs="Arial"/>
              </w:rPr>
            </w:pPr>
            <w:r w:rsidRPr="000A5B5D">
              <w:rPr>
                <w:rFonts w:ascii="Arial Narrow" w:hAnsi="Arial Narrow" w:cs="Arial" w:hint="eastAsia"/>
              </w:rPr>
              <w:t>借款到期日</w:t>
            </w:r>
          </w:p>
        </w:tc>
        <w:tc>
          <w:tcPr>
            <w:tcW w:w="960" w:type="dxa"/>
            <w:tcBorders>
              <w:top w:val="single" w:sz="12" w:space="0" w:color="auto"/>
            </w:tcBorders>
            <w:vAlign w:val="center"/>
          </w:tcPr>
          <w:p w:rsidR="00851B9D" w:rsidRPr="000A5B5D" w:rsidRDefault="00851B9D" w:rsidP="00851B9D">
            <w:pPr>
              <w:ind w:leftChars="-44" w:left="-79" w:rightChars="-30" w:right="-54"/>
              <w:jc w:val="center"/>
              <w:rPr>
                <w:rFonts w:ascii="Arial Narrow" w:hAnsi="Arial Narrow" w:cs="Arial"/>
              </w:rPr>
            </w:pPr>
            <w:r w:rsidRPr="000A5B5D">
              <w:rPr>
                <w:rFonts w:ascii="Arial Narrow" w:hAnsi="Arial Narrow" w:cs="Arial" w:hint="eastAsia"/>
              </w:rPr>
              <w:t>备注</w:t>
            </w:r>
          </w:p>
        </w:tc>
      </w:tr>
      <w:tr w:rsidR="00851B9D" w:rsidRPr="000A5B5D" w:rsidTr="00851B9D">
        <w:trPr>
          <w:trHeight w:val="397"/>
        </w:trPr>
        <w:tc>
          <w:tcPr>
            <w:tcW w:w="2027"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3191" w:type="dxa"/>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浙江巴陵恒逸己内酰胺有限责任公司</w:t>
            </w:r>
          </w:p>
        </w:tc>
        <w:tc>
          <w:tcPr>
            <w:tcW w:w="853" w:type="dxa"/>
            <w:vAlign w:val="center"/>
          </w:tcPr>
          <w:p w:rsidR="00851B9D" w:rsidRPr="000A5B5D" w:rsidRDefault="00851B9D" w:rsidP="00851B9D">
            <w:pPr>
              <w:widowControl/>
              <w:ind w:leftChars="-25" w:left="-45" w:rightChars="-41" w:right="-74"/>
              <w:jc w:val="left"/>
              <w:rPr>
                <w:rFonts w:ascii="Arial Narrow" w:hAnsi="Arial Narrow" w:cs="Arial"/>
                <w:kern w:val="0"/>
              </w:rPr>
            </w:pPr>
            <w:r w:rsidRPr="000A5B5D">
              <w:rPr>
                <w:rFonts w:ascii="Arial Narrow" w:hAnsi="Arial Narrow" w:cs="Arial" w:hint="eastAsia"/>
                <w:kern w:val="0"/>
              </w:rPr>
              <w:t>保证担保</w:t>
            </w:r>
          </w:p>
        </w:tc>
        <w:tc>
          <w:tcPr>
            <w:tcW w:w="1204"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¥55,819.79 </w:t>
            </w:r>
          </w:p>
        </w:tc>
        <w:tc>
          <w:tcPr>
            <w:tcW w:w="98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2017-12-10</w:t>
            </w:r>
          </w:p>
        </w:tc>
        <w:tc>
          <w:tcPr>
            <w:tcW w:w="960" w:type="dxa"/>
            <w:vAlign w:val="center"/>
          </w:tcPr>
          <w:p w:rsidR="00851B9D" w:rsidRPr="000A5B5D" w:rsidRDefault="00851B9D" w:rsidP="00851B9D">
            <w:pPr>
              <w:jc w:val="right"/>
              <w:rPr>
                <w:rFonts w:ascii="Arial Narrow" w:hAnsi="Arial Narrow" w:cs="Arial"/>
              </w:rPr>
            </w:pPr>
            <w:r w:rsidRPr="000A5B5D">
              <w:rPr>
                <w:rFonts w:ascii="Arial Narrow" w:hAnsi="Arial Narrow" w:cs="Arial" w:hint="eastAsia"/>
              </w:rPr>
              <w:t>项目贷款</w:t>
            </w:r>
          </w:p>
        </w:tc>
      </w:tr>
      <w:tr w:rsidR="00851B9D" w:rsidRPr="000A5B5D" w:rsidTr="00851B9D">
        <w:trPr>
          <w:trHeight w:val="397"/>
        </w:trPr>
        <w:tc>
          <w:tcPr>
            <w:tcW w:w="2027"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浙江逸盛石化有限公司</w:t>
            </w:r>
          </w:p>
        </w:tc>
        <w:tc>
          <w:tcPr>
            <w:tcW w:w="3191"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海南逸盛石化有限公司</w:t>
            </w:r>
          </w:p>
        </w:tc>
        <w:tc>
          <w:tcPr>
            <w:tcW w:w="853" w:type="dxa"/>
            <w:tcBorders>
              <w:bottom w:val="single" w:sz="12" w:space="0" w:color="auto"/>
            </w:tcBorders>
            <w:vAlign w:val="center"/>
          </w:tcPr>
          <w:p w:rsidR="00851B9D" w:rsidRPr="000A5B5D" w:rsidRDefault="00851B9D" w:rsidP="00851B9D">
            <w:pPr>
              <w:widowControl/>
              <w:ind w:leftChars="-25" w:left="-45" w:rightChars="-41" w:right="-74"/>
              <w:jc w:val="left"/>
              <w:rPr>
                <w:rFonts w:ascii="Arial Narrow" w:hAnsi="Arial Narrow" w:cs="Arial"/>
                <w:kern w:val="0"/>
              </w:rPr>
            </w:pPr>
            <w:r w:rsidRPr="000A5B5D">
              <w:rPr>
                <w:rFonts w:ascii="Arial Narrow" w:hAnsi="Arial Narrow" w:cs="Arial" w:hint="eastAsia"/>
                <w:kern w:val="0"/>
              </w:rPr>
              <w:t>保证担保</w:t>
            </w:r>
          </w:p>
        </w:tc>
        <w:tc>
          <w:tcPr>
            <w:tcW w:w="1204"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 xml:space="preserve"> $2,635.00 </w:t>
            </w:r>
          </w:p>
        </w:tc>
        <w:tc>
          <w:tcPr>
            <w:tcW w:w="981"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2020-6-6</w:t>
            </w:r>
          </w:p>
        </w:tc>
        <w:tc>
          <w:tcPr>
            <w:tcW w:w="96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hint="eastAsia"/>
              </w:rPr>
              <w:t>项目贷款</w:t>
            </w:r>
          </w:p>
        </w:tc>
      </w:tr>
    </w:tbl>
    <w:p w:rsidR="00851B9D" w:rsidRPr="000A5B5D" w:rsidRDefault="00851B9D" w:rsidP="00851B9D">
      <w:pPr>
        <w:spacing w:line="400" w:lineRule="exact"/>
        <w:ind w:firstLineChars="200" w:firstLine="480"/>
        <w:rPr>
          <w:rFonts w:ascii="Arial" w:hAnsi="Arial" w:cs="Arial"/>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资产负债表日后事项</w:t>
      </w:r>
    </w:p>
    <w:p w:rsidR="00851B9D" w:rsidRPr="000A5B5D" w:rsidRDefault="00851B9D" w:rsidP="00851B9D">
      <w:pPr>
        <w:spacing w:line="400" w:lineRule="exact"/>
        <w:ind w:firstLineChars="200" w:firstLine="474"/>
        <w:rPr>
          <w:rFonts w:ascii="Arial" w:hAnsi="Arial" w:cs="Arial"/>
          <w:b/>
          <w:sz w:val="24"/>
        </w:rPr>
      </w:pPr>
      <w:r w:rsidRPr="000A5B5D">
        <w:rPr>
          <w:rFonts w:ascii="Arial" w:hAnsi="Arial" w:cs="Arial"/>
          <w:b/>
          <w:spacing w:val="-2"/>
          <w:sz w:val="24"/>
          <w:szCs w:val="28"/>
        </w:rPr>
        <w:t>1</w:t>
      </w:r>
      <w:r w:rsidRPr="000A5B5D">
        <w:rPr>
          <w:rFonts w:ascii="Arial" w:hAnsi="Arial" w:cs="Arial" w:hint="eastAsia"/>
          <w:b/>
          <w:spacing w:val="-2"/>
          <w:sz w:val="24"/>
          <w:szCs w:val="28"/>
        </w:rPr>
        <w:t>、重要的非调整事项</w:t>
      </w:r>
    </w:p>
    <w:tbl>
      <w:tblPr>
        <w:tblW w:w="5000" w:type="pct"/>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388"/>
        <w:gridCol w:w="4979"/>
        <w:gridCol w:w="3271"/>
      </w:tblGrid>
      <w:tr w:rsidR="00851B9D" w:rsidRPr="000A5B5D" w:rsidTr="00851B9D">
        <w:trPr>
          <w:trHeight w:val="397"/>
          <w:tblHeader/>
          <w:jc w:val="center"/>
        </w:trPr>
        <w:tc>
          <w:tcPr>
            <w:tcW w:w="720" w:type="pct"/>
            <w:tcBorders>
              <w:top w:val="single" w:sz="12" w:space="0" w:color="auto"/>
            </w:tcBorders>
            <w:noWrap/>
            <w:vAlign w:val="center"/>
          </w:tcPr>
          <w:p w:rsidR="00851B9D" w:rsidRPr="000A5B5D" w:rsidRDefault="00851B9D" w:rsidP="00851B9D">
            <w:pPr>
              <w:widowControl/>
              <w:spacing w:line="360" w:lineRule="auto"/>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583" w:type="pct"/>
            <w:tcBorders>
              <w:top w:val="single" w:sz="12" w:space="0" w:color="auto"/>
            </w:tcBorders>
            <w:noWrap/>
            <w:vAlign w:val="center"/>
          </w:tcPr>
          <w:p w:rsidR="00851B9D" w:rsidRPr="000A5B5D" w:rsidRDefault="00851B9D" w:rsidP="00851B9D">
            <w:pPr>
              <w:widowControl/>
              <w:spacing w:line="360" w:lineRule="auto"/>
              <w:jc w:val="center"/>
              <w:rPr>
                <w:rFonts w:ascii="Arial Narrow" w:hAnsi="Arial Narrow" w:cs="Arial"/>
                <w:kern w:val="0"/>
                <w:szCs w:val="21"/>
              </w:rPr>
            </w:pPr>
            <w:r w:rsidRPr="000A5B5D">
              <w:rPr>
                <w:rFonts w:ascii="Arial Narrow" w:hAnsi="Arial Narrow" w:cs="Arial" w:hint="eastAsia"/>
                <w:kern w:val="0"/>
                <w:szCs w:val="21"/>
              </w:rPr>
              <w:t>内</w:t>
            </w:r>
            <w:r w:rsidRPr="000A5B5D">
              <w:rPr>
                <w:rFonts w:ascii="Arial Narrow" w:hAnsi="Arial Narrow" w:cs="Arial"/>
                <w:kern w:val="0"/>
                <w:szCs w:val="21"/>
              </w:rPr>
              <w:t xml:space="preserve">   </w:t>
            </w:r>
            <w:r w:rsidRPr="000A5B5D">
              <w:rPr>
                <w:rFonts w:ascii="Arial Narrow" w:hAnsi="Arial Narrow" w:cs="Arial" w:hint="eastAsia"/>
                <w:kern w:val="0"/>
                <w:szCs w:val="21"/>
              </w:rPr>
              <w:t>容</w:t>
            </w:r>
          </w:p>
        </w:tc>
        <w:tc>
          <w:tcPr>
            <w:tcW w:w="1697" w:type="pct"/>
            <w:tcBorders>
              <w:top w:val="single" w:sz="12" w:space="0" w:color="auto"/>
            </w:tcBorders>
            <w:vAlign w:val="center"/>
          </w:tcPr>
          <w:p w:rsidR="00851B9D" w:rsidRPr="000A5B5D" w:rsidRDefault="00851B9D" w:rsidP="00851B9D">
            <w:pPr>
              <w:widowControl/>
              <w:spacing w:line="360" w:lineRule="auto"/>
              <w:jc w:val="center"/>
              <w:rPr>
                <w:rFonts w:ascii="Arial Narrow" w:hAnsi="Arial Narrow" w:cs="Arial"/>
                <w:kern w:val="0"/>
                <w:szCs w:val="21"/>
              </w:rPr>
            </w:pPr>
            <w:r w:rsidRPr="000A5B5D">
              <w:rPr>
                <w:rFonts w:ascii="Arial Narrow" w:hAnsi="Arial Narrow" w:cs="Arial" w:hint="eastAsia"/>
                <w:kern w:val="0"/>
                <w:szCs w:val="21"/>
              </w:rPr>
              <w:t>对财务状况和经营成果的影响数</w:t>
            </w:r>
          </w:p>
        </w:tc>
      </w:tr>
      <w:tr w:rsidR="00851B9D" w:rsidRPr="000A5B5D" w:rsidTr="00851B9D">
        <w:trPr>
          <w:trHeight w:val="397"/>
          <w:jc w:val="center"/>
        </w:trPr>
        <w:tc>
          <w:tcPr>
            <w:tcW w:w="720" w:type="pct"/>
            <w:tcBorders>
              <w:bottom w:val="single" w:sz="12" w:space="0" w:color="auto"/>
            </w:tcBorders>
            <w:noWrap/>
            <w:vAlign w:val="center"/>
          </w:tcPr>
          <w:p w:rsidR="00851B9D" w:rsidRPr="000A5B5D" w:rsidRDefault="00851B9D" w:rsidP="00851B9D">
            <w:pPr>
              <w:widowControl/>
              <w:spacing w:line="360" w:lineRule="auto"/>
              <w:rPr>
                <w:rFonts w:ascii="Arial Narrow" w:hAnsi="Arial Narrow" w:cs="Arial"/>
                <w:bCs/>
                <w:kern w:val="0"/>
                <w:szCs w:val="21"/>
              </w:rPr>
            </w:pPr>
            <w:r w:rsidRPr="000A5B5D">
              <w:rPr>
                <w:rFonts w:ascii="Arial Narrow" w:hAnsi="Arial Narrow" w:cs="Arial" w:hint="eastAsia"/>
                <w:bCs/>
                <w:kern w:val="0"/>
                <w:szCs w:val="21"/>
              </w:rPr>
              <w:t>处置子公司</w:t>
            </w:r>
          </w:p>
        </w:tc>
        <w:tc>
          <w:tcPr>
            <w:tcW w:w="2583" w:type="pct"/>
            <w:tcBorders>
              <w:bottom w:val="single" w:sz="12" w:space="0" w:color="auto"/>
            </w:tcBorders>
            <w:noWrap/>
            <w:vAlign w:val="center"/>
          </w:tcPr>
          <w:p w:rsidR="00851B9D" w:rsidRPr="000A5B5D" w:rsidRDefault="00851B9D" w:rsidP="00851B9D">
            <w:pPr>
              <w:widowControl/>
              <w:spacing w:line="360" w:lineRule="auto"/>
              <w:rPr>
                <w:rFonts w:ascii="Arial Narrow" w:hAnsi="Arial Narrow" w:cs="Arial"/>
                <w:kern w:val="0"/>
                <w:szCs w:val="21"/>
              </w:rPr>
            </w:pPr>
            <w:r w:rsidRPr="000A5B5D">
              <w:rPr>
                <w:rFonts w:ascii="Arial Narrow" w:hAnsi="Arial Narrow" w:cs="Arial"/>
                <w:kern w:val="0"/>
                <w:szCs w:val="21"/>
              </w:rPr>
              <w:t>2016</w:t>
            </w:r>
            <w:r w:rsidRPr="000A5B5D">
              <w:rPr>
                <w:rFonts w:ascii="Arial Narrow" w:hAnsi="Arial Narrow" w:cs="Arial" w:hint="eastAsia"/>
                <w:kern w:val="0"/>
                <w:szCs w:val="21"/>
              </w:rPr>
              <w:t>年</w:t>
            </w:r>
            <w:r w:rsidRPr="000A5B5D">
              <w:rPr>
                <w:rFonts w:ascii="Arial Narrow" w:hAnsi="Arial Narrow" w:cs="Arial"/>
                <w:kern w:val="0"/>
                <w:szCs w:val="21"/>
              </w:rPr>
              <w:t>3</w:t>
            </w:r>
            <w:r w:rsidRPr="000A5B5D">
              <w:rPr>
                <w:rFonts w:ascii="Arial Narrow" w:hAnsi="Arial Narrow" w:cs="Arial" w:hint="eastAsia"/>
                <w:kern w:val="0"/>
                <w:szCs w:val="21"/>
              </w:rPr>
              <w:t>月</w:t>
            </w:r>
            <w:r w:rsidRPr="000A5B5D">
              <w:rPr>
                <w:rFonts w:ascii="Arial Narrow" w:hAnsi="Arial Narrow" w:cs="Arial"/>
                <w:kern w:val="0"/>
                <w:szCs w:val="21"/>
              </w:rPr>
              <w:t>15</w:t>
            </w:r>
            <w:r w:rsidRPr="000A5B5D">
              <w:rPr>
                <w:rFonts w:ascii="Arial Narrow" w:hAnsi="Arial Narrow" w:cs="Arial" w:hint="eastAsia"/>
                <w:kern w:val="0"/>
                <w:szCs w:val="21"/>
              </w:rPr>
              <w:t>日，公司第九届董事会第二十三次会审议通过《关于转让全资子公司上海恒逸聚酯纤维有限公司股权的议案》，公司将上海恒逸聚酯纤维有限公司</w:t>
            </w:r>
            <w:r w:rsidRPr="000A5B5D">
              <w:rPr>
                <w:rFonts w:ascii="Arial Narrow" w:hAnsi="Arial Narrow" w:cs="Arial"/>
                <w:kern w:val="0"/>
                <w:szCs w:val="21"/>
              </w:rPr>
              <w:t>100%</w:t>
            </w:r>
            <w:r w:rsidRPr="000A5B5D">
              <w:rPr>
                <w:rFonts w:ascii="Arial Narrow" w:hAnsi="Arial Narrow" w:cs="Arial" w:hint="eastAsia"/>
                <w:kern w:val="0"/>
                <w:szCs w:val="21"/>
              </w:rPr>
              <w:t>股权转让给海南恒盛元国际旅游发展有限公司，转让总价款按照北京华信众合资产评估有限公司确定的最终评估价值</w:t>
            </w:r>
            <w:r w:rsidRPr="000A5B5D">
              <w:rPr>
                <w:rFonts w:ascii="Arial Narrow" w:hAnsi="Arial Narrow" w:cs="Arial"/>
                <w:kern w:val="0"/>
                <w:szCs w:val="21"/>
              </w:rPr>
              <w:t>43,780.01</w:t>
            </w:r>
            <w:r w:rsidRPr="000A5B5D">
              <w:rPr>
                <w:rFonts w:ascii="Arial Narrow" w:hAnsi="Arial Narrow" w:cs="Arial" w:hint="eastAsia"/>
                <w:kern w:val="0"/>
                <w:szCs w:val="21"/>
              </w:rPr>
              <w:t>万元执行。于</w:t>
            </w:r>
            <w:r w:rsidRPr="000A5B5D">
              <w:rPr>
                <w:rFonts w:ascii="Arial Narrow" w:hAnsi="Arial Narrow" w:cs="Arial"/>
                <w:kern w:val="0"/>
                <w:szCs w:val="21"/>
              </w:rPr>
              <w:t>2016</w:t>
            </w:r>
            <w:r w:rsidRPr="000A5B5D">
              <w:rPr>
                <w:rFonts w:ascii="Arial Narrow" w:hAnsi="Arial Narrow" w:cs="Arial" w:hint="eastAsia"/>
                <w:kern w:val="0"/>
                <w:szCs w:val="21"/>
              </w:rPr>
              <w:t>年</w:t>
            </w:r>
            <w:r w:rsidRPr="000A5B5D">
              <w:rPr>
                <w:rFonts w:ascii="Arial Narrow" w:hAnsi="Arial Narrow" w:cs="Arial"/>
                <w:kern w:val="0"/>
                <w:szCs w:val="21"/>
              </w:rPr>
              <w:t>3</w:t>
            </w:r>
            <w:r w:rsidRPr="000A5B5D">
              <w:rPr>
                <w:rFonts w:ascii="Arial Narrow" w:hAnsi="Arial Narrow" w:cs="Arial" w:hint="eastAsia"/>
                <w:kern w:val="0"/>
                <w:szCs w:val="21"/>
              </w:rPr>
              <w:t>月</w:t>
            </w:r>
            <w:r w:rsidRPr="000A5B5D">
              <w:rPr>
                <w:rFonts w:ascii="Arial Narrow" w:hAnsi="Arial Narrow" w:cs="Arial"/>
                <w:kern w:val="0"/>
                <w:szCs w:val="21"/>
              </w:rPr>
              <w:t>31</w:t>
            </w:r>
            <w:r w:rsidRPr="000A5B5D">
              <w:rPr>
                <w:rFonts w:ascii="Arial Narrow" w:hAnsi="Arial Narrow" w:cs="Arial" w:hint="eastAsia"/>
                <w:kern w:val="0"/>
                <w:szCs w:val="21"/>
              </w:rPr>
              <w:t>日，本公司召开</w:t>
            </w:r>
            <w:r w:rsidRPr="000A5B5D">
              <w:rPr>
                <w:rFonts w:ascii="Arial Narrow" w:hAnsi="Arial Narrow" w:cs="Arial"/>
                <w:kern w:val="0"/>
                <w:szCs w:val="21"/>
              </w:rPr>
              <w:t>2016</w:t>
            </w:r>
            <w:r w:rsidRPr="000A5B5D">
              <w:rPr>
                <w:rFonts w:ascii="Arial Narrow" w:hAnsi="Arial Narrow" w:cs="Arial" w:hint="eastAsia"/>
                <w:kern w:val="0"/>
                <w:szCs w:val="21"/>
              </w:rPr>
              <w:t>年第三次临时股东大会，审议并通过了该股权转让议案。</w:t>
            </w:r>
          </w:p>
        </w:tc>
        <w:tc>
          <w:tcPr>
            <w:tcW w:w="1697" w:type="pct"/>
            <w:tcBorders>
              <w:bottom w:val="single" w:sz="12" w:space="0" w:color="auto"/>
            </w:tcBorders>
            <w:noWrap/>
            <w:vAlign w:val="center"/>
          </w:tcPr>
          <w:p w:rsidR="00851B9D" w:rsidRPr="000A5B5D" w:rsidRDefault="00851B9D" w:rsidP="00851B9D">
            <w:pPr>
              <w:widowControl/>
              <w:spacing w:line="360" w:lineRule="auto"/>
              <w:jc w:val="right"/>
              <w:rPr>
                <w:rFonts w:ascii="Arial Narrow" w:hAnsi="Arial Narrow" w:cs="Arial"/>
                <w:kern w:val="0"/>
                <w:szCs w:val="21"/>
              </w:rPr>
            </w:pPr>
            <w:r w:rsidRPr="000A5B5D">
              <w:rPr>
                <w:rFonts w:ascii="Arial Narrow" w:hAnsi="Arial Narrow" w:cs="Arial" w:hint="eastAsia"/>
                <w:kern w:val="0"/>
                <w:szCs w:val="21"/>
              </w:rPr>
              <w:t>预计本次交易上市公司将实现约</w:t>
            </w:r>
            <w:r w:rsidRPr="000A5B5D">
              <w:rPr>
                <w:rFonts w:ascii="Arial Narrow" w:hAnsi="Arial Narrow" w:cs="Arial"/>
                <w:kern w:val="0"/>
                <w:szCs w:val="21"/>
              </w:rPr>
              <w:t>3,262.78</w:t>
            </w:r>
            <w:r w:rsidRPr="000A5B5D">
              <w:rPr>
                <w:rFonts w:ascii="Arial Narrow" w:hAnsi="Arial Narrow" w:cs="Arial" w:hint="eastAsia"/>
                <w:kern w:val="0"/>
                <w:szCs w:val="21"/>
              </w:rPr>
              <w:t>万元的税后净收益</w:t>
            </w:r>
          </w:p>
        </w:tc>
      </w:tr>
    </w:tbl>
    <w:p w:rsidR="00851B9D" w:rsidRPr="000A5B5D" w:rsidRDefault="00851B9D" w:rsidP="00851B9D">
      <w:pPr>
        <w:spacing w:line="400" w:lineRule="exact"/>
        <w:ind w:firstLineChars="200" w:firstLine="482"/>
        <w:rPr>
          <w:rFonts w:ascii="Arial" w:hAnsi="Arial" w:cs="Arial"/>
          <w:b/>
          <w:bCs/>
          <w:sz w:val="24"/>
        </w:rPr>
      </w:pPr>
      <w:r w:rsidRPr="000A5B5D">
        <w:rPr>
          <w:rFonts w:ascii="Arial" w:hAnsi="Arial" w:cs="Arial"/>
          <w:b/>
          <w:bCs/>
          <w:sz w:val="24"/>
        </w:rPr>
        <w:t>2</w:t>
      </w:r>
      <w:r w:rsidRPr="000A5B5D">
        <w:rPr>
          <w:rFonts w:ascii="Arial" w:hAnsi="Arial" w:cs="Arial" w:hint="eastAsia"/>
          <w:b/>
          <w:bCs/>
          <w:sz w:val="24"/>
        </w:rPr>
        <w:t>、截止本财务报告报出日，除上述事项外，本公司本年度无其他需披露的资产负债表日后事项</w:t>
      </w:r>
    </w:p>
    <w:p w:rsidR="00851B9D" w:rsidRPr="000A5B5D" w:rsidRDefault="00851B9D" w:rsidP="00851B9D">
      <w:pPr>
        <w:spacing w:line="400" w:lineRule="exact"/>
        <w:ind w:firstLineChars="200" w:firstLine="482"/>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其他重要事项</w:t>
      </w:r>
    </w:p>
    <w:p w:rsidR="00851B9D" w:rsidRPr="000A5B5D" w:rsidRDefault="00851B9D" w:rsidP="00851B9D">
      <w:pPr>
        <w:spacing w:line="400" w:lineRule="exact"/>
        <w:ind w:firstLineChars="200" w:firstLine="474"/>
        <w:outlineLvl w:val="1"/>
        <w:rPr>
          <w:rFonts w:ascii="Arial" w:hAnsi="Arial" w:cs="Arial"/>
          <w:b/>
          <w:spacing w:val="-2"/>
          <w:sz w:val="24"/>
          <w:szCs w:val="28"/>
        </w:rPr>
      </w:pPr>
      <w:r w:rsidRPr="000A5B5D">
        <w:rPr>
          <w:rFonts w:ascii="Arial" w:hAnsi="Arial" w:cs="Arial"/>
          <w:b/>
          <w:spacing w:val="-2"/>
          <w:sz w:val="24"/>
          <w:szCs w:val="28"/>
        </w:rPr>
        <w:t>1</w:t>
      </w:r>
      <w:r w:rsidRPr="000A5B5D">
        <w:rPr>
          <w:rFonts w:ascii="Arial" w:hAnsi="Arial" w:cs="Arial" w:hint="eastAsia"/>
          <w:b/>
          <w:spacing w:val="-2"/>
          <w:sz w:val="24"/>
          <w:szCs w:val="28"/>
        </w:rPr>
        <w:t>、前期差错更正</w:t>
      </w:r>
    </w:p>
    <w:p w:rsidR="00851B9D" w:rsidRPr="000A5B5D" w:rsidRDefault="00851B9D" w:rsidP="00851B9D">
      <w:pPr>
        <w:spacing w:line="400" w:lineRule="exact"/>
        <w:ind w:firstLine="482"/>
        <w:jc w:val="left"/>
        <w:rPr>
          <w:rFonts w:ascii="Arial" w:hAnsi="Arial" w:cs="Arial"/>
          <w:spacing w:val="-2"/>
          <w:sz w:val="24"/>
          <w:szCs w:val="28"/>
        </w:rPr>
      </w:pPr>
      <w:r w:rsidRPr="000A5B5D">
        <w:rPr>
          <w:rFonts w:ascii="Arial" w:hAnsi="Arial" w:cs="Arial" w:hint="eastAsia"/>
          <w:spacing w:val="-2"/>
          <w:sz w:val="24"/>
          <w:szCs w:val="28"/>
        </w:rPr>
        <w:t>本公司本年度无需披露的前期差错更正事项。</w:t>
      </w:r>
    </w:p>
    <w:p w:rsidR="00851B9D" w:rsidRPr="000A5B5D" w:rsidRDefault="00851B9D" w:rsidP="00851B9D">
      <w:pPr>
        <w:spacing w:line="400" w:lineRule="exact"/>
        <w:ind w:firstLineChars="200" w:firstLine="474"/>
        <w:outlineLvl w:val="1"/>
        <w:rPr>
          <w:rFonts w:ascii="Arial" w:hAnsi="Arial" w:cs="Arial"/>
          <w:b/>
          <w:spacing w:val="-2"/>
          <w:sz w:val="24"/>
          <w:szCs w:val="28"/>
        </w:rPr>
      </w:pPr>
      <w:r w:rsidRPr="000A5B5D">
        <w:rPr>
          <w:rFonts w:ascii="Arial" w:hAnsi="Arial" w:cs="Arial"/>
          <w:b/>
          <w:spacing w:val="-2"/>
          <w:sz w:val="24"/>
          <w:szCs w:val="28"/>
        </w:rPr>
        <w:t>2</w:t>
      </w:r>
      <w:r w:rsidRPr="000A5B5D">
        <w:rPr>
          <w:rFonts w:ascii="Arial" w:hAnsi="Arial" w:cs="Arial" w:hint="eastAsia"/>
          <w:b/>
          <w:spacing w:val="-2"/>
          <w:sz w:val="24"/>
          <w:szCs w:val="28"/>
        </w:rPr>
        <w:t>、分部信息</w:t>
      </w:r>
    </w:p>
    <w:p w:rsidR="00851B9D" w:rsidRPr="000A5B5D" w:rsidRDefault="00851B9D" w:rsidP="00851B9D">
      <w:pPr>
        <w:spacing w:line="400" w:lineRule="exact"/>
        <w:ind w:firstLine="482"/>
        <w:jc w:val="left"/>
        <w:rPr>
          <w:rFonts w:ascii="Arial" w:hAnsi="Arial" w:cs="Arial"/>
          <w:spacing w:val="-2"/>
          <w:sz w:val="24"/>
          <w:szCs w:val="28"/>
        </w:rPr>
      </w:pPr>
      <w:r w:rsidRPr="000A5B5D">
        <w:rPr>
          <w:rFonts w:ascii="Arial" w:hAnsi="Arial" w:cs="Arial" w:hint="eastAsia"/>
          <w:spacing w:val="-2"/>
          <w:sz w:val="24"/>
          <w:szCs w:val="28"/>
        </w:rPr>
        <w:t>本公司未执行分部管理，无报告分部。</w:t>
      </w:r>
    </w:p>
    <w:p w:rsidR="00851B9D" w:rsidRPr="000A5B5D" w:rsidRDefault="00851B9D" w:rsidP="00851B9D">
      <w:pPr>
        <w:spacing w:line="400" w:lineRule="exact"/>
        <w:ind w:firstLine="482"/>
        <w:jc w:val="left"/>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公司财务报表主要项目注释</w:t>
      </w:r>
    </w:p>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1</w:t>
      </w:r>
      <w:r w:rsidRPr="000A5B5D">
        <w:rPr>
          <w:rFonts w:ascii="Arial" w:hAnsi="Arial" w:cs="Arial" w:hint="eastAsia"/>
          <w:b/>
          <w:sz w:val="24"/>
        </w:rPr>
        <w:t>、其他应收款</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）其他应收款分类披露</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83"/>
        <w:gridCol w:w="1821"/>
        <w:gridCol w:w="992"/>
        <w:gridCol w:w="1417"/>
        <w:gridCol w:w="1000"/>
        <w:gridCol w:w="1301"/>
      </w:tblGrid>
      <w:tr w:rsidR="00851B9D" w:rsidRPr="000A5B5D" w:rsidTr="00851B9D">
        <w:trPr>
          <w:trHeight w:val="397"/>
          <w:jc w:val="center"/>
        </w:trPr>
        <w:tc>
          <w:tcPr>
            <w:tcW w:w="2683"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531"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jc w:val="center"/>
        </w:trPr>
        <w:tc>
          <w:tcPr>
            <w:tcW w:w="2683" w:type="dxa"/>
            <w:vMerge/>
            <w:vAlign w:val="center"/>
          </w:tcPr>
          <w:p w:rsidR="00851B9D" w:rsidRPr="000A5B5D" w:rsidRDefault="00851B9D" w:rsidP="00851B9D">
            <w:pPr>
              <w:widowControl/>
              <w:jc w:val="center"/>
              <w:rPr>
                <w:rFonts w:ascii="Arial Narrow" w:hAnsi="Arial Narrow" w:cs="Arial"/>
                <w:kern w:val="0"/>
                <w:szCs w:val="21"/>
              </w:rPr>
            </w:pPr>
          </w:p>
        </w:tc>
        <w:tc>
          <w:tcPr>
            <w:tcW w:w="2813"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417"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301" w:type="dxa"/>
            <w:vMerge w:val="restart"/>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jc w:val="center"/>
        </w:trPr>
        <w:tc>
          <w:tcPr>
            <w:tcW w:w="2683" w:type="dxa"/>
            <w:vMerge/>
            <w:vAlign w:val="center"/>
          </w:tcPr>
          <w:p w:rsidR="00851B9D" w:rsidRPr="000A5B5D" w:rsidRDefault="00851B9D" w:rsidP="00851B9D">
            <w:pPr>
              <w:widowControl/>
              <w:jc w:val="center"/>
              <w:rPr>
                <w:rFonts w:ascii="Arial Narrow" w:hAnsi="Arial Narrow" w:cs="Arial"/>
                <w:kern w:val="0"/>
                <w:szCs w:val="21"/>
              </w:rPr>
            </w:pPr>
          </w:p>
        </w:tc>
        <w:tc>
          <w:tcPr>
            <w:tcW w:w="1821"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92"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417"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100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301" w:type="dxa"/>
            <w:vMerge/>
            <w:vAlign w:val="center"/>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68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lastRenderedPageBreak/>
              <w:t>单项金额重大并单独计提坏账准备的其他应收款</w:t>
            </w:r>
          </w:p>
        </w:tc>
        <w:tc>
          <w:tcPr>
            <w:tcW w:w="182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000"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c>
          <w:tcPr>
            <w:tcW w:w="130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68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按信用风险特征组合计提坏账准备的其他应收款</w:t>
            </w:r>
          </w:p>
        </w:tc>
        <w:tc>
          <w:tcPr>
            <w:tcW w:w="182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47,470,053.22</w:t>
            </w:r>
          </w:p>
        </w:tc>
        <w:tc>
          <w:tcPr>
            <w:tcW w:w="992"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100.00</w:t>
            </w:r>
          </w:p>
        </w:tc>
        <w:tc>
          <w:tcPr>
            <w:tcW w:w="14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5,500.00</w:t>
            </w:r>
          </w:p>
        </w:tc>
        <w:tc>
          <w:tcPr>
            <w:tcW w:w="1000"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0.01</w:t>
            </w:r>
          </w:p>
        </w:tc>
        <w:tc>
          <w:tcPr>
            <w:tcW w:w="1301"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47,464,553.22</w:t>
            </w:r>
          </w:p>
        </w:tc>
      </w:tr>
      <w:tr w:rsidR="00851B9D" w:rsidRPr="000A5B5D" w:rsidTr="00851B9D">
        <w:trPr>
          <w:trHeight w:val="397"/>
          <w:jc w:val="center"/>
        </w:trPr>
        <w:tc>
          <w:tcPr>
            <w:tcW w:w="2683"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单项金额不重大但单独计提坏账准备的其他应收款</w:t>
            </w:r>
          </w:p>
        </w:tc>
        <w:tc>
          <w:tcPr>
            <w:tcW w:w="1821"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0.00</w:t>
            </w:r>
          </w:p>
        </w:tc>
        <w:tc>
          <w:tcPr>
            <w:tcW w:w="992"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c>
          <w:tcPr>
            <w:tcW w:w="1417"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000" w:type="dxa"/>
            <w:vAlign w:val="center"/>
          </w:tcPr>
          <w:p w:rsidR="00851B9D" w:rsidRPr="000A5B5D" w:rsidRDefault="00851B9D" w:rsidP="00851B9D">
            <w:pPr>
              <w:jc w:val="right"/>
              <w:rPr>
                <w:rFonts w:ascii="Arial Narrow" w:hAnsi="Arial Narrow" w:cs="Arial"/>
              </w:rPr>
            </w:pPr>
            <w:r w:rsidRPr="000A5B5D">
              <w:rPr>
                <w:rFonts w:ascii="Arial Narrow" w:hAnsi="Arial Narrow" w:cs="Arial"/>
                <w:kern w:val="0"/>
                <w:szCs w:val="21"/>
              </w:rPr>
              <w:t>0.00</w:t>
            </w:r>
          </w:p>
        </w:tc>
        <w:tc>
          <w:tcPr>
            <w:tcW w:w="130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683"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82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47,470,053.22</w:t>
            </w:r>
          </w:p>
        </w:tc>
        <w:tc>
          <w:tcPr>
            <w:tcW w:w="992"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100.00</w:t>
            </w:r>
          </w:p>
        </w:tc>
        <w:tc>
          <w:tcPr>
            <w:tcW w:w="14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5,500.00</w:t>
            </w:r>
          </w:p>
        </w:tc>
        <w:tc>
          <w:tcPr>
            <w:tcW w:w="100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0.01</w:t>
            </w:r>
          </w:p>
        </w:tc>
        <w:tc>
          <w:tcPr>
            <w:tcW w:w="130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47,464,553.22</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（续）</w:t>
      </w:r>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04"/>
        <w:gridCol w:w="1820"/>
        <w:gridCol w:w="994"/>
        <w:gridCol w:w="1413"/>
        <w:gridCol w:w="994"/>
        <w:gridCol w:w="1231"/>
      </w:tblGrid>
      <w:tr w:rsidR="00851B9D" w:rsidRPr="000A5B5D" w:rsidTr="00851B9D">
        <w:trPr>
          <w:trHeight w:val="397"/>
          <w:tblHeader/>
          <w:jc w:val="center"/>
        </w:trPr>
        <w:tc>
          <w:tcPr>
            <w:tcW w:w="260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类</w:t>
            </w:r>
            <w:r w:rsidRPr="000A5B5D">
              <w:rPr>
                <w:rFonts w:ascii="Arial Narrow" w:hAnsi="Arial Narrow" w:cs="Arial"/>
                <w:kern w:val="0"/>
                <w:szCs w:val="21"/>
              </w:rPr>
              <w:t xml:space="preserve">   </w:t>
            </w:r>
            <w:r w:rsidRPr="000A5B5D">
              <w:rPr>
                <w:rFonts w:ascii="Arial Narrow" w:hAnsi="Arial Narrow" w:cs="Arial" w:hint="eastAsia"/>
                <w:kern w:val="0"/>
                <w:szCs w:val="21"/>
              </w:rPr>
              <w:t>别</w:t>
            </w:r>
          </w:p>
        </w:tc>
        <w:tc>
          <w:tcPr>
            <w:tcW w:w="6452" w:type="dxa"/>
            <w:gridSpan w:val="5"/>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blHeader/>
          <w:jc w:val="center"/>
        </w:trPr>
        <w:tc>
          <w:tcPr>
            <w:tcW w:w="2604" w:type="dxa"/>
            <w:vMerge/>
            <w:vAlign w:val="center"/>
          </w:tcPr>
          <w:p w:rsidR="00851B9D" w:rsidRPr="000A5B5D" w:rsidRDefault="00851B9D" w:rsidP="00851B9D">
            <w:pPr>
              <w:widowControl/>
              <w:jc w:val="center"/>
              <w:rPr>
                <w:rFonts w:ascii="Arial Narrow" w:hAnsi="Arial Narrow" w:cs="Arial"/>
                <w:kern w:val="0"/>
                <w:szCs w:val="21"/>
              </w:rPr>
            </w:pPr>
          </w:p>
        </w:tc>
        <w:tc>
          <w:tcPr>
            <w:tcW w:w="2814"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账面余额</w:t>
            </w:r>
          </w:p>
        </w:tc>
        <w:tc>
          <w:tcPr>
            <w:tcW w:w="2407" w:type="dxa"/>
            <w:gridSpan w:val="2"/>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1231" w:type="dxa"/>
            <w:vMerge w:val="restart"/>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账面价值</w:t>
            </w:r>
          </w:p>
        </w:tc>
      </w:tr>
      <w:tr w:rsidR="00851B9D" w:rsidRPr="000A5B5D" w:rsidTr="00851B9D">
        <w:trPr>
          <w:trHeight w:val="397"/>
          <w:tblHeader/>
          <w:jc w:val="center"/>
        </w:trPr>
        <w:tc>
          <w:tcPr>
            <w:tcW w:w="2604" w:type="dxa"/>
            <w:vMerge/>
            <w:vAlign w:val="center"/>
          </w:tcPr>
          <w:p w:rsidR="00851B9D" w:rsidRPr="000A5B5D" w:rsidRDefault="00851B9D" w:rsidP="00851B9D">
            <w:pPr>
              <w:widowControl/>
              <w:jc w:val="left"/>
              <w:rPr>
                <w:rFonts w:ascii="Arial Narrow" w:hAnsi="Arial Narrow" w:cs="Arial"/>
                <w:kern w:val="0"/>
                <w:szCs w:val="21"/>
              </w:rPr>
            </w:pPr>
          </w:p>
        </w:tc>
        <w:tc>
          <w:tcPr>
            <w:tcW w:w="182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413"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c>
          <w:tcPr>
            <w:tcW w:w="994"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比例</w:t>
            </w:r>
            <w:r w:rsidRPr="000A5B5D">
              <w:rPr>
                <w:rFonts w:ascii="Arial Narrow" w:hAnsi="Arial Narrow" w:cs="Arial"/>
                <w:kern w:val="0"/>
                <w:szCs w:val="21"/>
              </w:rPr>
              <w:t>(%)</w:t>
            </w:r>
          </w:p>
        </w:tc>
        <w:tc>
          <w:tcPr>
            <w:tcW w:w="1231" w:type="dxa"/>
            <w:vMerge/>
            <w:vAlign w:val="center"/>
          </w:tcPr>
          <w:p w:rsidR="00851B9D" w:rsidRPr="000A5B5D" w:rsidRDefault="00851B9D" w:rsidP="00851B9D">
            <w:pPr>
              <w:widowControl/>
              <w:jc w:val="center"/>
              <w:rPr>
                <w:rFonts w:ascii="Arial Narrow" w:hAnsi="Arial Narrow" w:cs="Arial"/>
                <w:kern w:val="0"/>
                <w:szCs w:val="21"/>
              </w:rPr>
            </w:pPr>
          </w:p>
        </w:tc>
      </w:tr>
      <w:tr w:rsidR="00851B9D" w:rsidRPr="000A5B5D" w:rsidTr="00851B9D">
        <w:trPr>
          <w:trHeight w:val="397"/>
          <w:jc w:val="center"/>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单项金额重大并单独计提坏账准备的其他应收款</w:t>
            </w:r>
          </w:p>
        </w:tc>
        <w:tc>
          <w:tcPr>
            <w:tcW w:w="182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41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94" w:type="dxa"/>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kern w:val="0"/>
                <w:szCs w:val="21"/>
              </w:rPr>
              <w:t>0.00</w:t>
            </w:r>
          </w:p>
        </w:tc>
        <w:tc>
          <w:tcPr>
            <w:tcW w:w="12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按信用风险特征组合计提坏账准备的其他应收款</w:t>
            </w:r>
          </w:p>
        </w:tc>
        <w:tc>
          <w:tcPr>
            <w:tcW w:w="182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2,602,500.00</w:t>
            </w:r>
          </w:p>
        </w:tc>
        <w:tc>
          <w:tcPr>
            <w:tcW w:w="9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41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2,602,500.00</w:t>
            </w:r>
          </w:p>
        </w:tc>
        <w:tc>
          <w:tcPr>
            <w:tcW w:w="9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23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0.00</w:t>
            </w:r>
          </w:p>
        </w:tc>
      </w:tr>
      <w:tr w:rsidR="00851B9D" w:rsidRPr="000A5B5D" w:rsidTr="00851B9D">
        <w:trPr>
          <w:trHeight w:val="397"/>
          <w:jc w:val="center"/>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单项金额不重大但单独计提坏账准备的其他应收款</w:t>
            </w:r>
          </w:p>
        </w:tc>
        <w:tc>
          <w:tcPr>
            <w:tcW w:w="1820"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94"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1413"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994" w:type="dxa"/>
            <w:vAlign w:val="center"/>
          </w:tcPr>
          <w:p w:rsidR="00851B9D" w:rsidRPr="000A5B5D" w:rsidRDefault="00851B9D" w:rsidP="00851B9D">
            <w:pPr>
              <w:widowControl/>
              <w:ind w:rightChars="60" w:right="108"/>
              <w:jc w:val="right"/>
              <w:rPr>
                <w:rFonts w:ascii="Arial Narrow" w:hAnsi="Arial Narrow" w:cs="Arial"/>
                <w:kern w:val="0"/>
                <w:szCs w:val="21"/>
              </w:rPr>
            </w:pPr>
            <w:r w:rsidRPr="000A5B5D">
              <w:rPr>
                <w:rFonts w:ascii="Arial Narrow" w:hAnsi="Arial Narrow" w:cs="Arial"/>
                <w:kern w:val="0"/>
                <w:szCs w:val="21"/>
              </w:rPr>
              <w:t>0.00</w:t>
            </w:r>
          </w:p>
        </w:tc>
        <w:tc>
          <w:tcPr>
            <w:tcW w:w="123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jc w:val="center"/>
        </w:trPr>
        <w:tc>
          <w:tcPr>
            <w:tcW w:w="2604"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1820"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2,602,500.00</w:t>
            </w:r>
          </w:p>
        </w:tc>
        <w:tc>
          <w:tcPr>
            <w:tcW w:w="99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413"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2,602,500.00</w:t>
            </w:r>
          </w:p>
        </w:tc>
        <w:tc>
          <w:tcPr>
            <w:tcW w:w="994"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100.00</w:t>
            </w:r>
          </w:p>
        </w:tc>
        <w:tc>
          <w:tcPr>
            <w:tcW w:w="123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szCs w:val="21"/>
              </w:rPr>
              <w:t>0.00</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组合中，按账龄分析法计提坏账准备的其他应收款</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604"/>
        <w:gridCol w:w="2086"/>
        <w:gridCol w:w="2099"/>
        <w:gridCol w:w="2311"/>
      </w:tblGrid>
      <w:tr w:rsidR="00851B9D" w:rsidRPr="000A5B5D" w:rsidTr="00851B9D">
        <w:trPr>
          <w:trHeight w:val="397"/>
          <w:tblHeader/>
        </w:trPr>
        <w:tc>
          <w:tcPr>
            <w:tcW w:w="2604"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w:t>
            </w:r>
            <w:r w:rsidRPr="000A5B5D">
              <w:rPr>
                <w:rFonts w:ascii="Arial Narrow" w:hAnsi="Arial Narrow" w:cs="Arial"/>
                <w:kern w:val="0"/>
                <w:szCs w:val="21"/>
              </w:rPr>
              <w:t xml:space="preserve">  </w:t>
            </w:r>
            <w:r w:rsidRPr="000A5B5D">
              <w:rPr>
                <w:rFonts w:ascii="Arial Narrow" w:hAnsi="Arial Narrow" w:cs="Arial" w:hint="eastAsia"/>
                <w:kern w:val="0"/>
                <w:szCs w:val="21"/>
              </w:rPr>
              <w:t>龄</w:t>
            </w:r>
          </w:p>
        </w:tc>
        <w:tc>
          <w:tcPr>
            <w:tcW w:w="6496"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blHeader/>
        </w:trPr>
        <w:tc>
          <w:tcPr>
            <w:tcW w:w="2604" w:type="dxa"/>
            <w:vMerge/>
            <w:vAlign w:val="center"/>
          </w:tcPr>
          <w:p w:rsidR="00851B9D" w:rsidRPr="000A5B5D" w:rsidRDefault="00851B9D" w:rsidP="00851B9D">
            <w:pPr>
              <w:widowControl/>
              <w:jc w:val="center"/>
              <w:rPr>
                <w:rFonts w:ascii="Arial Narrow" w:hAnsi="Arial Narrow" w:cs="Arial"/>
                <w:kern w:val="0"/>
                <w:szCs w:val="21"/>
              </w:rPr>
            </w:pPr>
          </w:p>
        </w:tc>
        <w:tc>
          <w:tcPr>
            <w:tcW w:w="2086"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其他应收款</w:t>
            </w:r>
          </w:p>
        </w:tc>
        <w:tc>
          <w:tcPr>
            <w:tcW w:w="2099"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tc>
        <w:tc>
          <w:tcPr>
            <w:tcW w:w="2311" w:type="dxa"/>
            <w:vAlign w:val="center"/>
          </w:tcPr>
          <w:p w:rsidR="00851B9D" w:rsidRPr="000A5B5D" w:rsidRDefault="00851B9D" w:rsidP="00851B9D">
            <w:pPr>
              <w:jc w:val="center"/>
              <w:rPr>
                <w:rFonts w:ascii="Arial Narrow" w:hAnsi="Arial Narrow" w:cs="Arial"/>
                <w:kern w:val="0"/>
                <w:szCs w:val="21"/>
              </w:rPr>
            </w:pPr>
            <w:r w:rsidRPr="000A5B5D">
              <w:rPr>
                <w:rFonts w:ascii="Arial Narrow" w:hAnsi="Arial Narrow" w:cs="Arial" w:hint="eastAsia"/>
                <w:kern w:val="0"/>
                <w:szCs w:val="21"/>
              </w:rPr>
              <w:t>计提比例（</w:t>
            </w:r>
            <w:r w:rsidRPr="000A5B5D">
              <w:rPr>
                <w:rFonts w:ascii="Arial Narrow" w:hAnsi="Arial Narrow" w:cs="Arial"/>
                <w:kern w:val="0"/>
                <w:szCs w:val="21"/>
              </w:rPr>
              <w:t>%</w:t>
            </w:r>
            <w:r w:rsidRPr="000A5B5D">
              <w:rPr>
                <w:rFonts w:ascii="Arial Narrow" w:hAnsi="Arial Narrow" w:cs="Arial" w:hint="eastAsia"/>
                <w:kern w:val="0"/>
                <w:szCs w:val="21"/>
              </w:rPr>
              <w:t>）</w:t>
            </w:r>
          </w:p>
        </w:tc>
      </w:tr>
      <w:tr w:rsidR="00851B9D" w:rsidRPr="000A5B5D" w:rsidTr="00851B9D">
        <w:trPr>
          <w:trHeight w:val="397"/>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6</w:t>
            </w:r>
            <w:r w:rsidRPr="000A5B5D">
              <w:rPr>
                <w:rFonts w:ascii="Arial Narrow" w:hAnsi="Arial Narrow" w:cs="Arial" w:hint="eastAsia"/>
                <w:kern w:val="0"/>
                <w:szCs w:val="21"/>
              </w:rPr>
              <w:t>个月以内</w:t>
            </w:r>
          </w:p>
        </w:tc>
        <w:tc>
          <w:tcPr>
            <w:tcW w:w="20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47,367,553.22  </w:t>
            </w:r>
          </w:p>
        </w:tc>
        <w:tc>
          <w:tcPr>
            <w:tcW w:w="209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31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r w:rsidR="00851B9D" w:rsidRPr="000A5B5D" w:rsidTr="00851B9D">
        <w:trPr>
          <w:trHeight w:val="397"/>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7-12</w:t>
            </w:r>
            <w:r w:rsidRPr="000A5B5D">
              <w:rPr>
                <w:rFonts w:ascii="Arial Narrow" w:hAnsi="Arial Narrow" w:cs="Arial" w:hint="eastAsia"/>
                <w:kern w:val="0"/>
                <w:szCs w:val="21"/>
              </w:rPr>
              <w:t>个月</w:t>
            </w:r>
          </w:p>
        </w:tc>
        <w:tc>
          <w:tcPr>
            <w:tcW w:w="20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100,000.00 </w:t>
            </w:r>
          </w:p>
        </w:tc>
        <w:tc>
          <w:tcPr>
            <w:tcW w:w="209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3,000.00 </w:t>
            </w:r>
          </w:p>
        </w:tc>
        <w:tc>
          <w:tcPr>
            <w:tcW w:w="231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3.00</w:t>
            </w:r>
          </w:p>
        </w:tc>
      </w:tr>
      <w:tr w:rsidR="00851B9D" w:rsidRPr="000A5B5D" w:rsidTr="00851B9D">
        <w:trPr>
          <w:trHeight w:val="397"/>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1-2</w:t>
            </w:r>
            <w:r w:rsidRPr="000A5B5D">
              <w:rPr>
                <w:rFonts w:ascii="Arial Narrow" w:hAnsi="Arial Narrow" w:cs="Arial" w:hint="eastAsia"/>
                <w:kern w:val="0"/>
                <w:szCs w:val="21"/>
              </w:rPr>
              <w:t>年</w:t>
            </w:r>
          </w:p>
        </w:tc>
        <w:tc>
          <w:tcPr>
            <w:tcW w:w="20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09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31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10.00</w:t>
            </w:r>
          </w:p>
        </w:tc>
      </w:tr>
      <w:tr w:rsidR="00851B9D" w:rsidRPr="000A5B5D" w:rsidTr="00851B9D">
        <w:trPr>
          <w:trHeight w:val="397"/>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2-3</w:t>
            </w:r>
            <w:r w:rsidRPr="000A5B5D">
              <w:rPr>
                <w:rFonts w:ascii="Arial Narrow" w:hAnsi="Arial Narrow" w:cs="Arial" w:hint="eastAsia"/>
                <w:kern w:val="0"/>
                <w:szCs w:val="21"/>
              </w:rPr>
              <w:t>年</w:t>
            </w:r>
          </w:p>
        </w:tc>
        <w:tc>
          <w:tcPr>
            <w:tcW w:w="20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09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0.00 </w:t>
            </w:r>
          </w:p>
        </w:tc>
        <w:tc>
          <w:tcPr>
            <w:tcW w:w="231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50.00</w:t>
            </w:r>
          </w:p>
        </w:tc>
      </w:tr>
      <w:tr w:rsidR="00851B9D" w:rsidRPr="000A5B5D" w:rsidTr="00851B9D">
        <w:trPr>
          <w:trHeight w:val="397"/>
        </w:trPr>
        <w:tc>
          <w:tcPr>
            <w:tcW w:w="2604"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kern w:val="0"/>
                <w:szCs w:val="21"/>
              </w:rPr>
              <w:t>3</w:t>
            </w:r>
            <w:r w:rsidRPr="000A5B5D">
              <w:rPr>
                <w:rFonts w:ascii="Arial Narrow" w:hAnsi="Arial Narrow" w:cs="Arial" w:hint="eastAsia"/>
                <w:kern w:val="0"/>
                <w:szCs w:val="21"/>
              </w:rPr>
              <w:t>年以上</w:t>
            </w:r>
          </w:p>
        </w:tc>
        <w:tc>
          <w:tcPr>
            <w:tcW w:w="2086"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2,500.00 </w:t>
            </w:r>
          </w:p>
        </w:tc>
        <w:tc>
          <w:tcPr>
            <w:tcW w:w="2099"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2,500.00 </w:t>
            </w:r>
          </w:p>
        </w:tc>
        <w:tc>
          <w:tcPr>
            <w:tcW w:w="2311" w:type="dxa"/>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100.00</w:t>
            </w:r>
          </w:p>
        </w:tc>
      </w:tr>
      <w:tr w:rsidR="00851B9D" w:rsidRPr="000A5B5D" w:rsidTr="00851B9D">
        <w:trPr>
          <w:trHeight w:val="397"/>
        </w:trPr>
        <w:tc>
          <w:tcPr>
            <w:tcW w:w="2604"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086"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47,470,053.22  </w:t>
            </w:r>
          </w:p>
        </w:tc>
        <w:tc>
          <w:tcPr>
            <w:tcW w:w="2099"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5,500.00 </w:t>
            </w:r>
          </w:p>
        </w:tc>
        <w:tc>
          <w:tcPr>
            <w:tcW w:w="2311"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0.01</w:t>
            </w:r>
          </w:p>
        </w:tc>
      </w:tr>
    </w:tbl>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）本年计提、收回或转回的坏账准备情况</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本年计提坏账准备金额</w:t>
      </w:r>
      <w:r w:rsidRPr="000A5B5D">
        <w:rPr>
          <w:rFonts w:ascii="Arial" w:hAnsi="Arial" w:cs="Arial"/>
          <w:sz w:val="24"/>
        </w:rPr>
        <w:t>-2,597,000.00</w:t>
      </w:r>
      <w:r w:rsidRPr="000A5B5D">
        <w:rPr>
          <w:rFonts w:ascii="Arial" w:hAnsi="Arial" w:cs="Arial" w:hint="eastAsia"/>
          <w:sz w:val="24"/>
        </w:rPr>
        <w:t>元；</w:t>
      </w:r>
    </w:p>
    <w:p w:rsidR="00851B9D" w:rsidRPr="000A5B5D" w:rsidRDefault="00851B9D" w:rsidP="00851B9D">
      <w:pPr>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3</w:t>
      </w:r>
      <w:r w:rsidRPr="000A5B5D">
        <w:rPr>
          <w:rFonts w:ascii="Arial" w:hAnsi="Arial" w:cs="Arial" w:hint="eastAsia"/>
          <w:sz w:val="24"/>
        </w:rPr>
        <w:t>）其他应收款按款项性质分类情况</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4379"/>
        <w:gridCol w:w="2104"/>
        <w:gridCol w:w="2617"/>
      </w:tblGrid>
      <w:tr w:rsidR="00851B9D" w:rsidRPr="000A5B5D" w:rsidTr="00851B9D">
        <w:trPr>
          <w:trHeight w:val="397"/>
          <w:tblHeader/>
        </w:trPr>
        <w:tc>
          <w:tcPr>
            <w:tcW w:w="4379"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款项性质</w:t>
            </w:r>
          </w:p>
        </w:tc>
        <w:tc>
          <w:tcPr>
            <w:tcW w:w="2104"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2617"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年初余额</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往来款</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47,370,053.22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2,602,500.00 </w:t>
            </w:r>
          </w:p>
        </w:tc>
      </w:tr>
      <w:tr w:rsidR="00851B9D" w:rsidRPr="000A5B5D" w:rsidTr="00851B9D">
        <w:trPr>
          <w:trHeight w:val="397"/>
        </w:trPr>
        <w:tc>
          <w:tcPr>
            <w:tcW w:w="4379" w:type="dxa"/>
            <w:vAlign w:val="center"/>
          </w:tcPr>
          <w:p w:rsidR="00851B9D" w:rsidRPr="000A5B5D" w:rsidRDefault="00851B9D" w:rsidP="00851B9D">
            <w:pPr>
              <w:rPr>
                <w:rFonts w:ascii="Arial Narrow" w:hAnsi="Arial Narrow" w:cs="Arial"/>
                <w:szCs w:val="21"/>
              </w:rPr>
            </w:pPr>
            <w:r w:rsidRPr="000A5B5D">
              <w:rPr>
                <w:rFonts w:ascii="Arial Narrow" w:hAnsi="Arial Narrow" w:cs="Arial" w:hint="eastAsia"/>
                <w:szCs w:val="21"/>
              </w:rPr>
              <w:t>员工借款、备用金</w:t>
            </w:r>
          </w:p>
        </w:tc>
        <w:tc>
          <w:tcPr>
            <w:tcW w:w="2104"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100,000.00 </w:t>
            </w:r>
          </w:p>
        </w:tc>
        <w:tc>
          <w:tcPr>
            <w:tcW w:w="2617" w:type="dxa"/>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0.00</w:t>
            </w:r>
            <w:r w:rsidRPr="000A5B5D">
              <w:rPr>
                <w:rFonts w:ascii="Arial Narrow" w:hAnsi="Arial Narrow" w:cs="Arial" w:hint="eastAsia"/>
                <w:szCs w:val="21"/>
              </w:rPr>
              <w:t xml:space="preserve">　</w:t>
            </w:r>
          </w:p>
        </w:tc>
      </w:tr>
      <w:tr w:rsidR="00851B9D" w:rsidRPr="000A5B5D" w:rsidTr="00851B9D">
        <w:trPr>
          <w:trHeight w:val="397"/>
        </w:trPr>
        <w:tc>
          <w:tcPr>
            <w:tcW w:w="4379"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合</w:t>
            </w:r>
            <w:r w:rsidRPr="000A5B5D">
              <w:rPr>
                <w:rFonts w:ascii="Arial Narrow" w:hAnsi="Arial Narrow" w:cs="Arial"/>
                <w:kern w:val="0"/>
                <w:szCs w:val="21"/>
              </w:rPr>
              <w:t xml:space="preserve">  </w:t>
            </w:r>
            <w:r w:rsidRPr="000A5B5D">
              <w:rPr>
                <w:rFonts w:ascii="Arial Narrow" w:hAnsi="Arial Narrow" w:cs="Arial" w:hint="eastAsia"/>
                <w:kern w:val="0"/>
                <w:szCs w:val="21"/>
              </w:rPr>
              <w:t>计</w:t>
            </w:r>
          </w:p>
        </w:tc>
        <w:tc>
          <w:tcPr>
            <w:tcW w:w="2104"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47,470,053.22 </w:t>
            </w:r>
          </w:p>
        </w:tc>
        <w:tc>
          <w:tcPr>
            <w:tcW w:w="2617"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 xml:space="preserve">2,602,500.00 </w:t>
            </w:r>
          </w:p>
        </w:tc>
      </w:tr>
    </w:tbl>
    <w:p w:rsidR="00851B9D" w:rsidRPr="000A5B5D" w:rsidRDefault="00851B9D" w:rsidP="00851B9D">
      <w:pPr>
        <w:tabs>
          <w:tab w:val="left" w:pos="9000"/>
        </w:tabs>
        <w:spacing w:line="400" w:lineRule="exact"/>
        <w:ind w:rightChars="171" w:right="308" w:firstLineChars="200" w:firstLine="480"/>
        <w:rPr>
          <w:rFonts w:ascii="Arial" w:hAnsi="Arial" w:cs="Arial"/>
          <w:sz w:val="24"/>
        </w:rPr>
      </w:pPr>
      <w:r w:rsidRPr="000A5B5D">
        <w:rPr>
          <w:rFonts w:ascii="Arial" w:hAnsi="Arial" w:cs="Arial" w:hint="eastAsia"/>
          <w:sz w:val="24"/>
        </w:rPr>
        <w:lastRenderedPageBreak/>
        <w:t>（</w:t>
      </w:r>
      <w:r w:rsidRPr="000A5B5D">
        <w:rPr>
          <w:rFonts w:ascii="Arial" w:hAnsi="Arial" w:cs="Arial"/>
          <w:sz w:val="24"/>
        </w:rPr>
        <w:t>4</w:t>
      </w:r>
      <w:r w:rsidRPr="000A5B5D">
        <w:rPr>
          <w:rFonts w:ascii="Arial" w:hAnsi="Arial" w:cs="Arial" w:hint="eastAsia"/>
          <w:sz w:val="24"/>
        </w:rPr>
        <w:t>）</w:t>
      </w:r>
      <w:r w:rsidRPr="000A5B5D">
        <w:rPr>
          <w:rFonts w:ascii="Arial" w:hAnsi="Arial" w:cs="Arial" w:hint="eastAsia"/>
          <w:sz w:val="24"/>
          <w:szCs w:val="24"/>
        </w:rPr>
        <w:t>主要</w:t>
      </w:r>
      <w:r w:rsidRPr="000A5B5D">
        <w:rPr>
          <w:rFonts w:ascii="Arial" w:hAnsi="Arial" w:cs="Arial" w:hint="eastAsia"/>
          <w:sz w:val="24"/>
        </w:rPr>
        <w:t>其他应收款情况</w:t>
      </w:r>
    </w:p>
    <w:tbl>
      <w:tblPr>
        <w:tblW w:w="9100" w:type="dxa"/>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576"/>
        <w:gridCol w:w="910"/>
        <w:gridCol w:w="1220"/>
        <w:gridCol w:w="1165"/>
        <w:gridCol w:w="1946"/>
        <w:gridCol w:w="1283"/>
      </w:tblGrid>
      <w:tr w:rsidR="00851B9D" w:rsidRPr="000A5B5D" w:rsidTr="00851B9D">
        <w:trPr>
          <w:trHeight w:val="397"/>
          <w:tblHeader/>
        </w:trPr>
        <w:tc>
          <w:tcPr>
            <w:tcW w:w="257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单位名称</w:t>
            </w:r>
          </w:p>
        </w:tc>
        <w:tc>
          <w:tcPr>
            <w:tcW w:w="91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款项性质</w:t>
            </w:r>
          </w:p>
        </w:tc>
        <w:tc>
          <w:tcPr>
            <w:tcW w:w="122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c>
          <w:tcPr>
            <w:tcW w:w="1165"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账龄</w:t>
            </w:r>
          </w:p>
        </w:tc>
        <w:tc>
          <w:tcPr>
            <w:tcW w:w="1946"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占其他应收款年末余额合计数的比例</w:t>
            </w:r>
            <w:r w:rsidRPr="000A5B5D">
              <w:rPr>
                <w:rFonts w:ascii="Arial Narrow" w:hAnsi="Arial Narrow" w:cs="Arial"/>
                <w:kern w:val="0"/>
                <w:szCs w:val="21"/>
              </w:rPr>
              <w:t>(%)</w:t>
            </w:r>
          </w:p>
        </w:tc>
        <w:tc>
          <w:tcPr>
            <w:tcW w:w="1283"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坏账准备</w:t>
            </w:r>
          </w:p>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年末余额</w:t>
            </w:r>
          </w:p>
        </w:tc>
      </w:tr>
      <w:tr w:rsidR="00851B9D" w:rsidRPr="000A5B5D" w:rsidTr="00851B9D">
        <w:trPr>
          <w:trHeight w:val="397"/>
        </w:trPr>
        <w:tc>
          <w:tcPr>
            <w:tcW w:w="2576" w:type="dxa"/>
            <w:tcBorders>
              <w:bottom w:val="single" w:sz="12" w:space="0" w:color="auto"/>
            </w:tcBorders>
            <w:vAlign w:val="center"/>
          </w:tcPr>
          <w:p w:rsidR="00851B9D" w:rsidRPr="000A5B5D" w:rsidRDefault="00851B9D" w:rsidP="00851B9D">
            <w:pPr>
              <w:outlineLvl w:val="0"/>
              <w:rPr>
                <w:rFonts w:ascii="Arial Narrow" w:hAnsi="Arial Narrow" w:cs="Arial"/>
                <w:szCs w:val="21"/>
              </w:rPr>
            </w:pPr>
            <w:r w:rsidRPr="000A5B5D">
              <w:rPr>
                <w:rFonts w:ascii="Arial Narrow" w:hAnsi="Arial Narrow" w:cs="Arial" w:hint="eastAsia"/>
                <w:szCs w:val="21"/>
              </w:rPr>
              <w:t>浙江恒逸石化有限公司</w:t>
            </w:r>
          </w:p>
        </w:tc>
        <w:tc>
          <w:tcPr>
            <w:tcW w:w="91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hint="eastAsia"/>
                <w:szCs w:val="21"/>
              </w:rPr>
              <w:t>往来款</w:t>
            </w:r>
          </w:p>
        </w:tc>
        <w:tc>
          <w:tcPr>
            <w:tcW w:w="1220"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47,367,553.22</w:t>
            </w:r>
          </w:p>
        </w:tc>
        <w:tc>
          <w:tcPr>
            <w:tcW w:w="1165"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6</w:t>
            </w:r>
            <w:r w:rsidRPr="000A5B5D">
              <w:rPr>
                <w:rFonts w:ascii="Arial Narrow" w:hAnsi="Arial Narrow" w:cs="Arial" w:hint="eastAsia"/>
                <w:szCs w:val="21"/>
              </w:rPr>
              <w:t>个月以内</w:t>
            </w:r>
          </w:p>
        </w:tc>
        <w:tc>
          <w:tcPr>
            <w:tcW w:w="1946"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99.78</w:t>
            </w:r>
          </w:p>
        </w:tc>
        <w:tc>
          <w:tcPr>
            <w:tcW w:w="1283" w:type="dxa"/>
            <w:tcBorders>
              <w:bottom w:val="single" w:sz="12" w:space="0" w:color="auto"/>
            </w:tcBorders>
            <w:vAlign w:val="center"/>
          </w:tcPr>
          <w:p w:rsidR="00851B9D" w:rsidRPr="000A5B5D" w:rsidRDefault="00851B9D" w:rsidP="00851B9D">
            <w:pPr>
              <w:jc w:val="right"/>
              <w:outlineLvl w:val="0"/>
              <w:rPr>
                <w:rFonts w:ascii="Arial Narrow" w:hAnsi="Arial Narrow" w:cs="Arial"/>
                <w:szCs w:val="21"/>
              </w:rPr>
            </w:pPr>
            <w:r w:rsidRPr="000A5B5D">
              <w:rPr>
                <w:rFonts w:ascii="Arial Narrow" w:hAnsi="Arial Narrow" w:cs="Arial"/>
                <w:szCs w:val="21"/>
              </w:rPr>
              <w:t>0.00</w:t>
            </w:r>
          </w:p>
        </w:tc>
      </w:tr>
    </w:tbl>
    <w:p w:rsidR="00851B9D" w:rsidRPr="000A5B5D" w:rsidRDefault="00851B9D" w:rsidP="00851B9D">
      <w:pPr>
        <w:spacing w:line="400" w:lineRule="exact"/>
        <w:ind w:firstLineChars="200" w:firstLine="482"/>
        <w:outlineLvl w:val="1"/>
        <w:rPr>
          <w:rFonts w:ascii="Arial" w:hAnsi="Arial" w:cs="Arial"/>
          <w:b/>
          <w:sz w:val="24"/>
        </w:rPr>
      </w:pPr>
      <w:r w:rsidRPr="000A5B5D">
        <w:rPr>
          <w:rFonts w:ascii="Arial" w:hAnsi="Arial" w:cs="Arial"/>
          <w:b/>
          <w:sz w:val="24"/>
        </w:rPr>
        <w:t>2</w:t>
      </w:r>
      <w:r w:rsidRPr="000A5B5D">
        <w:rPr>
          <w:rFonts w:ascii="Arial" w:hAnsi="Arial" w:cs="Arial" w:hint="eastAsia"/>
          <w:b/>
          <w:sz w:val="24"/>
        </w:rPr>
        <w:t>、长期股权投资</w:t>
      </w:r>
    </w:p>
    <w:p w:rsidR="00851B9D" w:rsidRPr="000A5B5D" w:rsidRDefault="00851B9D" w:rsidP="00851B9D">
      <w:pPr>
        <w:tabs>
          <w:tab w:val="left" w:pos="36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1</w:t>
      </w:r>
      <w:r w:rsidRPr="000A5B5D">
        <w:rPr>
          <w:rFonts w:ascii="Arial" w:hAnsi="Arial" w:cs="Arial" w:hint="eastAsia"/>
          <w:sz w:val="24"/>
        </w:rPr>
        <w:t>）长期股权投资分类</w:t>
      </w:r>
    </w:p>
    <w:tbl>
      <w:tblPr>
        <w:tblW w:w="9108"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1985"/>
        <w:gridCol w:w="1444"/>
        <w:gridCol w:w="605"/>
        <w:gridCol w:w="1558"/>
        <w:gridCol w:w="1428"/>
        <w:gridCol w:w="656"/>
        <w:gridCol w:w="1432"/>
      </w:tblGrid>
      <w:tr w:rsidR="00851B9D" w:rsidRPr="000A5B5D" w:rsidTr="00851B9D">
        <w:trPr>
          <w:trHeight w:val="397"/>
          <w:tblHeader/>
        </w:trPr>
        <w:tc>
          <w:tcPr>
            <w:tcW w:w="1985"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项</w:t>
            </w:r>
            <w:r w:rsidRPr="000A5B5D">
              <w:rPr>
                <w:rFonts w:ascii="Arial Narrow" w:hAnsi="Arial Narrow" w:cs="Arial"/>
                <w:kern w:val="0"/>
              </w:rPr>
              <w:t xml:space="preserve">   </w:t>
            </w:r>
            <w:r w:rsidRPr="000A5B5D">
              <w:rPr>
                <w:rFonts w:ascii="Arial Narrow" w:hAnsi="Arial Narrow" w:cs="Arial" w:hint="eastAsia"/>
                <w:kern w:val="0"/>
              </w:rPr>
              <w:t>目</w:t>
            </w:r>
          </w:p>
        </w:tc>
        <w:tc>
          <w:tcPr>
            <w:tcW w:w="3607"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年末余额</w:t>
            </w:r>
          </w:p>
        </w:tc>
        <w:tc>
          <w:tcPr>
            <w:tcW w:w="3516" w:type="dxa"/>
            <w:gridSpan w:val="3"/>
            <w:tcBorders>
              <w:top w:val="single" w:sz="12" w:space="0" w:color="auto"/>
            </w:tcBorders>
            <w:vAlign w:val="center"/>
          </w:tcPr>
          <w:p w:rsidR="00851B9D" w:rsidRPr="000A5B5D" w:rsidRDefault="00851B9D" w:rsidP="00851B9D">
            <w:pPr>
              <w:widowControl/>
              <w:jc w:val="center"/>
              <w:rPr>
                <w:rFonts w:ascii="Arial Narrow" w:hAnsi="Arial Narrow" w:cs="Arial"/>
                <w:kern w:val="0"/>
              </w:rPr>
            </w:pPr>
            <w:r w:rsidRPr="000A5B5D">
              <w:rPr>
                <w:rFonts w:ascii="Arial Narrow" w:hAnsi="Arial Narrow" w:cs="Arial" w:hint="eastAsia"/>
                <w:kern w:val="0"/>
              </w:rPr>
              <w:t>年初余额</w:t>
            </w:r>
          </w:p>
        </w:tc>
      </w:tr>
      <w:tr w:rsidR="00851B9D" w:rsidRPr="000A5B5D" w:rsidTr="00851B9D">
        <w:trPr>
          <w:trHeight w:val="397"/>
          <w:tblHeader/>
        </w:trPr>
        <w:tc>
          <w:tcPr>
            <w:tcW w:w="1985" w:type="dxa"/>
            <w:vMerge/>
            <w:vAlign w:val="center"/>
          </w:tcPr>
          <w:p w:rsidR="00851B9D" w:rsidRPr="000A5B5D" w:rsidRDefault="00851B9D" w:rsidP="00851B9D">
            <w:pPr>
              <w:widowControl/>
              <w:jc w:val="center"/>
              <w:rPr>
                <w:rFonts w:ascii="Arial Narrow" w:hAnsi="Arial Narrow" w:cs="Arial"/>
                <w:kern w:val="0"/>
              </w:rPr>
            </w:pPr>
          </w:p>
        </w:tc>
        <w:tc>
          <w:tcPr>
            <w:tcW w:w="1444"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账面余额</w:t>
            </w:r>
          </w:p>
        </w:tc>
        <w:tc>
          <w:tcPr>
            <w:tcW w:w="605"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减值准备</w:t>
            </w:r>
          </w:p>
        </w:tc>
        <w:tc>
          <w:tcPr>
            <w:tcW w:w="1558"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账面价值</w:t>
            </w:r>
          </w:p>
        </w:tc>
        <w:tc>
          <w:tcPr>
            <w:tcW w:w="1428"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账面余额</w:t>
            </w:r>
          </w:p>
        </w:tc>
        <w:tc>
          <w:tcPr>
            <w:tcW w:w="656"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减值准备</w:t>
            </w:r>
          </w:p>
        </w:tc>
        <w:tc>
          <w:tcPr>
            <w:tcW w:w="1432" w:type="dxa"/>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账面价值</w:t>
            </w:r>
          </w:p>
        </w:tc>
      </w:tr>
      <w:tr w:rsidR="00851B9D" w:rsidRPr="000A5B5D" w:rsidTr="00851B9D">
        <w:trPr>
          <w:trHeight w:val="397"/>
        </w:trPr>
        <w:tc>
          <w:tcPr>
            <w:tcW w:w="1985"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对子公司投资</w:t>
            </w:r>
          </w:p>
        </w:tc>
        <w:tc>
          <w:tcPr>
            <w:tcW w:w="1444"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5,533,603,700.00</w:t>
            </w:r>
          </w:p>
        </w:tc>
        <w:tc>
          <w:tcPr>
            <w:tcW w:w="605"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0.00</w:t>
            </w:r>
          </w:p>
        </w:tc>
        <w:tc>
          <w:tcPr>
            <w:tcW w:w="1558"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5,533,603,700.00</w:t>
            </w:r>
          </w:p>
        </w:tc>
        <w:tc>
          <w:tcPr>
            <w:tcW w:w="1428"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4,433,603,700.00</w:t>
            </w:r>
          </w:p>
        </w:tc>
        <w:tc>
          <w:tcPr>
            <w:tcW w:w="656"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0.00</w:t>
            </w:r>
          </w:p>
        </w:tc>
        <w:tc>
          <w:tcPr>
            <w:tcW w:w="1432" w:type="dxa"/>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4,433,603,700.00</w:t>
            </w:r>
          </w:p>
        </w:tc>
      </w:tr>
      <w:tr w:rsidR="00851B9D" w:rsidRPr="000A5B5D" w:rsidTr="00851B9D">
        <w:trPr>
          <w:trHeight w:val="397"/>
        </w:trPr>
        <w:tc>
          <w:tcPr>
            <w:tcW w:w="1985" w:type="dxa"/>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对联营、合营企业投资</w:t>
            </w:r>
          </w:p>
        </w:tc>
        <w:tc>
          <w:tcPr>
            <w:tcW w:w="1444"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c>
          <w:tcPr>
            <w:tcW w:w="605"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c>
          <w:tcPr>
            <w:tcW w:w="1558"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c>
          <w:tcPr>
            <w:tcW w:w="1428"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c>
          <w:tcPr>
            <w:tcW w:w="656"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c>
          <w:tcPr>
            <w:tcW w:w="1432" w:type="dxa"/>
            <w:vAlign w:val="center"/>
          </w:tcPr>
          <w:p w:rsidR="00851B9D" w:rsidRPr="000A5B5D" w:rsidRDefault="00851B9D" w:rsidP="00851B9D">
            <w:pPr>
              <w:ind w:rightChars="-25" w:right="-45"/>
              <w:jc w:val="right"/>
              <w:rPr>
                <w:rFonts w:ascii="Arial Narrow" w:hAnsi="Arial Narrow" w:cs="Arial"/>
              </w:rPr>
            </w:pPr>
            <w:r w:rsidRPr="000A5B5D">
              <w:rPr>
                <w:rFonts w:ascii="Arial Narrow" w:hAnsi="Arial Narrow" w:cs="Arial"/>
                <w:kern w:val="0"/>
              </w:rPr>
              <w:t>0.00</w:t>
            </w:r>
          </w:p>
        </w:tc>
      </w:tr>
      <w:tr w:rsidR="00851B9D" w:rsidRPr="000A5B5D" w:rsidTr="00851B9D">
        <w:trPr>
          <w:trHeight w:val="397"/>
        </w:trPr>
        <w:tc>
          <w:tcPr>
            <w:tcW w:w="1985" w:type="dxa"/>
            <w:tcBorders>
              <w:bottom w:val="single" w:sz="12" w:space="0" w:color="auto"/>
            </w:tcBorders>
            <w:vAlign w:val="center"/>
          </w:tcPr>
          <w:p w:rsidR="00851B9D" w:rsidRPr="000A5B5D" w:rsidRDefault="00851B9D" w:rsidP="00851B9D">
            <w:pPr>
              <w:widowControl/>
              <w:rPr>
                <w:rFonts w:ascii="Arial Narrow" w:hAnsi="Arial Narrow" w:cs="Arial"/>
                <w:kern w:val="0"/>
              </w:rPr>
            </w:pPr>
            <w:r w:rsidRPr="000A5B5D">
              <w:rPr>
                <w:rFonts w:ascii="Arial Narrow" w:hAnsi="Arial Narrow" w:cs="Arial" w:hint="eastAsia"/>
                <w:kern w:val="0"/>
              </w:rPr>
              <w:t>合</w:t>
            </w:r>
            <w:r w:rsidRPr="000A5B5D">
              <w:rPr>
                <w:rFonts w:ascii="Arial Narrow" w:hAnsi="Arial Narrow" w:cs="Arial"/>
                <w:kern w:val="0"/>
              </w:rPr>
              <w:t xml:space="preserve">   </w:t>
            </w:r>
            <w:r w:rsidRPr="000A5B5D">
              <w:rPr>
                <w:rFonts w:ascii="Arial Narrow" w:hAnsi="Arial Narrow" w:cs="Arial" w:hint="eastAsia"/>
                <w:kern w:val="0"/>
              </w:rPr>
              <w:t>计</w:t>
            </w:r>
          </w:p>
        </w:tc>
        <w:tc>
          <w:tcPr>
            <w:tcW w:w="1444"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5,533,603,700.00</w:t>
            </w:r>
          </w:p>
        </w:tc>
        <w:tc>
          <w:tcPr>
            <w:tcW w:w="605"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0.00</w:t>
            </w:r>
          </w:p>
        </w:tc>
        <w:tc>
          <w:tcPr>
            <w:tcW w:w="1558"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5,533,603,700.00</w:t>
            </w:r>
          </w:p>
        </w:tc>
        <w:tc>
          <w:tcPr>
            <w:tcW w:w="1428"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4,433,603,700.00</w:t>
            </w:r>
          </w:p>
        </w:tc>
        <w:tc>
          <w:tcPr>
            <w:tcW w:w="656"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0.00</w:t>
            </w:r>
          </w:p>
        </w:tc>
        <w:tc>
          <w:tcPr>
            <w:tcW w:w="1432" w:type="dxa"/>
            <w:tcBorders>
              <w:bottom w:val="single" w:sz="12" w:space="0" w:color="auto"/>
            </w:tcBorders>
            <w:vAlign w:val="center"/>
          </w:tcPr>
          <w:p w:rsidR="00851B9D" w:rsidRPr="000A5B5D" w:rsidRDefault="00851B9D" w:rsidP="00851B9D">
            <w:pPr>
              <w:widowControl/>
              <w:ind w:rightChars="-25" w:right="-45"/>
              <w:jc w:val="right"/>
              <w:rPr>
                <w:rFonts w:ascii="Arial Narrow" w:hAnsi="Arial Narrow" w:cs="Arial"/>
                <w:kern w:val="0"/>
              </w:rPr>
            </w:pPr>
            <w:r w:rsidRPr="000A5B5D">
              <w:rPr>
                <w:rFonts w:ascii="Arial Narrow" w:hAnsi="Arial Narrow" w:cs="Arial"/>
                <w:kern w:val="0"/>
              </w:rPr>
              <w:t>4,433,603,700.00</w:t>
            </w:r>
          </w:p>
        </w:tc>
      </w:tr>
    </w:tbl>
    <w:p w:rsidR="00851B9D" w:rsidRPr="000A5B5D" w:rsidRDefault="00851B9D" w:rsidP="00851B9D">
      <w:pPr>
        <w:tabs>
          <w:tab w:val="left" w:pos="360"/>
        </w:tabs>
        <w:spacing w:line="400" w:lineRule="exact"/>
        <w:ind w:firstLineChars="200" w:firstLine="480"/>
        <w:rPr>
          <w:rFonts w:ascii="Arial" w:hAnsi="Arial" w:cs="Arial"/>
          <w:sz w:val="24"/>
        </w:rPr>
      </w:pPr>
      <w:r w:rsidRPr="000A5B5D">
        <w:rPr>
          <w:rFonts w:ascii="Arial" w:hAnsi="Arial" w:cs="Arial" w:hint="eastAsia"/>
          <w:sz w:val="24"/>
        </w:rPr>
        <w:t>（</w:t>
      </w:r>
      <w:r w:rsidRPr="000A5B5D">
        <w:rPr>
          <w:rFonts w:ascii="Arial" w:hAnsi="Arial" w:cs="Arial"/>
          <w:sz w:val="24"/>
        </w:rPr>
        <w:t>2</w:t>
      </w:r>
      <w:r w:rsidRPr="000A5B5D">
        <w:rPr>
          <w:rFonts w:ascii="Arial" w:hAnsi="Arial" w:cs="Arial" w:hint="eastAsia"/>
          <w:sz w:val="24"/>
        </w:rPr>
        <w:t>）对子公司投资</w:t>
      </w:r>
    </w:p>
    <w:tbl>
      <w:tblPr>
        <w:tblW w:w="9221"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093"/>
        <w:gridCol w:w="1445"/>
        <w:gridCol w:w="1390"/>
        <w:gridCol w:w="780"/>
        <w:gridCol w:w="1441"/>
        <w:gridCol w:w="1064"/>
        <w:gridCol w:w="1008"/>
      </w:tblGrid>
      <w:tr w:rsidR="00851B9D" w:rsidRPr="000A5B5D" w:rsidTr="00851B9D">
        <w:trPr>
          <w:trHeight w:val="397"/>
          <w:tblHeader/>
        </w:trPr>
        <w:tc>
          <w:tcPr>
            <w:tcW w:w="2093"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kern w:val="0"/>
              </w:rPr>
              <w:t>被投资单位</w:t>
            </w:r>
          </w:p>
        </w:tc>
        <w:tc>
          <w:tcPr>
            <w:tcW w:w="1445"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kern w:val="0"/>
              </w:rPr>
              <w:t>年初余额</w:t>
            </w:r>
          </w:p>
        </w:tc>
        <w:tc>
          <w:tcPr>
            <w:tcW w:w="1390"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kern w:val="0"/>
              </w:rPr>
              <w:t>本年增加</w:t>
            </w:r>
          </w:p>
        </w:tc>
        <w:tc>
          <w:tcPr>
            <w:tcW w:w="780" w:type="dxa"/>
            <w:tcBorders>
              <w:top w:val="single" w:sz="12" w:space="0" w:color="auto"/>
            </w:tcBorders>
            <w:vAlign w:val="center"/>
          </w:tcPr>
          <w:p w:rsidR="00851B9D" w:rsidRPr="000A5B5D" w:rsidRDefault="00851B9D" w:rsidP="00851B9D">
            <w:pPr>
              <w:jc w:val="center"/>
              <w:rPr>
                <w:rFonts w:ascii="Arial Narrow" w:hAnsi="Arial Narrow" w:cs="Arial"/>
                <w:kern w:val="0"/>
              </w:rPr>
            </w:pPr>
            <w:r w:rsidRPr="000A5B5D">
              <w:rPr>
                <w:rFonts w:ascii="Arial Narrow" w:hAnsi="Arial Narrow" w:cs="Arial" w:hint="eastAsia"/>
                <w:kern w:val="0"/>
              </w:rPr>
              <w:t>本年</w:t>
            </w:r>
          </w:p>
          <w:p w:rsidR="00851B9D" w:rsidRPr="000A5B5D" w:rsidRDefault="00851B9D" w:rsidP="00851B9D">
            <w:pPr>
              <w:jc w:val="center"/>
              <w:rPr>
                <w:rFonts w:ascii="Arial Narrow" w:hAnsi="Arial Narrow" w:cs="Arial"/>
              </w:rPr>
            </w:pPr>
            <w:r w:rsidRPr="000A5B5D">
              <w:rPr>
                <w:rFonts w:ascii="Arial Narrow" w:hAnsi="Arial Narrow" w:cs="Arial" w:hint="eastAsia"/>
                <w:kern w:val="0"/>
              </w:rPr>
              <w:t>减少</w:t>
            </w:r>
          </w:p>
        </w:tc>
        <w:tc>
          <w:tcPr>
            <w:tcW w:w="1441"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kern w:val="0"/>
              </w:rPr>
              <w:t>年末余额</w:t>
            </w:r>
          </w:p>
        </w:tc>
        <w:tc>
          <w:tcPr>
            <w:tcW w:w="1064"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kern w:val="0"/>
              </w:rPr>
              <w:t>本年计提减值准备</w:t>
            </w:r>
          </w:p>
        </w:tc>
        <w:tc>
          <w:tcPr>
            <w:tcW w:w="1008" w:type="dxa"/>
            <w:tcBorders>
              <w:top w:val="single" w:sz="12" w:space="0" w:color="auto"/>
            </w:tcBorders>
            <w:vAlign w:val="center"/>
          </w:tcPr>
          <w:p w:rsidR="00851B9D" w:rsidRPr="000A5B5D" w:rsidRDefault="00851B9D" w:rsidP="00851B9D">
            <w:pPr>
              <w:jc w:val="center"/>
              <w:rPr>
                <w:rFonts w:ascii="Arial Narrow" w:hAnsi="Arial Narrow" w:cs="Arial"/>
              </w:rPr>
            </w:pPr>
            <w:r w:rsidRPr="000A5B5D">
              <w:rPr>
                <w:rFonts w:ascii="Arial Narrow" w:hAnsi="Arial Narrow" w:cs="Arial" w:hint="eastAsia"/>
              </w:rPr>
              <w:t>减值准备年末余额</w:t>
            </w:r>
          </w:p>
        </w:tc>
      </w:tr>
      <w:tr w:rsidR="00851B9D" w:rsidRPr="000A5B5D" w:rsidTr="00851B9D">
        <w:trPr>
          <w:trHeight w:val="397"/>
        </w:trPr>
        <w:tc>
          <w:tcPr>
            <w:tcW w:w="2093" w:type="dxa"/>
            <w:tcBorders>
              <w:bottom w:val="single" w:sz="12" w:space="0" w:color="auto"/>
            </w:tcBorders>
            <w:vAlign w:val="center"/>
          </w:tcPr>
          <w:p w:rsidR="00851B9D" w:rsidRPr="000A5B5D" w:rsidRDefault="00851B9D" w:rsidP="00851B9D">
            <w:pPr>
              <w:rPr>
                <w:rFonts w:ascii="Arial Narrow" w:hAnsi="Arial Narrow" w:cs="Arial"/>
              </w:rPr>
            </w:pPr>
            <w:r w:rsidRPr="000A5B5D">
              <w:rPr>
                <w:rFonts w:ascii="Arial Narrow" w:hAnsi="Arial Narrow" w:cs="Arial" w:hint="eastAsia"/>
              </w:rPr>
              <w:t>浙江恒逸石化有限公司</w:t>
            </w:r>
          </w:p>
        </w:tc>
        <w:tc>
          <w:tcPr>
            <w:tcW w:w="1445"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rPr>
              <w:t>4,433,603,700.00</w:t>
            </w:r>
          </w:p>
        </w:tc>
        <w:tc>
          <w:tcPr>
            <w:tcW w:w="1390"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rPr>
              <w:t>1,100,000,000.00</w:t>
            </w:r>
          </w:p>
        </w:tc>
        <w:tc>
          <w:tcPr>
            <w:tcW w:w="780"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rPr>
              <w:t>0.00</w:t>
            </w:r>
          </w:p>
        </w:tc>
        <w:tc>
          <w:tcPr>
            <w:tcW w:w="1441"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kern w:val="0"/>
              </w:rPr>
              <w:t>5,533,603,700.00</w:t>
            </w:r>
          </w:p>
        </w:tc>
        <w:tc>
          <w:tcPr>
            <w:tcW w:w="1064"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rPr>
              <w:t>0.00</w:t>
            </w:r>
          </w:p>
        </w:tc>
        <w:tc>
          <w:tcPr>
            <w:tcW w:w="1008" w:type="dxa"/>
            <w:tcBorders>
              <w:bottom w:val="single" w:sz="12" w:space="0" w:color="auto"/>
            </w:tcBorders>
            <w:vAlign w:val="center"/>
          </w:tcPr>
          <w:p w:rsidR="00851B9D" w:rsidRPr="000A5B5D" w:rsidRDefault="00851B9D" w:rsidP="00851B9D">
            <w:pPr>
              <w:ind w:rightChars="-31" w:right="-56"/>
              <w:jc w:val="right"/>
              <w:rPr>
                <w:rFonts w:ascii="Arial Narrow" w:hAnsi="Arial Narrow" w:cs="Arial"/>
              </w:rPr>
            </w:pPr>
            <w:r w:rsidRPr="000A5B5D">
              <w:rPr>
                <w:rFonts w:ascii="Arial Narrow" w:hAnsi="Arial Narrow" w:cs="Arial"/>
              </w:rPr>
              <w:t>0.00</w:t>
            </w:r>
          </w:p>
        </w:tc>
      </w:tr>
    </w:tbl>
    <w:p w:rsidR="00851B9D" w:rsidRPr="000A5B5D" w:rsidRDefault="00851B9D" w:rsidP="00851B9D">
      <w:pPr>
        <w:spacing w:line="400" w:lineRule="exact"/>
        <w:ind w:firstLineChars="200" w:firstLine="482"/>
        <w:outlineLvl w:val="1"/>
        <w:rPr>
          <w:rFonts w:ascii="Arial" w:hAnsi="Arial" w:cs="Arial"/>
          <w:sz w:val="24"/>
        </w:rPr>
      </w:pPr>
      <w:r w:rsidRPr="000A5B5D">
        <w:rPr>
          <w:rFonts w:ascii="Arial" w:hAnsi="Arial" w:cs="Arial"/>
          <w:b/>
          <w:sz w:val="24"/>
        </w:rPr>
        <w:t>3</w:t>
      </w:r>
      <w:r w:rsidRPr="000A5B5D">
        <w:rPr>
          <w:rFonts w:ascii="Arial" w:hAnsi="Arial" w:cs="Arial" w:hint="eastAsia"/>
          <w:b/>
          <w:sz w:val="24"/>
        </w:rPr>
        <w:t>、投资收益</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3551"/>
        <w:gridCol w:w="2142"/>
        <w:gridCol w:w="3521"/>
      </w:tblGrid>
      <w:tr w:rsidR="00851B9D" w:rsidRPr="000A5B5D" w:rsidTr="00851B9D">
        <w:trPr>
          <w:trHeight w:val="397"/>
          <w:tblHeader/>
          <w:jc w:val="center"/>
        </w:trPr>
        <w:tc>
          <w:tcPr>
            <w:tcW w:w="355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项</w:t>
            </w:r>
            <w:r w:rsidRPr="000A5B5D">
              <w:rPr>
                <w:rFonts w:ascii="Arial Narrow" w:hAnsi="Arial Narrow" w:cs="Arial"/>
                <w:kern w:val="0"/>
                <w:szCs w:val="21"/>
              </w:rPr>
              <w:t xml:space="preserve">   </w:t>
            </w:r>
            <w:r w:rsidRPr="000A5B5D">
              <w:rPr>
                <w:rFonts w:ascii="Arial Narrow" w:hAnsi="Arial Narrow" w:cs="Arial" w:hint="eastAsia"/>
                <w:kern w:val="0"/>
                <w:szCs w:val="21"/>
              </w:rPr>
              <w:t>目</w:t>
            </w:r>
          </w:p>
        </w:tc>
        <w:tc>
          <w:tcPr>
            <w:tcW w:w="2142"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本年发生额</w:t>
            </w:r>
          </w:p>
        </w:tc>
        <w:tc>
          <w:tcPr>
            <w:tcW w:w="3521"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上年发生额</w:t>
            </w:r>
          </w:p>
        </w:tc>
      </w:tr>
      <w:tr w:rsidR="00851B9D" w:rsidRPr="000A5B5D" w:rsidTr="00851B9D">
        <w:trPr>
          <w:trHeight w:val="397"/>
          <w:jc w:val="center"/>
        </w:trPr>
        <w:tc>
          <w:tcPr>
            <w:tcW w:w="3551" w:type="dxa"/>
            <w:tcBorders>
              <w:bottom w:val="single" w:sz="12" w:space="0" w:color="auto"/>
            </w:tcBorders>
            <w:vAlign w:val="center"/>
          </w:tcPr>
          <w:p w:rsidR="00851B9D" w:rsidRPr="000A5B5D" w:rsidRDefault="00851B9D" w:rsidP="00851B9D">
            <w:pPr>
              <w:widowControl/>
              <w:ind w:leftChars="37" w:left="67"/>
              <w:rPr>
                <w:rFonts w:ascii="Arial Narrow" w:hAnsi="Arial Narrow" w:cs="Arial"/>
                <w:kern w:val="0"/>
                <w:szCs w:val="21"/>
              </w:rPr>
            </w:pPr>
            <w:r w:rsidRPr="000A5B5D">
              <w:rPr>
                <w:rFonts w:ascii="Arial Narrow" w:hAnsi="Arial Narrow" w:cs="Arial" w:hint="eastAsia"/>
              </w:rPr>
              <w:t>成本法核算的长期股权投资收益</w:t>
            </w:r>
          </w:p>
        </w:tc>
        <w:tc>
          <w:tcPr>
            <w:tcW w:w="2142"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c>
          <w:tcPr>
            <w:tcW w:w="3521" w:type="dxa"/>
            <w:tcBorders>
              <w:bottom w:val="single" w:sz="12" w:space="0" w:color="auto"/>
            </w:tcBorders>
            <w:vAlign w:val="center"/>
          </w:tcPr>
          <w:p w:rsidR="00851B9D" w:rsidRPr="000A5B5D" w:rsidRDefault="00851B9D" w:rsidP="00851B9D">
            <w:pPr>
              <w:widowControl/>
              <w:jc w:val="right"/>
              <w:rPr>
                <w:rFonts w:ascii="Arial Narrow" w:hAnsi="Arial Narrow" w:cs="Arial"/>
                <w:kern w:val="0"/>
                <w:szCs w:val="21"/>
              </w:rPr>
            </w:pPr>
            <w:r w:rsidRPr="000A5B5D">
              <w:rPr>
                <w:rFonts w:ascii="Arial Narrow" w:hAnsi="Arial Narrow" w:cs="Arial"/>
                <w:kern w:val="0"/>
                <w:szCs w:val="21"/>
              </w:rPr>
              <w:t>0.00</w:t>
            </w:r>
          </w:p>
        </w:tc>
      </w:tr>
    </w:tbl>
    <w:p w:rsidR="00851B9D" w:rsidRPr="000A5B5D" w:rsidRDefault="00851B9D" w:rsidP="00851B9D">
      <w:pPr>
        <w:spacing w:line="400" w:lineRule="exact"/>
        <w:ind w:firstLineChars="200" w:firstLine="482"/>
        <w:outlineLvl w:val="0"/>
        <w:rPr>
          <w:rFonts w:ascii="Arial" w:hAnsi="Arial" w:cs="Arial"/>
          <w:b/>
          <w:bCs/>
          <w:sz w:val="24"/>
        </w:rPr>
      </w:pPr>
    </w:p>
    <w:p w:rsidR="00851B9D" w:rsidRPr="000A5B5D" w:rsidRDefault="00851B9D" w:rsidP="00851B9D">
      <w:pPr>
        <w:pStyle w:val="af5"/>
        <w:numPr>
          <w:ilvl w:val="0"/>
          <w:numId w:val="7"/>
        </w:numPr>
        <w:spacing w:line="400" w:lineRule="exact"/>
        <w:ind w:left="0" w:firstLineChars="0" w:firstLine="420"/>
        <w:outlineLvl w:val="0"/>
        <w:rPr>
          <w:rFonts w:ascii="Arial" w:hAnsi="Arial" w:cs="Arial"/>
          <w:b/>
          <w:bCs/>
          <w:sz w:val="24"/>
        </w:rPr>
      </w:pPr>
      <w:r w:rsidRPr="000A5B5D">
        <w:rPr>
          <w:rFonts w:ascii="Arial" w:hAnsi="Arial" w:cs="Arial" w:hint="eastAsia"/>
          <w:b/>
          <w:bCs/>
          <w:sz w:val="24"/>
        </w:rPr>
        <w:t>补充资料</w:t>
      </w:r>
    </w:p>
    <w:p w:rsidR="00851B9D" w:rsidRPr="000A5B5D" w:rsidRDefault="00851B9D" w:rsidP="00851B9D">
      <w:pPr>
        <w:autoSpaceDE w:val="0"/>
        <w:autoSpaceDN w:val="0"/>
        <w:adjustRightInd w:val="0"/>
        <w:spacing w:line="400" w:lineRule="exact"/>
        <w:ind w:left="482"/>
        <w:jc w:val="left"/>
        <w:outlineLvl w:val="1"/>
        <w:rPr>
          <w:rFonts w:ascii="Arial" w:hAnsi="Arial" w:cs="Arial"/>
          <w:b/>
          <w:sz w:val="24"/>
          <w:szCs w:val="24"/>
        </w:rPr>
      </w:pPr>
      <w:bookmarkStart w:id="59" w:name="OLE_LINK191"/>
      <w:bookmarkStart w:id="60" w:name="OLE_LINK192"/>
      <w:r w:rsidRPr="000A5B5D">
        <w:rPr>
          <w:rFonts w:ascii="Arial" w:hAnsi="Arial" w:cs="Arial"/>
          <w:b/>
          <w:sz w:val="24"/>
          <w:szCs w:val="24"/>
        </w:rPr>
        <w:t>1</w:t>
      </w:r>
      <w:r w:rsidRPr="000A5B5D">
        <w:rPr>
          <w:rFonts w:ascii="Arial" w:hAnsi="Arial" w:cs="Arial" w:hint="eastAsia"/>
          <w:b/>
          <w:sz w:val="24"/>
          <w:szCs w:val="24"/>
        </w:rPr>
        <w:t>、本年非经常性损益明细表</w:t>
      </w:r>
      <w:bookmarkEnd w:id="59"/>
      <w:bookmarkEnd w:id="60"/>
    </w:p>
    <w:tbl>
      <w:tblPr>
        <w:tblW w:w="9056"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6406"/>
        <w:gridCol w:w="2650"/>
      </w:tblGrid>
      <w:tr w:rsidR="00851B9D" w:rsidRPr="000A5B5D" w:rsidTr="00851B9D">
        <w:trPr>
          <w:trHeight w:val="397"/>
          <w:tblHeader/>
          <w:jc w:val="center"/>
        </w:trPr>
        <w:tc>
          <w:tcPr>
            <w:tcW w:w="6406" w:type="dxa"/>
            <w:tcBorders>
              <w:top w:val="single" w:sz="12" w:space="0" w:color="auto"/>
            </w:tcBorders>
            <w:vAlign w:val="center"/>
          </w:tcPr>
          <w:p w:rsidR="00851B9D" w:rsidRPr="000A5B5D" w:rsidRDefault="00851B9D" w:rsidP="00851B9D">
            <w:pPr>
              <w:widowControl/>
              <w:jc w:val="center"/>
              <w:rPr>
                <w:rFonts w:ascii="Arial Narrow" w:hAnsi="Arial Narrow" w:cs="Arial"/>
                <w:bCs/>
                <w:kern w:val="0"/>
                <w:szCs w:val="21"/>
              </w:rPr>
            </w:pPr>
            <w:r w:rsidRPr="000A5B5D">
              <w:rPr>
                <w:rFonts w:ascii="Arial Narrow" w:hAnsi="Arial Narrow" w:cs="Arial" w:hint="eastAsia"/>
                <w:bCs/>
                <w:kern w:val="0"/>
                <w:szCs w:val="21"/>
              </w:rPr>
              <w:t>项</w:t>
            </w:r>
            <w:r w:rsidRPr="000A5B5D">
              <w:rPr>
                <w:rFonts w:ascii="Arial Narrow" w:hAnsi="Arial Narrow" w:cs="Arial"/>
                <w:bCs/>
                <w:kern w:val="0"/>
                <w:szCs w:val="21"/>
              </w:rPr>
              <w:t xml:space="preserve">    </w:t>
            </w:r>
            <w:r w:rsidRPr="000A5B5D">
              <w:rPr>
                <w:rFonts w:ascii="Arial Narrow" w:hAnsi="Arial Narrow" w:cs="Arial" w:hint="eastAsia"/>
                <w:bCs/>
                <w:kern w:val="0"/>
                <w:szCs w:val="21"/>
              </w:rPr>
              <w:t>目</w:t>
            </w:r>
          </w:p>
        </w:tc>
        <w:tc>
          <w:tcPr>
            <w:tcW w:w="2650" w:type="dxa"/>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金额</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非流动性资产处置损益</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-2,086,167.12</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偶发的税收返还、减免</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36,885,663.16</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计入当期损益的政府补助，但与企业正常经营业务密切相关，符合国家政策规定，按照一定标准定额或定量持续享受的政府补助除外</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28,794,757.38</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57,448,974.67</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对外委托贷款取得的损益</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45,433,422.21</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除上述各项之外的其他营业外收入和支出</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-320,453.58</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其他符合非经常性损益定义的损益项目</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520,827,713.20</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lastRenderedPageBreak/>
              <w:t>小</w:t>
            </w:r>
            <w:r w:rsidRPr="000A5B5D">
              <w:rPr>
                <w:rFonts w:ascii="Arial Narrow" w:hAnsi="Arial Narrow" w:cs="Arial"/>
                <w:bCs/>
                <w:kern w:val="0"/>
                <w:szCs w:val="21"/>
              </w:rPr>
              <w:t xml:space="preserve">   </w:t>
            </w:r>
            <w:r w:rsidRPr="000A5B5D">
              <w:rPr>
                <w:rFonts w:ascii="Arial Narrow" w:hAnsi="Arial Narrow" w:cs="Arial" w:hint="eastAsia"/>
                <w:bCs/>
                <w:kern w:val="0"/>
                <w:szCs w:val="21"/>
              </w:rPr>
              <w:t>计</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686,983,909.92</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所得税影响额</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41,306,579.02</w:t>
            </w:r>
          </w:p>
        </w:tc>
      </w:tr>
      <w:tr w:rsidR="00851B9D" w:rsidRPr="000A5B5D" w:rsidTr="00851B9D">
        <w:trPr>
          <w:trHeight w:val="397"/>
          <w:jc w:val="center"/>
        </w:trPr>
        <w:tc>
          <w:tcPr>
            <w:tcW w:w="6406"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少数股东权益影响额（税后）</w:t>
            </w:r>
          </w:p>
        </w:tc>
        <w:tc>
          <w:tcPr>
            <w:tcW w:w="2650" w:type="dxa"/>
            <w:vAlign w:val="center"/>
          </w:tcPr>
          <w:p w:rsidR="00851B9D" w:rsidRPr="000A5B5D" w:rsidRDefault="00851B9D" w:rsidP="00851B9D">
            <w:pPr>
              <w:jc w:val="right"/>
              <w:rPr>
                <w:rFonts w:ascii="Arial Narrow" w:hAnsi="Arial Narrow" w:cs="Arial"/>
              </w:rPr>
            </w:pPr>
            <w:r w:rsidRPr="000A5B5D">
              <w:rPr>
                <w:rFonts w:ascii="Arial Narrow" w:hAnsi="Arial Narrow" w:cs="Arial"/>
              </w:rPr>
              <w:t>32,849,330.74</w:t>
            </w:r>
          </w:p>
        </w:tc>
      </w:tr>
      <w:tr w:rsidR="00851B9D" w:rsidRPr="000A5B5D" w:rsidTr="00851B9D">
        <w:trPr>
          <w:trHeight w:val="397"/>
          <w:jc w:val="center"/>
        </w:trPr>
        <w:tc>
          <w:tcPr>
            <w:tcW w:w="6406" w:type="dxa"/>
            <w:tcBorders>
              <w:bottom w:val="single" w:sz="12" w:space="0" w:color="auto"/>
            </w:tcBorders>
            <w:vAlign w:val="center"/>
          </w:tcPr>
          <w:p w:rsidR="00851B9D" w:rsidRPr="000A5B5D" w:rsidRDefault="00851B9D" w:rsidP="00851B9D">
            <w:pPr>
              <w:widowControl/>
              <w:rPr>
                <w:rFonts w:ascii="Arial Narrow" w:hAnsi="Arial Narrow" w:cs="Arial"/>
                <w:bCs/>
                <w:kern w:val="0"/>
                <w:szCs w:val="21"/>
              </w:rPr>
            </w:pPr>
            <w:r w:rsidRPr="000A5B5D">
              <w:rPr>
                <w:rFonts w:ascii="Arial Narrow" w:hAnsi="Arial Narrow" w:cs="Arial" w:hint="eastAsia"/>
                <w:bCs/>
                <w:kern w:val="0"/>
                <w:szCs w:val="21"/>
              </w:rPr>
              <w:t>合</w:t>
            </w:r>
            <w:r w:rsidRPr="000A5B5D">
              <w:rPr>
                <w:rFonts w:ascii="Arial Narrow" w:hAnsi="Arial Narrow" w:cs="Arial"/>
                <w:bCs/>
                <w:kern w:val="0"/>
                <w:szCs w:val="21"/>
              </w:rPr>
              <w:t xml:space="preserve">   </w:t>
            </w:r>
            <w:r w:rsidRPr="000A5B5D">
              <w:rPr>
                <w:rFonts w:ascii="Arial Narrow" w:hAnsi="Arial Narrow" w:cs="Arial" w:hint="eastAsia"/>
                <w:bCs/>
                <w:kern w:val="0"/>
                <w:szCs w:val="21"/>
              </w:rPr>
              <w:t>计</w:t>
            </w:r>
          </w:p>
        </w:tc>
        <w:tc>
          <w:tcPr>
            <w:tcW w:w="2650" w:type="dxa"/>
            <w:tcBorders>
              <w:bottom w:val="single" w:sz="12" w:space="0" w:color="auto"/>
            </w:tcBorders>
            <w:vAlign w:val="center"/>
          </w:tcPr>
          <w:p w:rsidR="00851B9D" w:rsidRPr="000A5B5D" w:rsidRDefault="00851B9D" w:rsidP="00851B9D">
            <w:pPr>
              <w:jc w:val="right"/>
              <w:rPr>
                <w:rFonts w:ascii="Arial Narrow" w:hAnsi="Arial Narrow" w:cs="Arial"/>
              </w:rPr>
            </w:pPr>
            <w:r w:rsidRPr="000A5B5D">
              <w:rPr>
                <w:rFonts w:ascii="Arial Narrow" w:hAnsi="Arial Narrow" w:cs="Arial"/>
              </w:rPr>
              <w:t>612,828,000.16</w:t>
            </w:r>
          </w:p>
        </w:tc>
      </w:tr>
    </w:tbl>
    <w:p w:rsidR="00851B9D" w:rsidRPr="000A5B5D" w:rsidRDefault="00851B9D" w:rsidP="00851B9D">
      <w:pPr>
        <w:autoSpaceDE w:val="0"/>
        <w:autoSpaceDN w:val="0"/>
        <w:adjustRightInd w:val="0"/>
        <w:spacing w:line="400" w:lineRule="exact"/>
        <w:ind w:firstLine="540"/>
        <w:jc w:val="left"/>
        <w:rPr>
          <w:rFonts w:ascii="Arial" w:hAnsi="Arial" w:cs="Arial"/>
          <w:szCs w:val="21"/>
        </w:rPr>
      </w:pPr>
      <w:r w:rsidRPr="000A5B5D">
        <w:rPr>
          <w:rFonts w:ascii="Arial" w:hAnsi="Arial" w:cs="Arial" w:hint="eastAsia"/>
          <w:kern w:val="0"/>
          <w:szCs w:val="21"/>
        </w:rPr>
        <w:t>注：非经常性损益项目中的数字</w:t>
      </w:r>
      <w:r w:rsidRPr="000A5B5D">
        <w:rPr>
          <w:rFonts w:ascii="Arial" w:hAnsi="Arial" w:cs="Arial"/>
          <w:kern w:val="0"/>
          <w:szCs w:val="21"/>
        </w:rPr>
        <w:t>“+”</w:t>
      </w:r>
      <w:r w:rsidRPr="000A5B5D">
        <w:rPr>
          <w:rFonts w:ascii="Arial" w:hAnsi="Arial" w:cs="Arial" w:hint="eastAsia"/>
          <w:kern w:val="0"/>
          <w:szCs w:val="21"/>
        </w:rPr>
        <w:t>表示收益及收入</w:t>
      </w:r>
      <w:r w:rsidRPr="000A5B5D">
        <w:rPr>
          <w:rFonts w:ascii="Arial" w:hAnsi="Arial" w:cs="Arial"/>
          <w:kern w:val="0"/>
          <w:szCs w:val="21"/>
        </w:rPr>
        <w:t>,"-"</w:t>
      </w:r>
      <w:r w:rsidRPr="000A5B5D">
        <w:rPr>
          <w:rFonts w:ascii="Arial" w:hAnsi="Arial" w:cs="Arial" w:hint="eastAsia"/>
          <w:kern w:val="0"/>
          <w:szCs w:val="21"/>
        </w:rPr>
        <w:t>表示损失或支出。</w:t>
      </w:r>
    </w:p>
    <w:p w:rsidR="00851B9D" w:rsidRPr="000A5B5D" w:rsidRDefault="00851B9D" w:rsidP="00851B9D">
      <w:pPr>
        <w:autoSpaceDE w:val="0"/>
        <w:autoSpaceDN w:val="0"/>
        <w:adjustRightInd w:val="0"/>
        <w:spacing w:line="400" w:lineRule="exact"/>
        <w:ind w:firstLine="540"/>
        <w:jc w:val="left"/>
        <w:rPr>
          <w:rFonts w:ascii="Arial" w:hAnsi="Arial" w:cs="Arial"/>
          <w:sz w:val="24"/>
        </w:rPr>
      </w:pPr>
      <w:r w:rsidRPr="000A5B5D">
        <w:rPr>
          <w:rFonts w:ascii="Arial" w:hAnsi="Arial" w:cs="Arial" w:hint="eastAsia"/>
          <w:sz w:val="24"/>
        </w:rPr>
        <w:t>本公司对非经常性损益项目的确认依照《公开发行证券的公司信息披露解释性公告第</w:t>
      </w:r>
      <w:r w:rsidRPr="000A5B5D">
        <w:rPr>
          <w:rFonts w:ascii="Arial" w:hAnsi="Arial" w:cs="Arial"/>
          <w:sz w:val="24"/>
        </w:rPr>
        <w:t>1</w:t>
      </w:r>
      <w:r w:rsidRPr="000A5B5D">
        <w:rPr>
          <w:rFonts w:ascii="Arial" w:hAnsi="Arial" w:cs="Arial" w:hint="eastAsia"/>
          <w:sz w:val="24"/>
        </w:rPr>
        <w:t>号</w:t>
      </w:r>
      <w:r w:rsidRPr="000A5B5D">
        <w:rPr>
          <w:rFonts w:ascii="Arial" w:hAnsi="Arial" w:cs="Arial"/>
          <w:sz w:val="24"/>
        </w:rPr>
        <w:t>——</w:t>
      </w:r>
      <w:r w:rsidRPr="000A5B5D">
        <w:rPr>
          <w:rFonts w:ascii="Arial" w:hAnsi="Arial" w:cs="Arial" w:hint="eastAsia"/>
          <w:sz w:val="24"/>
        </w:rPr>
        <w:t>非经常性损益》（证监会公告</w:t>
      </w:r>
      <w:r w:rsidRPr="000A5B5D">
        <w:rPr>
          <w:rFonts w:ascii="Arial" w:hAnsi="Arial" w:cs="Arial"/>
          <w:sz w:val="24"/>
        </w:rPr>
        <w:t>[2008]43</w:t>
      </w:r>
      <w:r w:rsidRPr="000A5B5D">
        <w:rPr>
          <w:rFonts w:ascii="Arial" w:hAnsi="Arial" w:cs="Arial" w:hint="eastAsia"/>
          <w:sz w:val="24"/>
        </w:rPr>
        <w:t>号）的规定执行。</w:t>
      </w:r>
    </w:p>
    <w:p w:rsidR="00851B9D" w:rsidRPr="000A5B5D" w:rsidRDefault="00851B9D" w:rsidP="00851B9D">
      <w:pPr>
        <w:autoSpaceDE w:val="0"/>
        <w:autoSpaceDN w:val="0"/>
        <w:adjustRightInd w:val="0"/>
        <w:spacing w:line="400" w:lineRule="exact"/>
        <w:ind w:firstLine="540"/>
        <w:jc w:val="left"/>
        <w:rPr>
          <w:rFonts w:ascii="Arial" w:hAnsi="Arial" w:cs="Arial"/>
          <w:sz w:val="24"/>
        </w:rPr>
      </w:pPr>
      <w:r w:rsidRPr="000A5B5D">
        <w:rPr>
          <w:rFonts w:ascii="Arial" w:hAnsi="Arial" w:cs="Arial" w:hint="eastAsia"/>
          <w:sz w:val="24"/>
        </w:rPr>
        <w:t>“其他符合非经常性损益定义的损益项目”系对浙商银行股权投资核算方法转换产生的投资收益。</w:t>
      </w:r>
    </w:p>
    <w:p w:rsidR="00851B9D" w:rsidRPr="000A5B5D" w:rsidRDefault="00851B9D" w:rsidP="00851B9D">
      <w:pPr>
        <w:autoSpaceDE w:val="0"/>
        <w:autoSpaceDN w:val="0"/>
        <w:adjustRightInd w:val="0"/>
        <w:spacing w:line="400" w:lineRule="exact"/>
        <w:ind w:firstLine="540"/>
        <w:jc w:val="left"/>
        <w:rPr>
          <w:rFonts w:ascii="Arial" w:hAnsi="Arial" w:cs="Arial"/>
          <w:sz w:val="24"/>
        </w:rPr>
      </w:pPr>
    </w:p>
    <w:p w:rsidR="00851B9D" w:rsidRPr="000A5B5D" w:rsidRDefault="00851B9D" w:rsidP="00851B9D">
      <w:pPr>
        <w:autoSpaceDE w:val="0"/>
        <w:autoSpaceDN w:val="0"/>
        <w:adjustRightInd w:val="0"/>
        <w:spacing w:line="400" w:lineRule="exact"/>
        <w:ind w:firstLine="540"/>
        <w:jc w:val="left"/>
        <w:rPr>
          <w:rFonts w:ascii="Arial" w:hAnsi="Arial" w:cs="Arial"/>
          <w:sz w:val="24"/>
        </w:rPr>
      </w:pPr>
    </w:p>
    <w:p w:rsidR="00851B9D" w:rsidRPr="000A5B5D" w:rsidRDefault="00851B9D" w:rsidP="00851B9D">
      <w:pPr>
        <w:autoSpaceDE w:val="0"/>
        <w:autoSpaceDN w:val="0"/>
        <w:adjustRightInd w:val="0"/>
        <w:spacing w:line="400" w:lineRule="exact"/>
        <w:ind w:left="482"/>
        <w:jc w:val="left"/>
        <w:outlineLvl w:val="1"/>
        <w:rPr>
          <w:rFonts w:ascii="Arial" w:hAnsi="Arial" w:cs="Arial"/>
          <w:b/>
          <w:sz w:val="24"/>
          <w:szCs w:val="24"/>
        </w:rPr>
      </w:pPr>
      <w:r w:rsidRPr="000A5B5D">
        <w:rPr>
          <w:rFonts w:ascii="Arial" w:hAnsi="Arial" w:cs="Arial"/>
          <w:b/>
          <w:sz w:val="24"/>
          <w:szCs w:val="24"/>
        </w:rPr>
        <w:t>2</w:t>
      </w:r>
      <w:r w:rsidRPr="000A5B5D">
        <w:rPr>
          <w:rFonts w:ascii="Arial" w:hAnsi="Arial" w:cs="Arial" w:hint="eastAsia"/>
          <w:b/>
          <w:sz w:val="24"/>
          <w:szCs w:val="24"/>
        </w:rPr>
        <w:t>、净资产收益率及每股收益</w:t>
      </w:r>
    </w:p>
    <w:tbl>
      <w:tblPr>
        <w:tblW w:w="9214" w:type="dxa"/>
        <w:jc w:val="center"/>
        <w:tblBorders>
          <w:top w:val="single" w:sz="12" w:space="0" w:color="auto"/>
          <w:bottom w:val="single" w:sz="12" w:space="0" w:color="auto"/>
          <w:insideH w:val="dotted" w:sz="4" w:space="0" w:color="auto"/>
          <w:insideV w:val="dotted" w:sz="4" w:space="0" w:color="auto"/>
        </w:tblBorders>
        <w:tblLayout w:type="fixed"/>
        <w:tblCellMar>
          <w:left w:w="28" w:type="dxa"/>
          <w:right w:w="28" w:type="dxa"/>
        </w:tblCellMar>
        <w:tblLook w:val="04A0" w:firstRow="1" w:lastRow="0" w:firstColumn="1" w:lastColumn="0" w:noHBand="0" w:noVBand="1"/>
      </w:tblPr>
      <w:tblGrid>
        <w:gridCol w:w="2377"/>
        <w:gridCol w:w="2681"/>
        <w:gridCol w:w="2056"/>
        <w:gridCol w:w="2100"/>
      </w:tblGrid>
      <w:tr w:rsidR="00851B9D" w:rsidRPr="000A5B5D" w:rsidTr="00851B9D">
        <w:trPr>
          <w:trHeight w:val="397"/>
          <w:tblHeader/>
          <w:jc w:val="center"/>
        </w:trPr>
        <w:tc>
          <w:tcPr>
            <w:tcW w:w="2377"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报告期利润</w:t>
            </w:r>
          </w:p>
        </w:tc>
        <w:tc>
          <w:tcPr>
            <w:tcW w:w="2681" w:type="dxa"/>
            <w:vMerge w:val="restart"/>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加权平均净资产收益率</w:t>
            </w:r>
            <w:r w:rsidRPr="000A5B5D">
              <w:rPr>
                <w:rFonts w:ascii="Arial Narrow" w:hAnsi="Arial Narrow" w:cs="Arial"/>
                <w:kern w:val="0"/>
                <w:szCs w:val="21"/>
              </w:rPr>
              <w:t>(%)</w:t>
            </w:r>
          </w:p>
        </w:tc>
        <w:tc>
          <w:tcPr>
            <w:tcW w:w="4156" w:type="dxa"/>
            <w:gridSpan w:val="2"/>
            <w:tcBorders>
              <w:top w:val="single" w:sz="12" w:space="0" w:color="auto"/>
            </w:tcBorders>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每股收益</w:t>
            </w:r>
          </w:p>
        </w:tc>
      </w:tr>
      <w:tr w:rsidR="00851B9D" w:rsidRPr="000A5B5D" w:rsidTr="00851B9D">
        <w:trPr>
          <w:trHeight w:val="397"/>
          <w:tblHeader/>
          <w:jc w:val="center"/>
        </w:trPr>
        <w:tc>
          <w:tcPr>
            <w:tcW w:w="2377" w:type="dxa"/>
            <w:vMerge/>
            <w:vAlign w:val="center"/>
          </w:tcPr>
          <w:p w:rsidR="00851B9D" w:rsidRPr="000A5B5D" w:rsidRDefault="00851B9D" w:rsidP="00851B9D">
            <w:pPr>
              <w:widowControl/>
              <w:jc w:val="center"/>
              <w:rPr>
                <w:rFonts w:ascii="Arial Narrow" w:hAnsi="Arial Narrow" w:cs="Arial"/>
                <w:kern w:val="0"/>
                <w:szCs w:val="21"/>
              </w:rPr>
            </w:pPr>
          </w:p>
        </w:tc>
        <w:tc>
          <w:tcPr>
            <w:tcW w:w="2681" w:type="dxa"/>
            <w:vMerge/>
            <w:vAlign w:val="center"/>
          </w:tcPr>
          <w:p w:rsidR="00851B9D" w:rsidRPr="000A5B5D" w:rsidRDefault="00851B9D" w:rsidP="00851B9D">
            <w:pPr>
              <w:widowControl/>
              <w:jc w:val="center"/>
              <w:rPr>
                <w:rFonts w:ascii="Arial Narrow" w:hAnsi="Arial Narrow" w:cs="Arial"/>
                <w:kern w:val="0"/>
                <w:szCs w:val="21"/>
              </w:rPr>
            </w:pPr>
          </w:p>
        </w:tc>
        <w:tc>
          <w:tcPr>
            <w:tcW w:w="2056"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基本每股收益</w:t>
            </w:r>
          </w:p>
        </w:tc>
        <w:tc>
          <w:tcPr>
            <w:tcW w:w="2100" w:type="dxa"/>
            <w:vAlign w:val="center"/>
          </w:tcPr>
          <w:p w:rsidR="00851B9D" w:rsidRPr="000A5B5D" w:rsidRDefault="00851B9D" w:rsidP="00851B9D">
            <w:pPr>
              <w:widowControl/>
              <w:jc w:val="center"/>
              <w:rPr>
                <w:rFonts w:ascii="Arial Narrow" w:hAnsi="Arial Narrow" w:cs="Arial"/>
                <w:kern w:val="0"/>
                <w:szCs w:val="21"/>
              </w:rPr>
            </w:pPr>
            <w:r w:rsidRPr="000A5B5D">
              <w:rPr>
                <w:rFonts w:ascii="Arial Narrow" w:hAnsi="Arial Narrow" w:cs="Arial" w:hint="eastAsia"/>
                <w:kern w:val="0"/>
                <w:szCs w:val="21"/>
              </w:rPr>
              <w:t>稀释每股收益</w:t>
            </w:r>
          </w:p>
        </w:tc>
      </w:tr>
      <w:tr w:rsidR="00851B9D" w:rsidRPr="000A5B5D" w:rsidTr="00851B9D">
        <w:trPr>
          <w:trHeight w:val="397"/>
          <w:jc w:val="center"/>
        </w:trPr>
        <w:tc>
          <w:tcPr>
            <w:tcW w:w="2377" w:type="dxa"/>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归属于公司普通股股东的净利润</w:t>
            </w:r>
          </w:p>
        </w:tc>
        <w:tc>
          <w:tcPr>
            <w:tcW w:w="2681"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3.55</w:t>
            </w:r>
          </w:p>
        </w:tc>
        <w:tc>
          <w:tcPr>
            <w:tcW w:w="2056"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0.16</w:t>
            </w:r>
          </w:p>
        </w:tc>
        <w:tc>
          <w:tcPr>
            <w:tcW w:w="2100" w:type="dxa"/>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0.16</w:t>
            </w:r>
          </w:p>
        </w:tc>
      </w:tr>
      <w:tr w:rsidR="00851B9D" w:rsidRPr="000A5B5D" w:rsidTr="00851B9D">
        <w:trPr>
          <w:trHeight w:val="397"/>
          <w:jc w:val="center"/>
        </w:trPr>
        <w:tc>
          <w:tcPr>
            <w:tcW w:w="2377" w:type="dxa"/>
            <w:tcBorders>
              <w:bottom w:val="single" w:sz="12" w:space="0" w:color="auto"/>
            </w:tcBorders>
            <w:vAlign w:val="center"/>
          </w:tcPr>
          <w:p w:rsidR="00851B9D" w:rsidRPr="000A5B5D" w:rsidRDefault="00851B9D" w:rsidP="00851B9D">
            <w:pPr>
              <w:widowControl/>
              <w:rPr>
                <w:rFonts w:ascii="Arial Narrow" w:hAnsi="Arial Narrow" w:cs="Arial"/>
                <w:kern w:val="0"/>
                <w:szCs w:val="21"/>
              </w:rPr>
            </w:pPr>
            <w:r w:rsidRPr="000A5B5D">
              <w:rPr>
                <w:rFonts w:ascii="Arial Narrow" w:hAnsi="Arial Narrow" w:cs="Arial" w:hint="eastAsia"/>
                <w:kern w:val="0"/>
                <w:szCs w:val="21"/>
              </w:rPr>
              <w:t>扣除非经常损益后归属于普通股股东的净利润</w:t>
            </w:r>
          </w:p>
        </w:tc>
        <w:tc>
          <w:tcPr>
            <w:tcW w:w="2681"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-8.23</w:t>
            </w:r>
          </w:p>
        </w:tc>
        <w:tc>
          <w:tcPr>
            <w:tcW w:w="2056"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-0.37</w:t>
            </w:r>
          </w:p>
        </w:tc>
        <w:tc>
          <w:tcPr>
            <w:tcW w:w="2100" w:type="dxa"/>
            <w:tcBorders>
              <w:bottom w:val="single" w:sz="12" w:space="0" w:color="auto"/>
            </w:tcBorders>
            <w:vAlign w:val="center"/>
          </w:tcPr>
          <w:p w:rsidR="00851B9D" w:rsidRPr="000A5B5D" w:rsidRDefault="00851B9D" w:rsidP="00851B9D">
            <w:pPr>
              <w:jc w:val="right"/>
              <w:rPr>
                <w:rFonts w:ascii="Arial Narrow" w:hAnsi="Arial Narrow" w:cs="Arial"/>
                <w:szCs w:val="21"/>
              </w:rPr>
            </w:pPr>
            <w:r w:rsidRPr="000A5B5D">
              <w:rPr>
                <w:rFonts w:ascii="Arial Narrow" w:hAnsi="Arial Narrow" w:cs="Arial"/>
                <w:szCs w:val="21"/>
              </w:rPr>
              <w:t>-0.37</w:t>
            </w:r>
          </w:p>
        </w:tc>
      </w:tr>
      <w:bookmarkEnd w:id="15"/>
    </w:tbl>
    <w:p w:rsidR="00851B9D" w:rsidRPr="000A5B5D" w:rsidRDefault="00851B9D" w:rsidP="00851B9D">
      <w:pPr>
        <w:autoSpaceDE w:val="0"/>
        <w:autoSpaceDN w:val="0"/>
        <w:adjustRightInd w:val="0"/>
        <w:spacing w:line="400" w:lineRule="exact"/>
        <w:jc w:val="left"/>
        <w:rPr>
          <w:rFonts w:ascii="Arial" w:hAnsi="Arial" w:cs="Arial"/>
          <w:b/>
          <w:sz w:val="24"/>
          <w:szCs w:val="24"/>
          <w:lang w:val="en-GB"/>
        </w:rPr>
      </w:pPr>
    </w:p>
    <w:p w:rsidR="00BC4D56" w:rsidRPr="000A5B5D" w:rsidRDefault="00851B9D">
      <w:pPr>
        <w:pStyle w:val="a3"/>
        <w:outlineLvl w:val="0"/>
        <w:rPr>
          <w:bCs w:val="0"/>
          <w:szCs w:val="24"/>
        </w:rPr>
      </w:pPr>
      <w:r w:rsidRPr="000A5B5D">
        <w:rPr>
          <w:bCs w:val="0"/>
          <w:szCs w:val="24"/>
          <w:lang w:val="en-GB"/>
        </w:rPr>
        <w:br w:type="page"/>
      </w:r>
      <w:r w:rsidR="00BC4D56" w:rsidRPr="000A5B5D">
        <w:rPr>
          <w:rFonts w:hint="eastAsia"/>
          <w:bCs w:val="0"/>
          <w:szCs w:val="24"/>
        </w:rPr>
        <w:lastRenderedPageBreak/>
        <w:t>第十一节</w:t>
      </w:r>
      <w:r w:rsidR="00BC4D56" w:rsidRPr="000A5B5D">
        <w:rPr>
          <w:bCs w:val="0"/>
          <w:szCs w:val="24"/>
        </w:rPr>
        <w:t xml:space="preserve"> </w:t>
      </w:r>
      <w:r w:rsidR="00BC4D56" w:rsidRPr="000A5B5D">
        <w:rPr>
          <w:rFonts w:hint="eastAsia"/>
          <w:bCs w:val="0"/>
          <w:szCs w:val="24"/>
        </w:rPr>
        <w:t>备查文件目录</w:t>
      </w:r>
      <w:bookmarkEnd w:id="12"/>
    </w:p>
    <w:p w:rsidR="00BC4D56" w:rsidRPr="000A5B5D" w:rsidRDefault="00BC4D56" w:rsidP="00851B9D">
      <w:pPr>
        <w:autoSpaceDE w:val="0"/>
        <w:autoSpaceDN w:val="0"/>
        <w:adjustRightInd w:val="0"/>
        <w:spacing w:before="0" w:after="0" w:line="360" w:lineRule="auto"/>
        <w:jc w:val="left"/>
        <w:rPr>
          <w:rFonts w:eastAsia="Times New Roman"/>
          <w:kern w:val="0"/>
          <w:sz w:val="24"/>
          <w:szCs w:val="24"/>
          <w:lang w:val="zh-CN"/>
        </w:rPr>
      </w:pPr>
      <w:r w:rsidRPr="000A5B5D">
        <w:rPr>
          <w:rFonts w:ascii="宋体" w:hAnsi="宋体" w:cs="宋体" w:hint="eastAsia"/>
          <w:kern w:val="0"/>
          <w:sz w:val="24"/>
          <w:szCs w:val="24"/>
          <w:lang w:val="zh-CN"/>
        </w:rPr>
        <w:t>一、载有法定代表人、财务负责人、会计机构负责人签名并盖章的会计报表。</w:t>
      </w:r>
    </w:p>
    <w:p w:rsidR="00BC4D56" w:rsidRPr="000A5B5D" w:rsidRDefault="00BC4D56" w:rsidP="00851B9D">
      <w:pPr>
        <w:autoSpaceDE w:val="0"/>
        <w:autoSpaceDN w:val="0"/>
        <w:adjustRightInd w:val="0"/>
        <w:spacing w:before="0" w:after="0" w:line="360" w:lineRule="auto"/>
        <w:jc w:val="left"/>
        <w:rPr>
          <w:rFonts w:eastAsia="Times New Roman"/>
          <w:kern w:val="0"/>
          <w:sz w:val="24"/>
          <w:szCs w:val="24"/>
          <w:lang w:val="zh-CN"/>
        </w:rPr>
      </w:pPr>
      <w:r w:rsidRPr="000A5B5D">
        <w:rPr>
          <w:rFonts w:ascii="宋体" w:hAnsi="宋体" w:cs="宋体" w:hint="eastAsia"/>
          <w:kern w:val="0"/>
          <w:sz w:val="24"/>
          <w:szCs w:val="24"/>
          <w:lang w:val="zh-CN"/>
        </w:rPr>
        <w:t>二、载有会计师事务所盖章、注册会计师签名并盖章的审计报告正本。</w:t>
      </w:r>
    </w:p>
    <w:p w:rsidR="00BC4D56" w:rsidRPr="00851B9D" w:rsidRDefault="00BC4D56" w:rsidP="00851B9D">
      <w:pPr>
        <w:autoSpaceDE w:val="0"/>
        <w:autoSpaceDN w:val="0"/>
        <w:adjustRightInd w:val="0"/>
        <w:spacing w:before="0" w:after="0" w:line="360" w:lineRule="auto"/>
        <w:jc w:val="left"/>
        <w:rPr>
          <w:rFonts w:eastAsia="Times New Roman"/>
          <w:kern w:val="0"/>
          <w:sz w:val="24"/>
          <w:szCs w:val="24"/>
          <w:lang w:val="zh-CN"/>
        </w:rPr>
      </w:pPr>
      <w:r w:rsidRPr="000A5B5D">
        <w:rPr>
          <w:rFonts w:ascii="宋体" w:hAnsi="宋体" w:cs="宋体" w:hint="eastAsia"/>
          <w:kern w:val="0"/>
          <w:sz w:val="24"/>
          <w:szCs w:val="24"/>
          <w:lang w:val="zh-CN"/>
        </w:rPr>
        <w:t>三、报告期内在中国证监会指定报纸上公开披露过的所有公司文件的正本及公告的原稿。</w:t>
      </w:r>
    </w:p>
    <w:sectPr w:rsidR="00BC4D56" w:rsidRPr="00851B9D">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8DF" w:rsidRDefault="00AC18DF">
      <w:pPr>
        <w:spacing w:before="0" w:after="0"/>
      </w:pPr>
      <w:r>
        <w:separator/>
      </w:r>
    </w:p>
  </w:endnote>
  <w:endnote w:type="continuationSeparator" w:id="0">
    <w:p w:rsidR="00AC18DF" w:rsidRDefault="00AC18D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00"/>
    <w:family w:val="roman"/>
    <w:notTrueType/>
    <w:pitch w:val="variable"/>
    <w:sig w:usb0="00000003" w:usb1="00000000" w:usb2="00000000" w:usb3="00000000" w:csb0="00000001" w:csb1="00000000"/>
  </w:font>
  <w:font w:name="方正仿宋简体">
    <w:altName w:val="宋体"/>
    <w:panose1 w:val="00000000000000000000"/>
    <w:charset w:val="86"/>
    <w:family w:val="auto"/>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88F" w:rsidRDefault="00CE488F">
    <w:pPr>
      <w:pStyle w:val="a5"/>
    </w:pPr>
    <w:r>
      <w:fldChar w:fldCharType="begin"/>
    </w:r>
    <w:r>
      <w:instrText xml:space="preserve"> PAGE </w:instrText>
    </w:r>
    <w:r>
      <w:fldChar w:fldCharType="separate"/>
    </w:r>
    <w:r w:rsidR="00564219">
      <w:rPr>
        <w:noProof/>
      </w:rPr>
      <w:t>35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8DF" w:rsidRDefault="00AC18DF">
      <w:pPr>
        <w:spacing w:before="0" w:after="0"/>
      </w:pPr>
      <w:r>
        <w:separator/>
      </w:r>
    </w:p>
  </w:footnote>
  <w:footnote w:type="continuationSeparator" w:id="0">
    <w:p w:rsidR="00AC18DF" w:rsidRDefault="00AC18D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88F" w:rsidRDefault="00CE488F">
    <w:pPr>
      <w:pStyle w:val="a4"/>
    </w:pPr>
    <w:r>
      <w:rPr>
        <w:rFonts w:hint="eastAsia"/>
      </w:rPr>
      <w:t>恒逸石化股份有限公司</w:t>
    </w:r>
    <w:r>
      <w:t>2015</w:t>
    </w:r>
    <w:r>
      <w:rPr>
        <w:rFonts w:hint="eastAsia"/>
      </w:rPr>
      <w:t>年年度报告全文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5591"/>
    <w:multiLevelType w:val="hybridMultilevel"/>
    <w:tmpl w:val="E1B69694"/>
    <w:lvl w:ilvl="0" w:tplc="21BA48DE">
      <w:start w:val="1"/>
      <w:numFmt w:val="japaneseCounting"/>
      <w:lvlText w:val="%1、"/>
      <w:lvlJc w:val="left"/>
      <w:pPr>
        <w:ind w:left="1202" w:hanging="720"/>
      </w:pPr>
      <w:rPr>
        <w:rFonts w:hAnsi="宋体"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1" w15:restartNumberingAfterBreak="0">
    <w:nsid w:val="01FA7155"/>
    <w:multiLevelType w:val="hybridMultilevel"/>
    <w:tmpl w:val="02C6C8A4"/>
    <w:lvl w:ilvl="0" w:tplc="0D2CB83A">
      <w:start w:val="1"/>
      <w:numFmt w:val="decimal"/>
      <w:lvlText w:val="%1、"/>
      <w:lvlJc w:val="left"/>
      <w:pPr>
        <w:ind w:left="375" w:hanging="375"/>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15:restartNumberingAfterBreak="0">
    <w:nsid w:val="09E7264C"/>
    <w:multiLevelType w:val="multilevel"/>
    <w:tmpl w:val="62AC2A93"/>
    <w:lvl w:ilvl="0">
      <w:start w:val="1"/>
      <w:numFmt w:val="decimal"/>
      <w:lvlText w:val="%1、"/>
      <w:lvlJc w:val="left"/>
      <w:pPr>
        <w:ind w:left="1413" w:hanging="420"/>
      </w:pPr>
      <w:rPr>
        <w:rFonts w:cs="Times New Roman" w:hint="eastAsia"/>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3" w15:restartNumberingAfterBreak="0">
    <w:nsid w:val="210F028B"/>
    <w:multiLevelType w:val="hybridMultilevel"/>
    <w:tmpl w:val="5CBC1880"/>
    <w:lvl w:ilvl="0" w:tplc="67FA64E0">
      <w:start w:val="1"/>
      <w:numFmt w:val="decimal"/>
      <w:lvlText w:val="（%1）"/>
      <w:lvlJc w:val="left"/>
      <w:pPr>
        <w:ind w:left="1200" w:hanging="72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4" w15:restartNumberingAfterBreak="0">
    <w:nsid w:val="231D5825"/>
    <w:multiLevelType w:val="hybridMultilevel"/>
    <w:tmpl w:val="74C64300"/>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5" w15:restartNumberingAfterBreak="0">
    <w:nsid w:val="25A42E81"/>
    <w:multiLevelType w:val="singleLevel"/>
    <w:tmpl w:val="25A42E81"/>
    <w:lvl w:ilvl="0">
      <w:start w:val="3"/>
      <w:numFmt w:val="decimal"/>
      <w:lvlText w:val=""/>
      <w:lvlJc w:val="left"/>
      <w:pPr>
        <w:tabs>
          <w:tab w:val="left" w:pos="360"/>
        </w:tabs>
        <w:ind w:left="360" w:hanging="360"/>
      </w:pPr>
      <w:rPr>
        <w:rFonts w:ascii="Times New Roman" w:cs="Times New Roman" w:hint="default"/>
      </w:rPr>
    </w:lvl>
  </w:abstractNum>
  <w:abstractNum w:abstractNumId="6" w15:restartNumberingAfterBreak="0">
    <w:nsid w:val="4060668C"/>
    <w:multiLevelType w:val="hybridMultilevel"/>
    <w:tmpl w:val="BF2230D2"/>
    <w:lvl w:ilvl="0" w:tplc="690201F8">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46020760"/>
    <w:multiLevelType w:val="hybridMultilevel"/>
    <w:tmpl w:val="25EC4D9E"/>
    <w:lvl w:ilvl="0" w:tplc="04090013">
      <w:start w:val="1"/>
      <w:numFmt w:val="chineseCountingThousand"/>
      <w:lvlText w:val="%1、"/>
      <w:lvlJc w:val="left"/>
      <w:pPr>
        <w:ind w:left="902" w:hanging="420"/>
      </w:pPr>
      <w:rPr>
        <w:rFonts w:cs="Times New Roman"/>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8" w15:restartNumberingAfterBreak="0">
    <w:nsid w:val="50FE689B"/>
    <w:multiLevelType w:val="multilevel"/>
    <w:tmpl w:val="62AC2A93"/>
    <w:lvl w:ilvl="0">
      <w:start w:val="1"/>
      <w:numFmt w:val="decimal"/>
      <w:lvlText w:val="%1、"/>
      <w:lvlJc w:val="left"/>
      <w:pPr>
        <w:ind w:left="1413" w:hanging="420"/>
      </w:pPr>
      <w:rPr>
        <w:rFonts w:cs="Times New Roman" w:hint="eastAsia"/>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9" w15:restartNumberingAfterBreak="0">
    <w:nsid w:val="62AC2A93"/>
    <w:multiLevelType w:val="multilevel"/>
    <w:tmpl w:val="594632C0"/>
    <w:lvl w:ilvl="0">
      <w:start w:val="1"/>
      <w:numFmt w:val="decimal"/>
      <w:lvlText w:val="%1、"/>
      <w:lvlJc w:val="left"/>
      <w:pPr>
        <w:ind w:left="988" w:hanging="420"/>
      </w:pPr>
      <w:rPr>
        <w:rFonts w:cs="Times New Roman" w:hint="eastAsia"/>
        <w:b/>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0" w15:restartNumberingAfterBreak="0">
    <w:nsid w:val="7EE4575F"/>
    <w:multiLevelType w:val="hybridMultilevel"/>
    <w:tmpl w:val="2E282E82"/>
    <w:lvl w:ilvl="0" w:tplc="6A8E2F8E">
      <w:start w:val="1"/>
      <w:numFmt w:val="decimal"/>
      <w:lvlText w:val="（%1）"/>
      <w:lvlJc w:val="left"/>
      <w:pPr>
        <w:ind w:left="900" w:hanging="42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num w:numId="1">
    <w:abstractNumId w:val="6"/>
  </w:num>
  <w:num w:numId="2">
    <w:abstractNumId w:val="5"/>
  </w:num>
  <w:num w:numId="3">
    <w:abstractNumId w:val="9"/>
  </w:num>
  <w:num w:numId="4">
    <w:abstractNumId w:val="2"/>
  </w:num>
  <w:num w:numId="5">
    <w:abstractNumId w:val="4"/>
  </w:num>
  <w:num w:numId="6">
    <w:abstractNumId w:val="8"/>
  </w:num>
  <w:num w:numId="7">
    <w:abstractNumId w:val="7"/>
  </w:num>
  <w:num w:numId="8">
    <w:abstractNumId w:val="0"/>
  </w:num>
  <w:num w:numId="9">
    <w:abstractNumId w:val="1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bordersDoNotSurroundHeader/>
  <w:bordersDoNotSurroundFooter/>
  <w:hideSpellingErrors/>
  <w:defaultTabStop w:val="420"/>
  <w:doNotHyphenateCaps/>
  <w:drawingGridHorizontalSpacing w:val="9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27D"/>
    <w:rsid w:val="0003351B"/>
    <w:rsid w:val="00033C01"/>
    <w:rsid w:val="00046369"/>
    <w:rsid w:val="0005716C"/>
    <w:rsid w:val="0007043E"/>
    <w:rsid w:val="000819CC"/>
    <w:rsid w:val="000909F0"/>
    <w:rsid w:val="000A00E6"/>
    <w:rsid w:val="000A1C8A"/>
    <w:rsid w:val="000A20EC"/>
    <w:rsid w:val="000A5B5D"/>
    <w:rsid w:val="000A6167"/>
    <w:rsid w:val="000B4298"/>
    <w:rsid w:val="000C3083"/>
    <w:rsid w:val="000D6874"/>
    <w:rsid w:val="000E48FB"/>
    <w:rsid w:val="000E5FE5"/>
    <w:rsid w:val="00102433"/>
    <w:rsid w:val="00102E89"/>
    <w:rsid w:val="00115061"/>
    <w:rsid w:val="00126A98"/>
    <w:rsid w:val="00131787"/>
    <w:rsid w:val="00141899"/>
    <w:rsid w:val="00145AB0"/>
    <w:rsid w:val="00160739"/>
    <w:rsid w:val="00162CC6"/>
    <w:rsid w:val="0017027D"/>
    <w:rsid w:val="001D5F11"/>
    <w:rsid w:val="001D665B"/>
    <w:rsid w:val="001E383C"/>
    <w:rsid w:val="001E64CF"/>
    <w:rsid w:val="001F072A"/>
    <w:rsid w:val="001F7DDE"/>
    <w:rsid w:val="002134F7"/>
    <w:rsid w:val="002379A5"/>
    <w:rsid w:val="00241DFD"/>
    <w:rsid w:val="00244FA3"/>
    <w:rsid w:val="0024594D"/>
    <w:rsid w:val="00257022"/>
    <w:rsid w:val="00265888"/>
    <w:rsid w:val="002B02A0"/>
    <w:rsid w:val="002C35FD"/>
    <w:rsid w:val="002C6F47"/>
    <w:rsid w:val="002D1437"/>
    <w:rsid w:val="002E3E28"/>
    <w:rsid w:val="002E5CA0"/>
    <w:rsid w:val="002F46A4"/>
    <w:rsid w:val="002F5192"/>
    <w:rsid w:val="003135F3"/>
    <w:rsid w:val="00326982"/>
    <w:rsid w:val="003417F3"/>
    <w:rsid w:val="00344DD7"/>
    <w:rsid w:val="00347003"/>
    <w:rsid w:val="003647D5"/>
    <w:rsid w:val="00365B9A"/>
    <w:rsid w:val="00376387"/>
    <w:rsid w:val="003815CA"/>
    <w:rsid w:val="00383C71"/>
    <w:rsid w:val="003851B2"/>
    <w:rsid w:val="00397C0B"/>
    <w:rsid w:val="003B1442"/>
    <w:rsid w:val="003C5B91"/>
    <w:rsid w:val="003C62DD"/>
    <w:rsid w:val="003E7403"/>
    <w:rsid w:val="0041157C"/>
    <w:rsid w:val="00414E89"/>
    <w:rsid w:val="00415FB2"/>
    <w:rsid w:val="004230F0"/>
    <w:rsid w:val="00427E2A"/>
    <w:rsid w:val="0043768B"/>
    <w:rsid w:val="00445A25"/>
    <w:rsid w:val="00454A34"/>
    <w:rsid w:val="004556E0"/>
    <w:rsid w:val="00457B7D"/>
    <w:rsid w:val="004708FB"/>
    <w:rsid w:val="0047220A"/>
    <w:rsid w:val="00481DC5"/>
    <w:rsid w:val="004A2D75"/>
    <w:rsid w:val="004A348D"/>
    <w:rsid w:val="004A454A"/>
    <w:rsid w:val="004B55C7"/>
    <w:rsid w:val="004C3CB2"/>
    <w:rsid w:val="004C6C43"/>
    <w:rsid w:val="004C7151"/>
    <w:rsid w:val="004E140D"/>
    <w:rsid w:val="004E3C89"/>
    <w:rsid w:val="004E4144"/>
    <w:rsid w:val="004E7828"/>
    <w:rsid w:val="004F5EDC"/>
    <w:rsid w:val="00506DC7"/>
    <w:rsid w:val="00511E2B"/>
    <w:rsid w:val="0051627E"/>
    <w:rsid w:val="005300B1"/>
    <w:rsid w:val="00534812"/>
    <w:rsid w:val="0053604B"/>
    <w:rsid w:val="005415EA"/>
    <w:rsid w:val="00564219"/>
    <w:rsid w:val="00570D78"/>
    <w:rsid w:val="00574AB5"/>
    <w:rsid w:val="00575967"/>
    <w:rsid w:val="00596486"/>
    <w:rsid w:val="005C20A1"/>
    <w:rsid w:val="005C23DA"/>
    <w:rsid w:val="005C2547"/>
    <w:rsid w:val="005E294B"/>
    <w:rsid w:val="00606390"/>
    <w:rsid w:val="006116B0"/>
    <w:rsid w:val="0062571E"/>
    <w:rsid w:val="00637D04"/>
    <w:rsid w:val="00644593"/>
    <w:rsid w:val="006508EC"/>
    <w:rsid w:val="00655739"/>
    <w:rsid w:val="00664DBA"/>
    <w:rsid w:val="006770CA"/>
    <w:rsid w:val="006825A5"/>
    <w:rsid w:val="00682AFD"/>
    <w:rsid w:val="006A28EF"/>
    <w:rsid w:val="006B68C3"/>
    <w:rsid w:val="006C3456"/>
    <w:rsid w:val="006F0C8F"/>
    <w:rsid w:val="006F7F1C"/>
    <w:rsid w:val="00705511"/>
    <w:rsid w:val="00707E81"/>
    <w:rsid w:val="00716A2C"/>
    <w:rsid w:val="00720686"/>
    <w:rsid w:val="00746A1A"/>
    <w:rsid w:val="00747CB3"/>
    <w:rsid w:val="007603A2"/>
    <w:rsid w:val="007708F0"/>
    <w:rsid w:val="007726CA"/>
    <w:rsid w:val="007726FC"/>
    <w:rsid w:val="00777210"/>
    <w:rsid w:val="007941C3"/>
    <w:rsid w:val="007D3129"/>
    <w:rsid w:val="007D5813"/>
    <w:rsid w:val="007E5851"/>
    <w:rsid w:val="007F081C"/>
    <w:rsid w:val="0080102D"/>
    <w:rsid w:val="008046B1"/>
    <w:rsid w:val="00810FA5"/>
    <w:rsid w:val="0082037F"/>
    <w:rsid w:val="00823F66"/>
    <w:rsid w:val="00830A65"/>
    <w:rsid w:val="00851B9D"/>
    <w:rsid w:val="00852E5D"/>
    <w:rsid w:val="00857AAB"/>
    <w:rsid w:val="008619BD"/>
    <w:rsid w:val="00862FEB"/>
    <w:rsid w:val="008712FE"/>
    <w:rsid w:val="00887AA1"/>
    <w:rsid w:val="00896A4F"/>
    <w:rsid w:val="008A1D63"/>
    <w:rsid w:val="008A21D1"/>
    <w:rsid w:val="008B2709"/>
    <w:rsid w:val="008B5656"/>
    <w:rsid w:val="008C6844"/>
    <w:rsid w:val="008F3636"/>
    <w:rsid w:val="0090043C"/>
    <w:rsid w:val="00916548"/>
    <w:rsid w:val="009329FA"/>
    <w:rsid w:val="009456CE"/>
    <w:rsid w:val="00956CF3"/>
    <w:rsid w:val="00997986"/>
    <w:rsid w:val="009A4AB1"/>
    <w:rsid w:val="009A62FE"/>
    <w:rsid w:val="009A7892"/>
    <w:rsid w:val="009B0771"/>
    <w:rsid w:val="009B2AB9"/>
    <w:rsid w:val="009B3A6D"/>
    <w:rsid w:val="009B4FDA"/>
    <w:rsid w:val="009B7B6C"/>
    <w:rsid w:val="009D339B"/>
    <w:rsid w:val="009E1DA8"/>
    <w:rsid w:val="009E6D6A"/>
    <w:rsid w:val="009E7598"/>
    <w:rsid w:val="009F0913"/>
    <w:rsid w:val="009F531B"/>
    <w:rsid w:val="009F6C8C"/>
    <w:rsid w:val="00A06030"/>
    <w:rsid w:val="00A063C9"/>
    <w:rsid w:val="00A065DE"/>
    <w:rsid w:val="00A12D54"/>
    <w:rsid w:val="00A4408E"/>
    <w:rsid w:val="00A60E68"/>
    <w:rsid w:val="00A664A4"/>
    <w:rsid w:val="00A753E2"/>
    <w:rsid w:val="00A840FF"/>
    <w:rsid w:val="00A87CF0"/>
    <w:rsid w:val="00A94009"/>
    <w:rsid w:val="00AB7D2E"/>
    <w:rsid w:val="00AC18DF"/>
    <w:rsid w:val="00AC4993"/>
    <w:rsid w:val="00AD61CD"/>
    <w:rsid w:val="00AF4269"/>
    <w:rsid w:val="00B06B84"/>
    <w:rsid w:val="00B1572C"/>
    <w:rsid w:val="00B216A4"/>
    <w:rsid w:val="00B30B6B"/>
    <w:rsid w:val="00B36628"/>
    <w:rsid w:val="00B83344"/>
    <w:rsid w:val="00B83F67"/>
    <w:rsid w:val="00B86921"/>
    <w:rsid w:val="00BC0783"/>
    <w:rsid w:val="00BC4D56"/>
    <w:rsid w:val="00BC7A5B"/>
    <w:rsid w:val="00BD7E6B"/>
    <w:rsid w:val="00BF252E"/>
    <w:rsid w:val="00BF2EA1"/>
    <w:rsid w:val="00C023F1"/>
    <w:rsid w:val="00C02BD9"/>
    <w:rsid w:val="00C130E9"/>
    <w:rsid w:val="00C46E88"/>
    <w:rsid w:val="00C5314C"/>
    <w:rsid w:val="00C54ECB"/>
    <w:rsid w:val="00C7602D"/>
    <w:rsid w:val="00C976E0"/>
    <w:rsid w:val="00CA2F16"/>
    <w:rsid w:val="00CB1ADA"/>
    <w:rsid w:val="00CB3D16"/>
    <w:rsid w:val="00CD04FD"/>
    <w:rsid w:val="00CD34D8"/>
    <w:rsid w:val="00CD3B70"/>
    <w:rsid w:val="00CE488F"/>
    <w:rsid w:val="00CE665B"/>
    <w:rsid w:val="00CF7AC2"/>
    <w:rsid w:val="00D040D2"/>
    <w:rsid w:val="00D22355"/>
    <w:rsid w:val="00D40472"/>
    <w:rsid w:val="00D40DD4"/>
    <w:rsid w:val="00D62E09"/>
    <w:rsid w:val="00D70BE3"/>
    <w:rsid w:val="00D84D6F"/>
    <w:rsid w:val="00D85930"/>
    <w:rsid w:val="00D94F9A"/>
    <w:rsid w:val="00D96BB0"/>
    <w:rsid w:val="00DB34E5"/>
    <w:rsid w:val="00DB5A4B"/>
    <w:rsid w:val="00DC6435"/>
    <w:rsid w:val="00DC7C02"/>
    <w:rsid w:val="00DD7968"/>
    <w:rsid w:val="00DE58FC"/>
    <w:rsid w:val="00DF2A06"/>
    <w:rsid w:val="00E0754B"/>
    <w:rsid w:val="00E0772B"/>
    <w:rsid w:val="00E1532B"/>
    <w:rsid w:val="00E351A0"/>
    <w:rsid w:val="00E36D73"/>
    <w:rsid w:val="00E55D74"/>
    <w:rsid w:val="00E61A8D"/>
    <w:rsid w:val="00E63374"/>
    <w:rsid w:val="00E72458"/>
    <w:rsid w:val="00E730C0"/>
    <w:rsid w:val="00E83A77"/>
    <w:rsid w:val="00E91AE5"/>
    <w:rsid w:val="00E9790B"/>
    <w:rsid w:val="00EC634B"/>
    <w:rsid w:val="00ED1ACD"/>
    <w:rsid w:val="00F01CCB"/>
    <w:rsid w:val="00F03FE2"/>
    <w:rsid w:val="00F20FF6"/>
    <w:rsid w:val="00F326E3"/>
    <w:rsid w:val="00F71FFF"/>
    <w:rsid w:val="00FA7FD6"/>
    <w:rsid w:val="00FB2BA6"/>
    <w:rsid w:val="00FC7BE6"/>
    <w:rsid w:val="00FD1698"/>
    <w:rsid w:val="00FD5B56"/>
    <w:rsid w:val="00FD69F2"/>
    <w:rsid w:val="00FE67D9"/>
    <w:rsid w:val="00FF18D6"/>
    <w:rsid w:val="00FF4E22"/>
    <w:rsid w:val="00FF5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9FD510B6-8275-4D51-8EBD-E4551741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0739"/>
    <w:pPr>
      <w:widowControl w:val="0"/>
      <w:spacing w:before="40" w:after="40"/>
      <w:jc w:val="both"/>
    </w:pPr>
    <w:rPr>
      <w:rFonts w:ascii="Times New Roman" w:eastAsia="宋体" w:hAnsi="Times New Roman"/>
      <w:sz w:val="18"/>
      <w:szCs w:val="18"/>
    </w:rPr>
  </w:style>
  <w:style w:type="paragraph" w:styleId="3">
    <w:name w:val="heading 3"/>
    <w:basedOn w:val="a"/>
    <w:next w:val="a"/>
    <w:link w:val="3Char"/>
    <w:uiPriority w:val="9"/>
    <w:qFormat/>
    <w:rsid w:val="0051627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locked/>
    <w:rsid w:val="0051627E"/>
    <w:rPr>
      <w:rFonts w:ascii="Times New Roman" w:eastAsia="宋体" w:hAnsi="Times New Roman" w:cs="Times New Roman"/>
      <w:b/>
      <w:bCs/>
      <w:sz w:val="32"/>
      <w:szCs w:val="32"/>
    </w:rPr>
  </w:style>
  <w:style w:type="paragraph" w:styleId="a3">
    <w:name w:val="Title"/>
    <w:basedOn w:val="a"/>
    <w:next w:val="a"/>
    <w:link w:val="Char"/>
    <w:uiPriority w:val="99"/>
    <w:qFormat/>
    <w:pPr>
      <w:keepNext/>
      <w:keepLines/>
      <w:spacing w:before="340" w:after="330" w:line="578" w:lineRule="auto"/>
      <w:jc w:val="center"/>
    </w:pPr>
    <w:rPr>
      <w:b/>
      <w:bCs/>
      <w:kern w:val="32"/>
      <w:sz w:val="32"/>
      <w:szCs w:val="32"/>
    </w:rPr>
  </w:style>
  <w:style w:type="character" w:customStyle="1" w:styleId="Char">
    <w:name w:val="标题 Char"/>
    <w:basedOn w:val="a0"/>
    <w:link w:val="a3"/>
    <w:uiPriority w:val="10"/>
    <w:locked/>
    <w:rPr>
      <w:rFonts w:asciiTheme="majorHAnsi" w:eastAsia="宋体" w:hAnsiTheme="majorHAnsi" w:cs="Times New Roman"/>
      <w:b/>
      <w:bCs/>
      <w:sz w:val="32"/>
      <w:szCs w:val="32"/>
    </w:rPr>
  </w:style>
  <w:style w:type="paragraph" w:customStyle="1" w:styleId="Chapter">
    <w:name w:val="Chapter"/>
    <w:next w:val="a"/>
    <w:uiPriority w:val="99"/>
    <w:pPr>
      <w:keepNext/>
      <w:keepLines/>
      <w:widowControl w:val="0"/>
      <w:spacing w:before="300" w:after="300" w:line="241" w:lineRule="auto"/>
      <w:jc w:val="both"/>
    </w:pPr>
    <w:rPr>
      <w:rFonts w:ascii="Times New Roman" w:eastAsia="宋体" w:hAnsi="Times New Roman"/>
      <w:b/>
      <w:bCs/>
      <w:kern w:val="28"/>
      <w:sz w:val="24"/>
      <w:szCs w:val="24"/>
    </w:rPr>
  </w:style>
  <w:style w:type="paragraph" w:customStyle="1" w:styleId="Section">
    <w:name w:val="Section"/>
    <w:next w:val="a"/>
    <w:uiPriority w:val="99"/>
    <w:pPr>
      <w:keepNext/>
      <w:keepLines/>
      <w:widowControl w:val="0"/>
      <w:spacing w:before="300" w:after="300" w:line="241" w:lineRule="auto"/>
      <w:jc w:val="both"/>
    </w:pPr>
    <w:rPr>
      <w:rFonts w:ascii="Times New Roman" w:eastAsia="宋体" w:hAnsi="Times New Roman"/>
      <w:b/>
      <w:bCs/>
      <w:kern w:val="28"/>
    </w:rPr>
  </w:style>
  <w:style w:type="paragraph" w:styleId="a4">
    <w:name w:val="header"/>
    <w:basedOn w:val="a"/>
    <w:link w:val="Char0"/>
    <w:uiPriority w:val="99"/>
    <w:pPr>
      <w:pBdr>
        <w:bottom w:val="single" w:sz="6" w:space="1" w:color="auto"/>
      </w:pBdr>
      <w:tabs>
        <w:tab w:val="center" w:pos="4153"/>
        <w:tab w:val="right" w:pos="8306"/>
      </w:tabs>
      <w:snapToGrid w:val="0"/>
      <w:spacing w:before="0" w:after="0"/>
      <w:jc w:val="right"/>
    </w:pPr>
  </w:style>
  <w:style w:type="character" w:customStyle="1" w:styleId="Char0">
    <w:name w:val="页眉 Char"/>
    <w:basedOn w:val="a0"/>
    <w:link w:val="a4"/>
    <w:uiPriority w:val="99"/>
    <w:qFormat/>
    <w:locked/>
    <w:rPr>
      <w:rFonts w:ascii="Times New Roman" w:eastAsia="宋体" w:hAnsi="Times New Roman" w:cs="Times New Roman"/>
      <w:sz w:val="18"/>
      <w:szCs w:val="18"/>
    </w:rPr>
  </w:style>
  <w:style w:type="paragraph" w:styleId="a5">
    <w:name w:val="footer"/>
    <w:basedOn w:val="a"/>
    <w:link w:val="Char1"/>
    <w:uiPriority w:val="99"/>
    <w:pPr>
      <w:tabs>
        <w:tab w:val="center" w:pos="4153"/>
        <w:tab w:val="right" w:pos="8306"/>
      </w:tabs>
      <w:snapToGrid w:val="0"/>
      <w:spacing w:before="0" w:after="0"/>
      <w:jc w:val="right"/>
    </w:pPr>
  </w:style>
  <w:style w:type="character" w:customStyle="1" w:styleId="Char1">
    <w:name w:val="页脚 Char"/>
    <w:basedOn w:val="a0"/>
    <w:link w:val="a5"/>
    <w:uiPriority w:val="99"/>
    <w:locked/>
    <w:rPr>
      <w:rFonts w:ascii="Times New Roman" w:eastAsia="宋体" w:hAnsi="Times New Roman" w:cs="Times New Roman"/>
      <w:sz w:val="18"/>
      <w:szCs w:val="18"/>
    </w:rPr>
  </w:style>
  <w:style w:type="paragraph" w:styleId="a6">
    <w:name w:val="Date"/>
    <w:basedOn w:val="a"/>
    <w:next w:val="a"/>
    <w:link w:val="Char2"/>
    <w:uiPriority w:val="99"/>
    <w:unhideWhenUsed/>
    <w:rsid w:val="009D339B"/>
    <w:pPr>
      <w:ind w:leftChars="2500" w:left="100"/>
    </w:pPr>
  </w:style>
  <w:style w:type="character" w:customStyle="1" w:styleId="Char2">
    <w:name w:val="日期 Char"/>
    <w:basedOn w:val="a0"/>
    <w:link w:val="a6"/>
    <w:uiPriority w:val="99"/>
    <w:locked/>
    <w:rsid w:val="009D339B"/>
    <w:rPr>
      <w:rFonts w:ascii="Times New Roman" w:eastAsia="宋体" w:hAnsi="Times New Roman" w:cs="Times New Roman"/>
      <w:sz w:val="18"/>
      <w:szCs w:val="18"/>
    </w:rPr>
  </w:style>
  <w:style w:type="paragraph" w:styleId="a7">
    <w:name w:val="annotation text"/>
    <w:basedOn w:val="a"/>
    <w:link w:val="Char3"/>
    <w:uiPriority w:val="99"/>
    <w:unhideWhenUsed/>
    <w:rsid w:val="0051627E"/>
    <w:pPr>
      <w:jc w:val="left"/>
    </w:pPr>
  </w:style>
  <w:style w:type="character" w:customStyle="1" w:styleId="Char3">
    <w:name w:val="批注文字 Char"/>
    <w:basedOn w:val="a0"/>
    <w:link w:val="a7"/>
    <w:uiPriority w:val="99"/>
    <w:locked/>
    <w:rsid w:val="0051627E"/>
    <w:rPr>
      <w:rFonts w:ascii="Times New Roman" w:eastAsia="宋体" w:hAnsi="Times New Roman" w:cs="Times New Roman"/>
      <w:sz w:val="18"/>
      <w:szCs w:val="18"/>
    </w:rPr>
  </w:style>
  <w:style w:type="paragraph" w:styleId="a8">
    <w:name w:val="annotation subject"/>
    <w:basedOn w:val="a7"/>
    <w:next w:val="a7"/>
    <w:link w:val="Char4"/>
    <w:uiPriority w:val="99"/>
    <w:semiHidden/>
    <w:rsid w:val="0051627E"/>
    <w:pPr>
      <w:spacing w:before="0" w:after="0"/>
    </w:pPr>
    <w:rPr>
      <w:b/>
      <w:bCs/>
      <w:sz w:val="21"/>
      <w:szCs w:val="20"/>
    </w:rPr>
  </w:style>
  <w:style w:type="character" w:customStyle="1" w:styleId="Char4">
    <w:name w:val="批注主题 Char"/>
    <w:basedOn w:val="Char3"/>
    <w:link w:val="a8"/>
    <w:uiPriority w:val="99"/>
    <w:semiHidden/>
    <w:locked/>
    <w:rsid w:val="0051627E"/>
    <w:rPr>
      <w:rFonts w:ascii="Times New Roman" w:eastAsia="宋体" w:hAnsi="Times New Roman" w:cs="Times New Roman"/>
      <w:b/>
      <w:bCs/>
      <w:sz w:val="20"/>
      <w:szCs w:val="20"/>
    </w:rPr>
  </w:style>
  <w:style w:type="paragraph" w:styleId="a9">
    <w:name w:val="Document Map"/>
    <w:basedOn w:val="a"/>
    <w:link w:val="Char5"/>
    <w:uiPriority w:val="99"/>
    <w:semiHidden/>
    <w:rsid w:val="0051627E"/>
    <w:pPr>
      <w:shd w:val="clear" w:color="auto" w:fill="000080"/>
      <w:spacing w:before="0" w:after="0"/>
    </w:pPr>
    <w:rPr>
      <w:sz w:val="21"/>
      <w:szCs w:val="20"/>
    </w:rPr>
  </w:style>
  <w:style w:type="character" w:customStyle="1" w:styleId="Char5">
    <w:name w:val="文档结构图 Char"/>
    <w:basedOn w:val="a0"/>
    <w:link w:val="a9"/>
    <w:uiPriority w:val="99"/>
    <w:semiHidden/>
    <w:locked/>
    <w:rsid w:val="0051627E"/>
    <w:rPr>
      <w:rFonts w:ascii="Times New Roman" w:eastAsia="宋体" w:hAnsi="Times New Roman" w:cs="Times New Roman"/>
      <w:sz w:val="20"/>
      <w:szCs w:val="20"/>
      <w:shd w:val="clear" w:color="auto" w:fill="000080"/>
    </w:rPr>
  </w:style>
  <w:style w:type="paragraph" w:styleId="30">
    <w:name w:val="Body Text 3"/>
    <w:basedOn w:val="a"/>
    <w:link w:val="3Char0"/>
    <w:uiPriority w:val="99"/>
    <w:rsid w:val="0051627E"/>
    <w:pPr>
      <w:spacing w:before="100" w:after="20" w:line="440" w:lineRule="exact"/>
    </w:pPr>
    <w:rPr>
      <w:rFonts w:ascii="楷体_GB2312" w:eastAsia="楷体_GB2312"/>
      <w:color w:val="000000"/>
      <w:sz w:val="24"/>
      <w:szCs w:val="22"/>
    </w:rPr>
  </w:style>
  <w:style w:type="character" w:customStyle="1" w:styleId="3Char0">
    <w:name w:val="正文文本 3 Char"/>
    <w:basedOn w:val="a0"/>
    <w:link w:val="30"/>
    <w:uiPriority w:val="99"/>
    <w:qFormat/>
    <w:locked/>
    <w:rsid w:val="0051627E"/>
    <w:rPr>
      <w:rFonts w:ascii="楷体_GB2312" w:eastAsia="楷体_GB2312" w:hAnsi="Times New Roman" w:cs="Times New Roman"/>
      <w:color w:val="000000"/>
      <w:sz w:val="22"/>
      <w:szCs w:val="22"/>
    </w:rPr>
  </w:style>
  <w:style w:type="paragraph" w:styleId="aa">
    <w:name w:val="Body Text"/>
    <w:basedOn w:val="a"/>
    <w:link w:val="Char6"/>
    <w:uiPriority w:val="99"/>
    <w:rsid w:val="0051627E"/>
    <w:pPr>
      <w:adjustRightInd w:val="0"/>
      <w:spacing w:before="0" w:after="0" w:line="300" w:lineRule="auto"/>
      <w:textAlignment w:val="baseline"/>
    </w:pPr>
    <w:rPr>
      <w:rFonts w:ascii="仿宋_GB2312" w:eastAsia="仿宋_GB2312" w:hAnsi="MS Sans Serif"/>
      <w:kern w:val="0"/>
      <w:sz w:val="28"/>
      <w:szCs w:val="20"/>
    </w:rPr>
  </w:style>
  <w:style w:type="character" w:customStyle="1" w:styleId="Char6">
    <w:name w:val="正文文本 Char"/>
    <w:basedOn w:val="a0"/>
    <w:link w:val="aa"/>
    <w:uiPriority w:val="99"/>
    <w:locked/>
    <w:rsid w:val="0051627E"/>
    <w:rPr>
      <w:rFonts w:ascii="仿宋_GB2312" w:eastAsia="仿宋_GB2312" w:hAnsi="MS Sans Serif" w:cs="Times New Roman"/>
      <w:kern w:val="0"/>
      <w:sz w:val="20"/>
      <w:szCs w:val="20"/>
    </w:rPr>
  </w:style>
  <w:style w:type="paragraph" w:styleId="ab">
    <w:name w:val="Body Text Indent"/>
    <w:basedOn w:val="a"/>
    <w:link w:val="Char7"/>
    <w:uiPriority w:val="99"/>
    <w:rsid w:val="0051627E"/>
    <w:pPr>
      <w:adjustRightInd w:val="0"/>
      <w:spacing w:before="0" w:after="0" w:line="300" w:lineRule="auto"/>
      <w:ind w:left="898" w:firstLine="2"/>
      <w:jc w:val="left"/>
      <w:textAlignment w:val="baseline"/>
    </w:pPr>
    <w:rPr>
      <w:rFonts w:ascii="仿宋_GB2312" w:eastAsia="仿宋_GB2312" w:hAnsi="MS Sans Serif"/>
      <w:kern w:val="0"/>
      <w:sz w:val="28"/>
      <w:szCs w:val="20"/>
    </w:rPr>
  </w:style>
  <w:style w:type="character" w:customStyle="1" w:styleId="Char7">
    <w:name w:val="正文文本缩进 Char"/>
    <w:basedOn w:val="a0"/>
    <w:link w:val="ab"/>
    <w:uiPriority w:val="99"/>
    <w:locked/>
    <w:rsid w:val="0051627E"/>
    <w:rPr>
      <w:rFonts w:ascii="仿宋_GB2312" w:eastAsia="仿宋_GB2312" w:hAnsi="MS Sans Serif" w:cs="Times New Roman"/>
      <w:kern w:val="0"/>
      <w:sz w:val="20"/>
      <w:szCs w:val="20"/>
    </w:rPr>
  </w:style>
  <w:style w:type="paragraph" w:styleId="ac">
    <w:name w:val="Plain Text"/>
    <w:basedOn w:val="a"/>
    <w:link w:val="Char8"/>
    <w:uiPriority w:val="99"/>
    <w:rsid w:val="0051627E"/>
    <w:pPr>
      <w:spacing w:before="0" w:after="0"/>
    </w:pPr>
    <w:rPr>
      <w:rFonts w:ascii="宋体" w:hAnsi="Courier New" w:cs="Courier New"/>
      <w:sz w:val="21"/>
      <w:szCs w:val="21"/>
    </w:rPr>
  </w:style>
  <w:style w:type="character" w:customStyle="1" w:styleId="Char8">
    <w:name w:val="纯文本 Char"/>
    <w:basedOn w:val="a0"/>
    <w:link w:val="ac"/>
    <w:uiPriority w:val="99"/>
    <w:locked/>
    <w:rsid w:val="0051627E"/>
    <w:rPr>
      <w:rFonts w:ascii="宋体" w:eastAsia="宋体" w:hAnsi="Courier New" w:cs="Courier New"/>
    </w:rPr>
  </w:style>
  <w:style w:type="paragraph" w:styleId="2">
    <w:name w:val="Body Text Indent 2"/>
    <w:basedOn w:val="a"/>
    <w:link w:val="2Char"/>
    <w:uiPriority w:val="99"/>
    <w:qFormat/>
    <w:rsid w:val="0051627E"/>
    <w:pPr>
      <w:adjustRightInd w:val="0"/>
      <w:spacing w:before="0" w:after="0" w:line="360" w:lineRule="auto"/>
      <w:ind w:firstLine="540"/>
      <w:textAlignment w:val="baseline"/>
    </w:pPr>
    <w:rPr>
      <w:rFonts w:ascii="仿宋_GB2312" w:eastAsia="仿宋_GB2312"/>
      <w:kern w:val="0"/>
      <w:sz w:val="24"/>
      <w:szCs w:val="20"/>
    </w:rPr>
  </w:style>
  <w:style w:type="character" w:customStyle="1" w:styleId="2Char">
    <w:name w:val="正文文本缩进 2 Char"/>
    <w:basedOn w:val="a0"/>
    <w:link w:val="2"/>
    <w:uiPriority w:val="99"/>
    <w:locked/>
    <w:rsid w:val="0051627E"/>
    <w:rPr>
      <w:rFonts w:ascii="仿宋_GB2312" w:eastAsia="仿宋_GB2312" w:hAnsi="Times New Roman" w:cs="Times New Roman"/>
      <w:kern w:val="0"/>
      <w:sz w:val="20"/>
      <w:szCs w:val="20"/>
    </w:rPr>
  </w:style>
  <w:style w:type="paragraph" w:styleId="ad">
    <w:name w:val="Balloon Text"/>
    <w:basedOn w:val="a"/>
    <w:link w:val="Char9"/>
    <w:uiPriority w:val="99"/>
    <w:semiHidden/>
    <w:rsid w:val="0051627E"/>
    <w:pPr>
      <w:spacing w:before="0" w:after="0"/>
    </w:pPr>
  </w:style>
  <w:style w:type="character" w:customStyle="1" w:styleId="Char9">
    <w:name w:val="批注框文本 Char"/>
    <w:basedOn w:val="a0"/>
    <w:link w:val="ad"/>
    <w:uiPriority w:val="99"/>
    <w:semiHidden/>
    <w:locked/>
    <w:rsid w:val="0051627E"/>
    <w:rPr>
      <w:rFonts w:ascii="Times New Roman" w:eastAsia="宋体" w:hAnsi="Times New Roman" w:cs="Times New Roman"/>
      <w:sz w:val="18"/>
      <w:szCs w:val="18"/>
    </w:rPr>
  </w:style>
  <w:style w:type="paragraph" w:styleId="31">
    <w:name w:val="Body Text Indent 3"/>
    <w:basedOn w:val="a"/>
    <w:link w:val="3Char1"/>
    <w:uiPriority w:val="99"/>
    <w:rsid w:val="0051627E"/>
    <w:pPr>
      <w:spacing w:before="0" w:after="0" w:line="180" w:lineRule="atLeast"/>
      <w:ind w:firstLineChars="192" w:firstLine="538"/>
    </w:pPr>
    <w:rPr>
      <w:rFonts w:ascii="楷体_GB2312" w:eastAsia="楷体_GB2312"/>
      <w:sz w:val="28"/>
      <w:szCs w:val="20"/>
    </w:rPr>
  </w:style>
  <w:style w:type="character" w:customStyle="1" w:styleId="3Char1">
    <w:name w:val="正文文本缩进 3 Char"/>
    <w:basedOn w:val="a0"/>
    <w:link w:val="31"/>
    <w:uiPriority w:val="99"/>
    <w:locked/>
    <w:rsid w:val="0051627E"/>
    <w:rPr>
      <w:rFonts w:ascii="楷体_GB2312" w:eastAsia="楷体_GB2312" w:hAnsi="Times New Roman" w:cs="Times New Roman"/>
      <w:sz w:val="20"/>
      <w:szCs w:val="20"/>
    </w:rPr>
  </w:style>
  <w:style w:type="paragraph" w:styleId="20">
    <w:name w:val="Body Text 2"/>
    <w:basedOn w:val="a"/>
    <w:link w:val="2Char0"/>
    <w:uiPriority w:val="99"/>
    <w:rsid w:val="0051627E"/>
    <w:pPr>
      <w:tabs>
        <w:tab w:val="left" w:pos="9000"/>
      </w:tabs>
      <w:spacing w:before="100" w:after="20" w:line="440" w:lineRule="exact"/>
      <w:ind w:right="-176"/>
    </w:pPr>
    <w:rPr>
      <w:rFonts w:ascii="楷体_GB2312" w:eastAsia="楷体_GB2312"/>
      <w:sz w:val="28"/>
      <w:szCs w:val="20"/>
    </w:rPr>
  </w:style>
  <w:style w:type="character" w:customStyle="1" w:styleId="2Char0">
    <w:name w:val="正文文本 2 Char"/>
    <w:basedOn w:val="a0"/>
    <w:link w:val="20"/>
    <w:uiPriority w:val="99"/>
    <w:locked/>
    <w:rsid w:val="0051627E"/>
    <w:rPr>
      <w:rFonts w:ascii="楷体_GB2312" w:eastAsia="楷体_GB2312" w:hAnsi="Times New Roman" w:cs="Times New Roman"/>
      <w:sz w:val="20"/>
      <w:szCs w:val="20"/>
    </w:rPr>
  </w:style>
  <w:style w:type="paragraph" w:styleId="ae">
    <w:name w:val="Normal (Web)"/>
    <w:basedOn w:val="a"/>
    <w:uiPriority w:val="99"/>
    <w:rsid w:val="0051627E"/>
    <w:pPr>
      <w:widowControl/>
      <w:spacing w:before="100" w:beforeAutospacing="1" w:after="100" w:afterAutospacing="1"/>
      <w:jc w:val="left"/>
    </w:pPr>
    <w:rPr>
      <w:rFonts w:ascii="宋体" w:hAnsi="宋体" w:cs="宋体"/>
      <w:kern w:val="0"/>
      <w:sz w:val="24"/>
      <w:szCs w:val="24"/>
    </w:rPr>
  </w:style>
  <w:style w:type="character" w:styleId="af">
    <w:name w:val="Strong"/>
    <w:basedOn w:val="a0"/>
    <w:uiPriority w:val="22"/>
    <w:qFormat/>
    <w:rsid w:val="0051627E"/>
    <w:rPr>
      <w:rFonts w:cs="Times New Roman"/>
      <w:b/>
    </w:rPr>
  </w:style>
  <w:style w:type="character" w:styleId="af0">
    <w:name w:val="page number"/>
    <w:basedOn w:val="a0"/>
    <w:uiPriority w:val="99"/>
    <w:rsid w:val="0051627E"/>
    <w:rPr>
      <w:rFonts w:cs="Times New Roman"/>
    </w:rPr>
  </w:style>
  <w:style w:type="character" w:styleId="af1">
    <w:name w:val="Hyperlink"/>
    <w:basedOn w:val="a0"/>
    <w:uiPriority w:val="99"/>
    <w:qFormat/>
    <w:rsid w:val="0051627E"/>
    <w:rPr>
      <w:rFonts w:cs="Times New Roman"/>
      <w:color w:val="0000FF"/>
      <w:u w:val="none"/>
    </w:rPr>
  </w:style>
  <w:style w:type="character" w:styleId="af2">
    <w:name w:val="annotation reference"/>
    <w:basedOn w:val="a0"/>
    <w:uiPriority w:val="99"/>
    <w:semiHidden/>
    <w:rsid w:val="0051627E"/>
    <w:rPr>
      <w:rFonts w:cs="Times New Roman"/>
      <w:sz w:val="21"/>
    </w:rPr>
  </w:style>
  <w:style w:type="table" w:styleId="af3">
    <w:name w:val="Table Grid"/>
    <w:basedOn w:val="a1"/>
    <w:uiPriority w:val="39"/>
    <w:rsid w:val="0051627E"/>
    <w:pPr>
      <w:widowControl w:val="0"/>
      <w:jc w:val="both"/>
    </w:pPr>
    <w:rPr>
      <w:rFonts w:ascii="Times New Roman" w:eastAsia="宋体"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
    <w:name w:val="Char Char Char Char Char Char Char Char Char Char Char Char Char"/>
    <w:basedOn w:val="a"/>
    <w:rsid w:val="0051627E"/>
    <w:pPr>
      <w:snapToGrid w:val="0"/>
      <w:spacing w:before="0" w:after="0" w:line="360" w:lineRule="auto"/>
      <w:ind w:firstLineChars="200" w:firstLine="200"/>
    </w:pPr>
    <w:rPr>
      <w:rFonts w:eastAsia="仿宋_GB2312"/>
      <w:sz w:val="24"/>
      <w:szCs w:val="24"/>
    </w:rPr>
  </w:style>
  <w:style w:type="paragraph" w:customStyle="1" w:styleId="af4">
    <w:name w:val="标准"/>
    <w:basedOn w:val="a"/>
    <w:rsid w:val="0051627E"/>
    <w:pPr>
      <w:adjustRightInd w:val="0"/>
      <w:spacing w:before="0" w:after="0" w:line="360" w:lineRule="auto"/>
      <w:jc w:val="center"/>
      <w:textAlignment w:val="baseline"/>
    </w:pPr>
    <w:rPr>
      <w:spacing w:val="28"/>
      <w:kern w:val="0"/>
      <w:sz w:val="72"/>
      <w:szCs w:val="20"/>
    </w:rPr>
  </w:style>
  <w:style w:type="character" w:customStyle="1" w:styleId="font14line-height">
    <w:name w:val="font14 line-height"/>
    <w:rsid w:val="0051627E"/>
  </w:style>
  <w:style w:type="character" w:customStyle="1" w:styleId="msoins0">
    <w:name w:val="msoins"/>
    <w:rsid w:val="0051627E"/>
  </w:style>
  <w:style w:type="paragraph" w:customStyle="1" w:styleId="Default">
    <w:name w:val="Default"/>
    <w:rsid w:val="0051627E"/>
    <w:pPr>
      <w:widowControl w:val="0"/>
      <w:autoSpaceDE w:val="0"/>
      <w:autoSpaceDN w:val="0"/>
      <w:adjustRightInd w:val="0"/>
    </w:pPr>
    <w:rPr>
      <w:rFonts w:ascii="华文中宋" w:eastAsia="华文中宋" w:hAnsi="Times New Roman"/>
      <w:color w:val="000000"/>
      <w:kern w:val="0"/>
      <w:sz w:val="24"/>
      <w:szCs w:val="24"/>
    </w:rPr>
  </w:style>
  <w:style w:type="paragraph" w:customStyle="1" w:styleId="12">
    <w:name w:val="12"/>
    <w:basedOn w:val="a"/>
    <w:rsid w:val="0051627E"/>
    <w:pPr>
      <w:widowControl/>
      <w:spacing w:before="100" w:beforeAutospacing="1" w:after="100" w:afterAutospacing="1"/>
      <w:jc w:val="left"/>
    </w:pPr>
    <w:rPr>
      <w:rFonts w:ascii="宋体" w:hAnsi="宋体" w:cs="宋体"/>
      <w:kern w:val="0"/>
    </w:rPr>
  </w:style>
  <w:style w:type="paragraph" w:customStyle="1" w:styleId="BodySingle">
    <w:name w:val="Body Single"/>
    <w:rsid w:val="0051627E"/>
    <w:pPr>
      <w:widowControl w:val="0"/>
      <w:tabs>
        <w:tab w:val="left" w:pos="705"/>
        <w:tab w:val="left" w:pos="1440"/>
        <w:tab w:val="left" w:pos="2304"/>
        <w:tab w:val="right" w:pos="10425"/>
      </w:tabs>
      <w:jc w:val="both"/>
    </w:pPr>
    <w:rPr>
      <w:rFonts w:ascii="Times New Roman" w:eastAsia="宋体" w:hAnsi="Times New Roman"/>
      <w:color w:val="000000"/>
      <w:kern w:val="0"/>
      <w:sz w:val="24"/>
      <w:szCs w:val="20"/>
      <w:lang w:eastAsia="en-US"/>
    </w:rPr>
  </w:style>
  <w:style w:type="paragraph" w:customStyle="1" w:styleId="font8">
    <w:name w:val="font8"/>
    <w:basedOn w:val="a"/>
    <w:rsid w:val="0051627E"/>
    <w:pPr>
      <w:widowControl/>
      <w:spacing w:before="100" w:beforeAutospacing="1" w:after="100" w:afterAutospacing="1"/>
      <w:jc w:val="left"/>
    </w:pPr>
    <w:rPr>
      <w:rFonts w:ascii="宋体" w:hAnsi="宋体" w:cs="Arial Unicode MS"/>
      <w:b/>
      <w:bCs/>
      <w:kern w:val="0"/>
      <w:sz w:val="24"/>
      <w:szCs w:val="24"/>
    </w:rPr>
  </w:style>
  <w:style w:type="paragraph" w:customStyle="1" w:styleId="xl29">
    <w:name w:val="xl29"/>
    <w:basedOn w:val="a"/>
    <w:rsid w:val="0051627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CharCharCharCharCharChar1CharCharChar">
    <w:name w:val="Char Char Char Char Char Char1 Char Char Char"/>
    <w:basedOn w:val="a"/>
    <w:rsid w:val="0051627E"/>
    <w:pPr>
      <w:autoSpaceDE w:val="0"/>
      <w:autoSpaceDN w:val="0"/>
      <w:adjustRightInd w:val="0"/>
      <w:spacing w:before="0" w:after="0"/>
      <w:jc w:val="left"/>
      <w:textAlignment w:val="baseline"/>
    </w:pPr>
    <w:rPr>
      <w:rFonts w:eastAsia="方正仿宋简体"/>
      <w:sz w:val="32"/>
      <w:szCs w:val="20"/>
    </w:rPr>
  </w:style>
  <w:style w:type="character" w:customStyle="1" w:styleId="CharChar4">
    <w:name w:val="Char Char4"/>
    <w:rsid w:val="0051627E"/>
    <w:rPr>
      <w:b/>
      <w:sz w:val="32"/>
    </w:rPr>
  </w:style>
  <w:style w:type="character" w:customStyle="1" w:styleId="cap">
    <w:name w:val="cap"/>
    <w:rsid w:val="0051627E"/>
  </w:style>
  <w:style w:type="paragraph" w:customStyle="1" w:styleId="ParaCharCharCharCharCharCharChar">
    <w:name w:val="默认段落字体 Para Char Char Char Char Char Char Char"/>
    <w:basedOn w:val="a"/>
    <w:rsid w:val="0051627E"/>
    <w:pPr>
      <w:spacing w:before="0" w:after="0"/>
    </w:pPr>
    <w:rPr>
      <w:rFonts w:ascii="Tahoma" w:hAnsi="Tahoma"/>
      <w:sz w:val="24"/>
      <w:szCs w:val="20"/>
    </w:rPr>
  </w:style>
  <w:style w:type="paragraph" w:customStyle="1" w:styleId="1">
    <w:name w:val="修订1"/>
    <w:hidden/>
    <w:uiPriority w:val="99"/>
    <w:semiHidden/>
    <w:rsid w:val="0051627E"/>
    <w:rPr>
      <w:rFonts w:ascii="Times New Roman" w:eastAsia="宋体" w:hAnsi="Times New Roman"/>
      <w:szCs w:val="20"/>
    </w:rPr>
  </w:style>
  <w:style w:type="character" w:customStyle="1" w:styleId="BodyTextChar">
    <w:name w:val="Body Text Char"/>
    <w:link w:val="BodyText1"/>
    <w:qFormat/>
    <w:locked/>
    <w:rsid w:val="0051627E"/>
    <w:rPr>
      <w:rFonts w:ascii="Georgia"/>
    </w:rPr>
  </w:style>
  <w:style w:type="paragraph" w:customStyle="1" w:styleId="BodyText1">
    <w:name w:val="Body Text1"/>
    <w:basedOn w:val="a"/>
    <w:link w:val="BodyTextChar"/>
    <w:rsid w:val="0051627E"/>
    <w:pPr>
      <w:spacing w:before="0" w:after="0"/>
    </w:pPr>
    <w:rPr>
      <w:rFonts w:ascii="Georgia" w:eastAsiaTheme="minorEastAsia" w:hAnsiTheme="minorHAnsi"/>
      <w:sz w:val="21"/>
      <w:szCs w:val="21"/>
    </w:rPr>
  </w:style>
  <w:style w:type="paragraph" w:customStyle="1" w:styleId="CharCharCharCharCharCharCharCharCharCharCharCharChar2">
    <w:name w:val="Char Char Char Char Char Char Char Char Char Char Char Char Char2"/>
    <w:basedOn w:val="a"/>
    <w:rsid w:val="0051627E"/>
    <w:pPr>
      <w:snapToGrid w:val="0"/>
      <w:spacing w:before="0" w:after="0" w:line="360" w:lineRule="auto"/>
      <w:ind w:firstLineChars="200" w:firstLine="200"/>
    </w:pPr>
    <w:rPr>
      <w:rFonts w:eastAsia="仿宋_GB2312"/>
      <w:sz w:val="24"/>
      <w:szCs w:val="24"/>
    </w:rPr>
  </w:style>
  <w:style w:type="paragraph" w:customStyle="1" w:styleId="CharCharCharCharCharChar1CharCharChar2">
    <w:name w:val="Char Char Char Char Char Char1 Char Char Char2"/>
    <w:basedOn w:val="a"/>
    <w:rsid w:val="0051627E"/>
    <w:pPr>
      <w:autoSpaceDE w:val="0"/>
      <w:autoSpaceDN w:val="0"/>
      <w:adjustRightInd w:val="0"/>
      <w:spacing w:before="0" w:after="0"/>
      <w:jc w:val="left"/>
      <w:textAlignment w:val="baseline"/>
    </w:pPr>
    <w:rPr>
      <w:rFonts w:eastAsia="方正仿宋简体"/>
      <w:sz w:val="32"/>
      <w:szCs w:val="20"/>
    </w:rPr>
  </w:style>
  <w:style w:type="character" w:customStyle="1" w:styleId="CharChar42">
    <w:name w:val="Char Char42"/>
    <w:rsid w:val="0051627E"/>
    <w:rPr>
      <w:b/>
      <w:sz w:val="32"/>
    </w:rPr>
  </w:style>
  <w:style w:type="paragraph" w:customStyle="1" w:styleId="CharCharCharCharCharCharCharCharCharCharCharCharChar1">
    <w:name w:val="Char Char Char Char Char Char Char Char Char Char Char Char Char1"/>
    <w:basedOn w:val="a"/>
    <w:rsid w:val="0051627E"/>
    <w:pPr>
      <w:snapToGrid w:val="0"/>
      <w:spacing w:before="0" w:after="0" w:line="360" w:lineRule="auto"/>
      <w:ind w:firstLineChars="200" w:firstLine="200"/>
    </w:pPr>
    <w:rPr>
      <w:rFonts w:eastAsia="仿宋_GB2312"/>
      <w:sz w:val="24"/>
      <w:szCs w:val="24"/>
    </w:rPr>
  </w:style>
  <w:style w:type="paragraph" w:customStyle="1" w:styleId="CharCharCharCharCharChar1CharCharChar1">
    <w:name w:val="Char Char Char Char Char Char1 Char Char Char1"/>
    <w:basedOn w:val="a"/>
    <w:rsid w:val="0051627E"/>
    <w:pPr>
      <w:autoSpaceDE w:val="0"/>
      <w:autoSpaceDN w:val="0"/>
      <w:adjustRightInd w:val="0"/>
      <w:spacing w:before="0" w:after="0"/>
      <w:jc w:val="left"/>
      <w:textAlignment w:val="baseline"/>
    </w:pPr>
    <w:rPr>
      <w:rFonts w:eastAsia="方正仿宋简体"/>
      <w:sz w:val="32"/>
      <w:szCs w:val="20"/>
    </w:rPr>
  </w:style>
  <w:style w:type="character" w:customStyle="1" w:styleId="CharChar41">
    <w:name w:val="Char Char41"/>
    <w:qFormat/>
    <w:rsid w:val="0051627E"/>
    <w:rPr>
      <w:b/>
      <w:sz w:val="32"/>
    </w:rPr>
  </w:style>
  <w:style w:type="paragraph" w:customStyle="1" w:styleId="10">
    <w:name w:val="列出段落1"/>
    <w:basedOn w:val="a"/>
    <w:uiPriority w:val="34"/>
    <w:qFormat/>
    <w:rsid w:val="0051627E"/>
    <w:pPr>
      <w:spacing w:before="0" w:after="0"/>
      <w:ind w:firstLineChars="200" w:firstLine="420"/>
    </w:pPr>
    <w:rPr>
      <w:sz w:val="21"/>
      <w:szCs w:val="20"/>
    </w:rPr>
  </w:style>
  <w:style w:type="paragraph" w:styleId="af5">
    <w:name w:val="List Paragraph"/>
    <w:basedOn w:val="a"/>
    <w:uiPriority w:val="99"/>
    <w:unhideWhenUsed/>
    <w:rsid w:val="0051627E"/>
    <w:pPr>
      <w:spacing w:before="0" w:after="0"/>
      <w:ind w:firstLineChars="200" w:firstLine="420"/>
    </w:pPr>
    <w:rPr>
      <w:sz w:val="21"/>
      <w:szCs w:val="20"/>
    </w:rPr>
  </w:style>
  <w:style w:type="paragraph" w:styleId="af6">
    <w:name w:val="Revision"/>
    <w:hidden/>
    <w:uiPriority w:val="99"/>
    <w:unhideWhenUsed/>
    <w:rsid w:val="0051627E"/>
    <w:rPr>
      <w:rFonts w:ascii="Times New Roman" w:eastAsia="宋体" w:hAnsi="Times New Roman"/>
      <w:szCs w:val="20"/>
    </w:rPr>
  </w:style>
  <w:style w:type="paragraph" w:styleId="11">
    <w:name w:val="toc 1"/>
    <w:basedOn w:val="a"/>
    <w:next w:val="a"/>
    <w:autoRedefine/>
    <w:uiPriority w:val="39"/>
    <w:unhideWhenUsed/>
    <w:rsid w:val="009A6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8520801">
      <w:marLeft w:val="0"/>
      <w:marRight w:val="0"/>
      <w:marTop w:val="0"/>
      <w:marBottom w:val="0"/>
      <w:divBdr>
        <w:top w:val="none" w:sz="0" w:space="0" w:color="auto"/>
        <w:left w:val="none" w:sz="0" w:space="0" w:color="auto"/>
        <w:bottom w:val="none" w:sz="0" w:space="0" w:color="auto"/>
        <w:right w:val="none" w:sz="0" w:space="0" w:color="auto"/>
      </w:divBdr>
      <w:divsChild>
        <w:div w:id="1848520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6514D-E714-4559-8F24-AD2B27FAD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194</Pages>
  <Words>24918</Words>
  <Characters>142036</Characters>
  <Application>Microsoft Office Word</Application>
  <DocSecurity>0</DocSecurity>
  <Lines>1183</Lines>
  <Paragraphs>333</Paragraphs>
  <ScaleCrop>false</ScaleCrop>
  <Company/>
  <LinksUpToDate>false</LinksUpToDate>
  <CharactersWithSpaces>166621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恒逸石化股份有限公司2015年年度报告全文</dc:title>
  <dc:subject/>
  <cp:keywords/>
  <dc:description/>
  <cp:lastModifiedBy>陈莎莎</cp:lastModifiedBy>
  <cp:revision>48</cp:revision>
  <dcterms:created xsi:type="dcterms:W3CDTF">2016-04-22T11:16:00Z</dcterms:created>
  <dcterms:modified xsi:type="dcterms:W3CDTF">2016-05-11T01:21:00Z</dcterms:modified>
</cp:coreProperties>
</file>